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3bc479280d866e4539bbf291ed24c84419d4c31"/>
    <w:p>
      <w:pPr>
        <w:pStyle w:val="Heading1"/>
      </w:pP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Jiahua Duojie</w:t>
      </w:r>
      <w:r>
        <w:br/>
      </w:r>
      <w:r>
        <w:rPr>
          <w:b/>
          <w:bCs/>
        </w:rPr>
        <w:t xml:space="preserve">Program:</w:t>
      </w:r>
      <w:r>
        <w:t xml:space="preserve"> </w:t>
      </w:r>
      <w:r>
        <w:t xml:space="preserve">MSc Applied Information and Data Science (HSLU)</w:t>
      </w:r>
      <w:r>
        <w:br/>
      </w:r>
      <w:r>
        <w:rPr>
          <w:b/>
          <w:bCs/>
        </w:rPr>
        <w:t xml:space="preserve">Supervisor:</w:t>
      </w:r>
      <w:r>
        <w:t xml:space="preserve"> </w:t>
      </w:r>
      <w:r>
        <w:t xml:space="preserve">Prof. Dr. Guang Lu</w:t>
      </w:r>
      <w:r>
        <w:br/>
      </w:r>
      <w:r>
        <w:rPr>
          <w:b/>
          <w:bCs/>
        </w:rPr>
        <w:t xml:space="preserve">Date:</w:t>
      </w:r>
      <w:r>
        <w:t xml:space="preserve"> </w:t>
      </w:r>
      <w:r>
        <w:t xml:space="preserve">October 18, 2025</w:t>
      </w:r>
      <w:r>
        <w:br/>
      </w:r>
      <w:r>
        <w:rPr>
          <w:b/>
          <w:bCs/>
        </w:rPr>
        <w:t xml:space="preserve">Version:</w:t>
      </w:r>
      <w:r>
        <w:t xml:space="preserve"> </w:t>
      </w:r>
      <w:r>
        <w:t xml:space="preserve">2.6.0</w:t>
      </w:r>
    </w:p>
    <w:p>
      <w:r>
        <w:pict>
          <v:rect style="width:0;height:1.5pt" o:hralign="center" o:hrstd="t" o:hr="t"/>
        </w:pict>
      </w:r>
    </w:p>
    <w:bookmarkStart w:id="9" w:name="abstract"/>
    <w:p>
      <w:pPr>
        <w:pStyle w:val="Heading2"/>
      </w:pPr>
      <w:r>
        <w:t xml:space="preserve">Abstract</w:t>
      </w:r>
    </w:p>
    <w:p>
      <w:pPr>
        <w:pStyle w:val="FirstParagraph"/>
      </w:pPr>
      <w:r>
        <w:t xml:space="preserve">Emotional well-being and personalized support remain unresolved challenges in human-centered AI. Although conversational systems scale, most assistants are generic and fail to adapt to individual personality differences, limiting context-appropriate support. This study specifies a modular, workflow-orchestrated architecture for personality-aware dialogue that couples Big Five (OCEAN) detection with Zurich Model (Security–Arousal–Affiliation)–aligned regulation while enforcing strict dialogue grounding. We extend prior detect→regulate→generate formulations with mechanisms for temporal stability, reproducibility, and cross-domain reuse.</w:t>
      </w:r>
    </w:p>
    <w:p>
      <w:pPr>
        <w:pStyle w:val="BodyText"/>
      </w:pPr>
      <w:r>
        <w:t xml:space="preserve">Contributions: (1) exponentially weighted moving-average (EMA) smoothing with confidence-aware filtering to stabilize per-turn trait estimates; (2) configurable policy packs enabling rapid domain transfer through configuration rather than code; (3) audit-ready contracts—JSON schemas, seed/version locks, and per-turn logs—for reproducibility and inspection; (4) a methodology for integrating factual memory with motivational modeling to support grounded, adaptive responses; (5) RAG-enhanced generation module for Swiss caregiver policy navigation; and (6) a human-centered interface suitable as a research instrument for controlled studies and ablations.</w:t>
      </w:r>
    </w:p>
    <w:p>
      <w:pPr>
        <w:pStyle w:val="BodyText"/>
      </w:pPr>
      <w:r>
        <w:t xml:space="preserve">We instantiate a</w:t>
      </w:r>
      <w:r>
        <w:t xml:space="preserve"> </w:t>
      </w:r>
      <w:r>
        <w:rPr>
          <w:b/>
          <w:bCs/>
        </w:rPr>
        <w:t xml:space="preserve">Swiss Caregiver Coaching Assistant</w:t>
      </w:r>
      <w:r>
        <w:t xml:space="preserve"> </w:t>
      </w:r>
      <w:r>
        <w:t xml:space="preserve">supporting family caregivers navigating eldercare, chronic illness management, and caregiver burnout with three personality-tailored coaching modes (Emotional Support; Resource Navigation; Self-Care Planning) and RAG-augmented guidance for Swiss benefit systems (AHV, IV, Hilflosenentschädigung). The evaluation plan specifies rubrics for detection validity and temporal stability, regulation/tone quality, coherence and relevance, policy guidance accuracy, and system reliability with human triangulation. All metrics are design targets rather than findings; empirical validation is reserved for the thesis phase.</w:t>
      </w:r>
    </w:p>
    <w:p>
      <w:r>
        <w:pict>
          <v:rect style="width:0;height:1.5pt" o:hralign="center" o:hrstd="t" o:hr="t"/>
        </w:pict>
      </w:r>
    </w:p>
    <w:bookmarkEnd w:id="9"/>
    <w:bookmarkStart w:id="17" w:name="background"/>
    <w:p>
      <w:pPr>
        <w:pStyle w:val="Heading2"/>
      </w:pPr>
      <w:r>
        <w:t xml:space="preserve">1. Background</w:t>
      </w:r>
    </w:p>
    <w:bookmarkStart w:id="10" w:name="X3acc10c25642986d7e5a5d63c66fa8c7e270bb6"/>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increasingly expect systems to understand not merely task requirements but also personal preferences, emotional states, and motivational patterns.</w:t>
      </w:r>
    </w:p>
    <w:p>
      <w:pPr>
        <w:pStyle w:val="BodyText"/>
      </w:pPr>
      <w:r>
        <w:rPr>
          <w:b/>
          <w:bCs/>
        </w:rPr>
        <w:t xml:space="preserve">The capacity crisis in traditional support systems.</w:t>
      </w:r>
      <w:r>
        <w:t xml:space="preserve"> </w:t>
      </w:r>
      <w:r>
        <w:t xml:space="preserve">Traditional human-delivered support faces three structural constraints: limited scalability (practitioners serve limited client loads, creating waitlists and access barriers), financial barriers (professional counseling and coaching services often require substantial out-of-pocket costs that restrict accessibility), and geographic limitations (requiring physical proximity or specific time zones). Meanwhile, digital alternatives such as rule-based chatbots and FAQ systems achieve scalability but deliver one-size-fits-all responses that cannot adapt beyond predefined scripts (Adamopoulou &amp; Moussiades, 2020), ignoring individual personality differences and context-specific needs. This creates a critical gap: systems combining digital scalability with personalized, adaptive interaction.</w:t>
      </w:r>
    </w:p>
    <w:p>
      <w:pPr>
        <w:pStyle w:val="BodyText"/>
      </w:pPr>
      <w:r>
        <w:rPr>
          <w:b/>
          <w:bCs/>
        </w:rPr>
        <w:t xml:space="preserve">Domain-specific requirements and the personalization gap.</w:t>
      </w:r>
      <w:r>
        <w:t xml:space="preserve"> </w:t>
      </w:r>
      <w:r>
        <w:t xml:space="preserve">Personality-aware interaction is critical across workplace productivity (task prioritization, stress management), education (learning pace adaptation, anxiety-sensitive guidance), customer service (communication style matching), and mental health (therapeutic alliance building). Despite these domain-specific needs, current digital assistance solutions predominantly deliver generic responses that fail to account for individual differences (Ta et al., 2020; Broadbent et al., 2024), producing systematic mismatches that reduce interaction effectiveness and undermine user trust. Addressing this gap requires adaptive, personality-aware conversational architectures.</w:t>
      </w:r>
    </w:p>
    <w:bookmarkEnd w:id="10"/>
    <w:bookmarkStart w:id="11" w:name="Xdc9a4a0120256196334f699954c47604043e15d"/>
    <w:p>
      <w:pPr>
        <w:pStyle w:val="Heading3"/>
      </w:pPr>
      <w:r>
        <w:t xml:space="preserve">1.2 Limitations of Current Digital Assistants</w:t>
      </w:r>
    </w:p>
    <w:p>
      <w:pPr>
        <w:pStyle w:val="FirstParagraph"/>
      </w:pPr>
      <w:r>
        <w:t xml:space="preserve">We synthesize three technical constraints limiting current conversational AI effectiveness: (1) insufficient theoretical grounding in design and evaluation, producing inconsistent user experiences and lack of validated personalization frameworks (Følstad &amp; Brandtzæg, 2020 document UX pain points including misinterpretation and scarcity of theory-grounded studies); (2) gaps in personalization beyond surface memory of facts and preferences; and (3) weak transparency and reproducible evaluation practices. Recent LLM work enables more nuanced multi-turn dialogue (Zheng et al., 2023; Abbasian et al., 2023), but robust mechanisms for stable memory with multi-attribute control and transparent, generalizable evaluation remain active research challenges.</w:t>
      </w:r>
    </w:p>
    <w:p>
      <w:pPr>
        <w:pStyle w:val="BodyText"/>
      </w:pPr>
      <w:r>
        <w:rPr>
          <w:b/>
          <w:bCs/>
        </w:rPr>
        <w:t xml:space="preserve">Memory-based personalization versus motivational modeling.</w:t>
      </w:r>
      <w:r>
        <w:t xml:space="preserve"> </w:t>
      </w:r>
      <w:r>
        <w:t xml:space="preserve">Recent industry deployments (ChatGPT Memory, mem0, LangChain Memory) prioritize memory-centric personalization, storing user statements as vector embeddings for similarity-based retrieval across sessions (OpenAI, 2024; mem0, 2024). While achieving factual persistence at scale,</w:t>
      </w:r>
      <w:r>
        <w:t xml:space="preserve"> </w:t>
      </w:r>
      <w:r>
        <w:rPr>
          <w:b/>
          <w:bCs/>
        </w:rPr>
        <w:t xml:space="preserve">this approach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w:t>
      </w:r>
      <w:r>
        <w:t xml:space="preserve">. Memory systems recall preferences but cannot infer whether a preference for structured plans stems from high conscientiousness (requiring organization) or high neuroticism (needing security), leading to generic responses that miss underlying motivational and emotional drivers.</w:t>
      </w:r>
    </w:p>
    <w:bookmarkEnd w:id="11"/>
    <w:bookmarkStart w:id="12" w:name="motivation-and-contributions"/>
    <w:p>
      <w:pPr>
        <w:pStyle w:val="Heading3"/>
      </w:pPr>
      <w:r>
        <w:t xml:space="preserve">1.3 Motivation and Contributions</w:t>
      </w:r>
    </w:p>
    <w:p>
      <w:pPr>
        <w:pStyle w:val="FirstParagraph"/>
      </w:pPr>
      <w:r>
        <w:t xml:space="preserve">Despite growing interest in personality-aware conversational AI, existing systems rarely integrate continuous understanding of individual differences (personality, motivations, communication preferences) with psychologically grounded regulation and reproducible evaluation frameworks.</w:t>
      </w:r>
      <w:r>
        <w:t xml:space="preserve"> </w:t>
      </w:r>
      <w:r>
        <w:rPr>
          <w:b/>
          <w:bCs/>
        </w:rPr>
        <w:t xml:space="preserve">Three key opportunities</w:t>
      </w:r>
      <w:r>
        <w:t xml:space="preserve"> </w:t>
      </w:r>
      <w:r>
        <w:t xml:space="preserve">motivate this research:</w:t>
      </w:r>
    </w:p>
    <w:p>
      <w:pPr>
        <w:pStyle w:val="Compact"/>
        <w:numPr>
          <w:ilvl w:val="0"/>
          <w:numId w:val="1001"/>
        </w:numPr>
      </w:pPr>
      <w:r>
        <w:rPr>
          <w:b/>
          <w:bCs/>
        </w:rPr>
        <w:t xml:space="preserve">Scaling personalized support without scaling costs:</w:t>
      </w:r>
      <w:r>
        <w:t xml:space="preserve"> </w:t>
      </w:r>
      <w:r>
        <w:t xml:space="preserve">Continuous personality adaptation enables digital systems to deliver individualized support that matches human practitioners’ empathy and responsiveness, addressing the capacity crisis in caregiver support, education, and mental health services while maintaining accessibility and affordability.</w:t>
      </w:r>
    </w:p>
    <w:p>
      <w:pPr>
        <w:pStyle w:val="Compact"/>
        <w:numPr>
          <w:ilvl w:val="0"/>
          <w:numId w:val="1001"/>
        </w:numPr>
      </w:pPr>
      <w:r>
        <w:rPr>
          <w:b/>
          <w:bCs/>
        </w:rPr>
        <w:t xml:space="preserve">Building user trust through psychological validity:</w:t>
      </w:r>
      <w:r>
        <w:t xml:space="preserve"> </w:t>
      </w:r>
      <w:r>
        <w:t xml:space="preserve">Grounding adaptations in validated personality science (Big Five, Zurich Model) ensures that systems respond to genuine psychological needs rather than superficial preferences, increasing user acceptance and long-term engagement across diverse cultural contexts.</w:t>
      </w:r>
    </w:p>
    <w:p>
      <w:pPr>
        <w:pStyle w:val="Compact"/>
        <w:numPr>
          <w:ilvl w:val="0"/>
          <w:numId w:val="1001"/>
        </w:numPr>
      </w:pPr>
      <w:r>
        <w:rPr>
          <w:b/>
          <w:bCs/>
        </w:rPr>
        <w:t xml:space="preserve">Enabling organizational adoption through reliability:</w:t>
      </w:r>
      <w:r>
        <w:t xml:space="preserve"> </w:t>
      </w:r>
      <w:r>
        <w:t xml:space="preserve">Providing reproducible evaluation protocols, audit trails, and deterministic interfaces addresses enterprise requirements for quality assurance, compliance, and evidence-based deployment, facilitating transition from research prototypes to production systems.</w:t>
      </w:r>
    </w:p>
    <w:p>
      <w:pPr>
        <w:pStyle w:val="FirstParagraph"/>
      </w:pPr>
      <w:r>
        <w:t xml:space="preserve">Recent work by Devdas (2025) provides crucial empirical validation, demonstrating substantial performance gains through personality-adaptive assistants in controlled simulations using Big Five detection and Zurich Model regulation for emotional support scenarios. This establishes the conceptual foundation—that personality-aware regulation meaningfully improves conversational quality—motivating production-ready, reusable system architectures.</w:t>
      </w:r>
    </w:p>
    <w:p>
      <w:pPr>
        <w:pStyle w:val="BodyText"/>
      </w:pPr>
      <w:r>
        <w:rPr>
          <w:b/>
          <w:bCs/>
        </w:rPr>
        <w:t xml:space="preserve">This thesis specifies five key architectural innovations beyond prior work:</w:t>
      </w:r>
    </w:p>
    <w:p>
      <w:pPr>
        <w:pStyle w:val="BodyText"/>
      </w:pPr>
      <w:r>
        <w:rPr>
          <w:b/>
          <w:bCs/>
        </w:rPr>
        <w:t xml:space="preserve">Table 1. Key Architectural Innovations</w:t>
      </w:r>
    </w:p>
    <w:tbl>
      <w:tblPr>
        <w:tblStyle w:val="Table"/>
        <w:tblW w:type="pct" w:w="5000"/>
        <w:tblLayout w:type="fixed"/>
        <w:tblLook w:firstRow="1" w:lastRow="0" w:firstColumn="0" w:lastColumn="0" w:noHBand="0" w:noVBand="0" w:val="0020"/>
      </w:tblPr>
      <w:tblGrid>
        <w:gridCol w:w="2640"/>
        <w:gridCol w:w="2860"/>
        <w:gridCol w:w="2420"/>
      </w:tblGrid>
      <w:tr>
        <w:trPr>
          <w:tblHeader w:val="on"/>
        </w:trPr>
        <w:tc>
          <w:tcPr/>
          <w:p>
            <w:pPr>
              <w:pStyle w:val="Compact"/>
            </w:pPr>
            <w:r>
              <w:t xml:space="preserve">Innovation</w:t>
            </w:r>
          </w:p>
        </w:tc>
        <w:tc>
          <w:tcPr/>
          <w:p>
            <w:pPr>
              <w:pStyle w:val="Compact"/>
            </w:pPr>
            <w:r>
              <w:t xml:space="preserve">Description</w:t>
            </w:r>
          </w:p>
        </w:tc>
        <w:tc>
          <w:tcPr/>
          <w:p>
            <w:pPr>
              <w:pStyle w:val="Compact"/>
            </w:pPr>
            <w:r>
              <w:t xml:space="preserve">Reference</w:t>
            </w:r>
          </w:p>
        </w:tc>
      </w:tr>
      <w:tr>
        <w:tc>
          <w:tcPr/>
          <w:p>
            <w:pPr>
              <w:pStyle w:val="Compact"/>
            </w:pPr>
            <w:r>
              <w:t xml:space="preserve">Temporal stability via EMA smoothing</w:t>
            </w:r>
          </w:p>
        </w:tc>
        <w:tc>
          <w:tcPr/>
          <w:p>
            <w:pPr>
              <w:pStyle w:val="Compact"/>
            </w:pPr>
            <w:r>
              <w:t xml:space="preserve">Stabilizes personality detection using exponential moving average with confidence filtering</w:t>
            </w:r>
          </w:p>
        </w:tc>
        <w:tc>
          <w:tcPr/>
          <w:p>
            <w:pPr>
              <w:pStyle w:val="Compact"/>
            </w:pPr>
            <w:r>
              <w:t xml:space="preserve">Section 4.1</w:t>
            </w:r>
          </w:p>
        </w:tc>
      </w:tr>
      <w:tr>
        <w:tc>
          <w:tcPr/>
          <w:p>
            <w:pPr>
              <w:pStyle w:val="Compact"/>
            </w:pPr>
            <w:r>
              <w:t xml:space="preserve">Production-ready containerized system</w:t>
            </w:r>
          </w:p>
        </w:tc>
        <w:tc>
          <w:tcPr/>
          <w:p>
            <w:pPr>
              <w:pStyle w:val="Compact"/>
            </w:pPr>
            <w:r>
              <w:t xml:space="preserve">Uses N8N, PostgreSQL, Redis with RESTful APIs for deployment</w:t>
            </w:r>
          </w:p>
        </w:tc>
        <w:tc>
          <w:tcPr/>
          <w:p>
            <w:pPr>
              <w:pStyle w:val="Compact"/>
            </w:pPr>
            <w:r>
              <w:t xml:space="preserve">Section 4.1, Figure 2</w:t>
            </w:r>
          </w:p>
        </w:tc>
      </w:tr>
      <w:tr>
        <w:tc>
          <w:tcPr/>
          <w:p>
            <w:pPr>
              <w:pStyle w:val="Compact"/>
            </w:pPr>
            <w:r>
              <w:t xml:space="preserve">Cross-domain policy packs</w:t>
            </w:r>
          </w:p>
        </w:tc>
        <w:tc>
          <w:tcPr/>
          <w:p>
            <w:pPr>
              <w:pStyle w:val="Compact"/>
            </w:pPr>
            <w:r>
              <w:t xml:space="preserve">Configurable YAML/JSON rules enable domain transfer without code changes</w:t>
            </w:r>
          </w:p>
        </w:tc>
        <w:tc>
          <w:tcPr/>
          <w:p>
            <w:pPr>
              <w:pStyle w:val="Compact"/>
            </w:pPr>
            <w:r>
              <w:t xml:space="preserve">Section 2.2</w:t>
            </w:r>
          </w:p>
        </w:tc>
      </w:tr>
      <w:tr>
        <w:tc>
          <w:tcPr/>
          <w:p>
            <w:pPr>
              <w:pStyle w:val="Compact"/>
            </w:pPr>
            <w:r>
              <w:t xml:space="preserve">Memory-personality convergence</w:t>
            </w:r>
          </w:p>
        </w:tc>
        <w:tc>
          <w:tcPr/>
          <w:p>
            <w:pPr>
              <w:pStyle w:val="Compact"/>
            </w:pPr>
            <w:r>
              <w:t xml:space="preserve">Integrates factual memory (e.g., mem0) with motivational modeling</w:t>
            </w:r>
          </w:p>
        </w:tc>
        <w:tc>
          <w:tcPr/>
          <w:p>
            <w:pPr>
              <w:pStyle w:val="Compact"/>
            </w:pPr>
            <w:r>
              <w:t xml:space="preserve">Section 1.2</w:t>
            </w:r>
          </w:p>
        </w:tc>
      </w:tr>
      <w:tr>
        <w:tc>
          <w:tcPr/>
          <w:p>
            <w:pPr>
              <w:pStyle w:val="Compact"/>
            </w:pPr>
            <w:r>
              <w:t xml:space="preserve">Human-centered frontend</w:t>
            </w:r>
          </w:p>
        </w:tc>
        <w:tc>
          <w:tcPr/>
          <w:p>
            <w:pPr>
              <w:pStyle w:val="Compact"/>
            </w:pPr>
            <w:r>
              <w:t xml:space="preserve">React/Next.js interface doubles as research instrument for trust/engagement</w:t>
            </w:r>
          </w:p>
        </w:tc>
        <w:tc>
          <w:tcPr/>
          <w:p>
            <w:pPr>
              <w:pStyle w:val="Compact"/>
            </w:pPr>
            <w:r>
              <w:t xml:space="preserve">Section 5.6</w:t>
            </w:r>
          </w:p>
        </w:tc>
      </w:tr>
    </w:tbl>
    <w:p>
      <w:pPr>
        <w:pStyle w:val="BodyText"/>
      </w:pPr>
      <w:r>
        <w:t xml:space="preserve">These contributions specify a reproducible, deployable system architecture designed for scientific investigation and practical human-centered applications. The design prioritizes durable memory for cross-session continuity, multi-attribute response control (tone, structure, pacing, warmth), and human-centered interface design enabling transparent, controllable, and accessible personality-aware interactions.</w:t>
      </w:r>
    </w:p>
    <w:p>
      <w:r>
        <w:pict>
          <v:rect style="width:0;height:1.5pt" o:hralign="center" o:hrstd="t" o:hr="t"/>
        </w:pict>
      </w:r>
    </w:p>
    <w:bookmarkEnd w:id="12"/>
    <w:bookmarkStart w:id="13" w:name="ethical-considerations"/>
    <w:p>
      <w:pPr>
        <w:pStyle w:val="Heading3"/>
      </w:pPr>
      <w:r>
        <w:t xml:space="preserve">1.4 Ethical Considerations</w:t>
      </w:r>
    </w:p>
    <w:p>
      <w:pPr>
        <w:pStyle w:val="FirstParagraph"/>
      </w:pPr>
      <w:r>
        <w:t xml:space="preserve">Personality-aware systems raise critical ethical challenges requiring careful architectural responses.</w:t>
      </w:r>
      <w:r>
        <w:t xml:space="preserve"> </w:t>
      </w:r>
      <w:r>
        <w:rPr>
          <w:b/>
          <w:bCs/>
        </w:rPr>
        <w:t xml:space="preserve">Privacy and data protection:</w:t>
      </w:r>
      <w:r>
        <w:t xml:space="preserve"> </w:t>
      </w:r>
      <w:r>
        <w:t xml:space="preserve">All personality inferences and conversation logs are stored locally with explicit user consent; users control retention periods and can request deletion at any time; data minimization principles apply (Section 1.6).</w:t>
      </w:r>
      <w:r>
        <w:t xml:space="preserve"> </w:t>
      </w:r>
      <w:r>
        <w:rPr>
          <w:b/>
          <w:bCs/>
        </w:rPr>
        <w:t xml:space="preserve">Cultural bias mitigation:</w:t>
      </w:r>
      <w:r>
        <w:t xml:space="preserve"> </w:t>
      </w:r>
      <w:r>
        <w:t xml:space="preserve">The system employs linguistic features rather than culturally specific content, implements confidence thresholds (≥0.4) preventing action on uncertain assessments, and supports manual trait calibration (Church, 2000; McCrae &amp; Terracciano, 2005). For example, if a user’s language shows indirect communication (common in high-context cultures), the system avoids over-inferring low Agreeableness and applies conservative confidence scoring until additional evidence accumulates.</w:t>
      </w:r>
      <w:r>
        <w:t xml:space="preserve"> </w:t>
      </w:r>
      <w:r>
        <w:rPr>
          <w:b/>
          <w:bCs/>
        </w:rPr>
        <w:t xml:space="preserve">Stereotype prevention:</w:t>
      </w:r>
      <w:r>
        <w:t xml:space="preserve"> </w:t>
      </w:r>
      <w:r>
        <w:t xml:space="preserve">Continuous trait updates prevent rigid categorization; auditable policy packs enable correction of inappropriate mappings; neutral fallbacks activate when confidence is low.</w:t>
      </w:r>
      <w:r>
        <w:t xml:space="preserve"> </w:t>
      </w:r>
      <w:r>
        <w:rPr>
          <w:b/>
          <w:bCs/>
        </w:rPr>
        <w:t xml:space="preserve">Sensitive data handling:</w:t>
      </w:r>
      <w:r>
        <w:t xml:space="preserve"> </w:t>
      </w:r>
      <w:r>
        <w:t xml:space="preserve">End-to-end encryption, role-based access controls, automated crisis detection (suicidal ideation, self-harm) with escalation protocols, and clear disclaimers that the system complements but does not replace professional care.</w:t>
      </w:r>
      <w:r>
        <w:t xml:space="preserve"> </w:t>
      </w:r>
      <w:r>
        <w:rPr>
          <w:b/>
          <w:bCs/>
        </w:rPr>
        <w:t xml:space="preserve">Transparency:</w:t>
      </w:r>
      <w:r>
        <w:t xml:space="preserve"> </w:t>
      </w:r>
      <w:r>
        <w:t xml:space="preserve">Per-turn audit trails enable users to view inferred profiles, understand response generation, and provide feedback, supporting informed consent and trust.</w:t>
      </w:r>
    </w:p>
    <w:p>
      <w:r>
        <w:pict>
          <v:rect style="width:0;height:1.5pt" o:hralign="center" o:hrstd="t" o:hr="t"/>
        </w:pict>
      </w:r>
    </w:p>
    <w:bookmarkEnd w:id="13"/>
    <w:bookmarkStart w:id="14" w:name="Xec1ef14c55f679f75af2ccaaca0e225e8026baf"/>
    <w:p>
      <w:pPr>
        <w:pStyle w:val="Heading3"/>
      </w:pPr>
      <w:r>
        <w:t xml:space="preserve">1.5 Study Scope, Limitations, and Validation Plan</w:t>
      </w:r>
    </w:p>
    <w:p>
      <w:pPr>
        <w:pStyle w:val="FirstParagraph"/>
      </w:pPr>
      <w:r>
        <w:rPr>
          <w:b/>
          <w:bCs/>
        </w:rPr>
        <w:t xml:space="preserve">Critical Scope:</w:t>
      </w:r>
      <w:r>
        <w:t xml:space="preserve"> </w:t>
      </w:r>
      <w:r>
        <w:t xml:space="preserve">This preliminary study is an</w:t>
      </w:r>
      <w:r>
        <w:t xml:space="preserve"> </w:t>
      </w:r>
      <w:r>
        <w:rPr>
          <w:b/>
          <w:bCs/>
        </w:rPr>
        <w:t xml:space="preserve">architectural design specification</w:t>
      </w:r>
      <w:r>
        <w:t xml:space="preserve"> </w:t>
      </w:r>
      <w:r>
        <w:t xml:space="preserve">without implementation, data collection, or performance measurements. Validation is deferred to the thesis phase (Weeks 7-16). The study provides system architecture specifications (JSON contracts, workflow design, database schema), theoretical framework (Zurich Model operationalization, EMA smoothing algorithm), and planned evaluation methodology with success criteria.</w:t>
      </w:r>
    </w:p>
    <w:p>
      <w:pPr>
        <w:pStyle w:val="BodyText"/>
      </w:pPr>
      <w:r>
        <w:rPr>
          <w:b/>
          <w:bCs/>
        </w:rPr>
        <w:t xml:space="preserve">Key Limitations requiring thesis-phase validation:</w:t>
      </w:r>
      <w:r>
        <w:t xml:space="preserve"> </w:t>
      </w:r>
      <w:r>
        <w:t xml:space="preserve">-</w:t>
      </w:r>
      <w:r>
        <w:t xml:space="preserve"> </w:t>
      </w:r>
      <w:r>
        <w:rPr>
          <w:b/>
          <w:bCs/>
        </w:rPr>
        <w:t xml:space="preserve">No human participant data:</w:t>
      </w:r>
      <w:r>
        <w:t xml:space="preserve"> </w:t>
      </w:r>
      <w:r>
        <w:t xml:space="preserve">Thesis will collect N≥250 simulated conversations and n=30-50 human participants with formal power analysis (Cohen’s d ≥ 0.5, power=0.80, α=0.05)</w:t>
      </w:r>
      <w:r>
        <w:t xml:space="preserve"> </w:t>
      </w:r>
      <w:r>
        <w:t xml:space="preserve">-</w:t>
      </w:r>
      <w:r>
        <w:t xml:space="preserve"> </w:t>
      </w:r>
      <w:r>
        <w:rPr>
          <w:b/>
          <w:bCs/>
        </w:rPr>
        <w:t xml:space="preserve">Parameter assumptions:</w:t>
      </w:r>
      <w:r>
        <w:t xml:space="preserve"> </w:t>
      </w:r>
      <w:r>
        <w:t xml:space="preserve">EMA α=0.3 and confidence thresholds derived from time-series literature; require empirical validation against ground-truth personality assessments (BFI-44)</w:t>
      </w:r>
      <w:r>
        <w:t xml:space="preserve"> </w:t>
      </w:r>
      <w:r>
        <w:t xml:space="preserve">-</w:t>
      </w:r>
      <w:r>
        <w:t xml:space="preserve"> </w:t>
      </w:r>
      <w:r>
        <w:rPr>
          <w:b/>
          <w:bCs/>
        </w:rPr>
        <w:t xml:space="preserve">Intersectional bias risk:</w:t>
      </w:r>
      <w:r>
        <w:t xml:space="preserve"> </w:t>
      </w:r>
      <w:r>
        <w:t xml:space="preserve">Trait-to-directive mappings may oversimplify without cultural context consideration</w:t>
      </w:r>
      <w:r>
        <w:t xml:space="preserve"> </w:t>
      </w:r>
      <w:r>
        <w:t xml:space="preserve">-</w:t>
      </w:r>
      <w:r>
        <w:t xml:space="preserve"> </w:t>
      </w:r>
      <w:r>
        <w:rPr>
          <w:b/>
          <w:bCs/>
        </w:rPr>
        <w:t xml:space="preserve">Single use case:</w:t>
      </w:r>
      <w:r>
        <w:t xml:space="preserve"> </w:t>
      </w:r>
      <w:r>
        <w:t xml:space="preserve">Swiss caregiver coaching focus; cross-domain reusability requires validation</w:t>
      </w:r>
      <w:r>
        <w:t xml:space="preserve"> </w:t>
      </w:r>
      <w:r>
        <w:t xml:space="preserve">-</w:t>
      </w:r>
      <w:r>
        <w:t xml:space="preserve"> </w:t>
      </w:r>
      <w:r>
        <w:rPr>
          <w:b/>
          <w:bCs/>
        </w:rPr>
        <w:t xml:space="preserve">Western framework:</w:t>
      </w:r>
      <w:r>
        <w:t xml:space="preserve"> </w:t>
      </w:r>
      <w:r>
        <w:t xml:space="preserve">Big Five validated primarily in WEIRD populations; cross-cultural adaptation deferred</w:t>
      </w:r>
      <w:r>
        <w:t xml:space="preserve"> </w:t>
      </w:r>
      <w:r>
        <w:t xml:space="preserve">-</w:t>
      </w:r>
      <w:r>
        <w:t xml:space="preserve"> </w:t>
      </w:r>
      <w:r>
        <w:rPr>
          <w:b/>
          <w:bCs/>
        </w:rPr>
        <w:t xml:space="preserve">English-only:</w:t>
      </w:r>
      <w:r>
        <w:t xml:space="preserve"> </w:t>
      </w:r>
      <w:r>
        <w:t xml:space="preserve">Multilingual support planned for future work</w:t>
      </w:r>
    </w:p>
    <w:p>
      <w:pPr>
        <w:pStyle w:val="BodyText"/>
      </w:pPr>
      <w:r>
        <w:rPr>
          <w:b/>
          <w:bCs/>
        </w:rPr>
        <w:t xml:space="preserve">Thesis validation plan:</w:t>
      </w:r>
      <w:r>
        <w:t xml:space="preserve"> </w:t>
      </w:r>
      <w:r>
        <w:t xml:space="preserve">Large-scale data collection with stratified sampling, convergence reliability analysis with distribution visualizations, and consultation with domain experts (subject to availability). All results will report effect sizes (Cohen’s d with 95% CIs) alongside p-values.</w:t>
      </w:r>
    </w:p>
    <w:p>
      <w:r>
        <w:pict>
          <v:rect style="width:0;height:1.5pt" o:hralign="center" o:hrstd="t" o:hr="t"/>
        </w:pict>
      </w:r>
    </w:p>
    <w:bookmarkEnd w:id="14"/>
    <w:bookmarkStart w:id="15" w:name="data-management-overview"/>
    <w:p>
      <w:pPr>
        <w:pStyle w:val="Heading3"/>
      </w:pPr>
      <w:r>
        <w:t xml:space="preserve">1.6 Data Management Overview</w:t>
      </w:r>
    </w:p>
    <w:p>
      <w:pPr>
        <w:pStyle w:val="FirstParagraph"/>
      </w:pPr>
      <w:r>
        <w:t xml:space="preserve">This study adheres to GDPR principles and university research ethics guidelines. Data collection includes conversation logs, personality trait estimates (OCEAN scores with confidence values), session metadata, and evaluation metrics, stored in a local PostgreSQL database with AES-256 encryption. The preliminary study uses synthetic data only (no IRB approval required); the thesis phase with human participants will require ethics committee approval before recruitment. Access is role-based (primary investigator and supervisor only); no PII is collected; participants control retention and deletion. LLM APIs (OpenAI GPT-4, Gemini) will be configured per vendor data retention policies with explicit opt-out from training data use where available. Reproducibility artifacts (anonymized conversation samples, code, schemas) will be released; aggregated results only are published. Complete details are provided in Appendix D.</w:t>
      </w:r>
    </w:p>
    <w:p>
      <w:r>
        <w:pict>
          <v:rect style="width:0;height:1.5pt" o:hralign="center" o:hrstd="t" o:hr="t"/>
        </w:pict>
      </w:r>
    </w:p>
    <w:bookmarkEnd w:id="15"/>
    <w:bookmarkStart w:id="16" w:name="X5af2ebfde19773986291a4906d860053681ac7a"/>
    <w:p>
      <w:pPr>
        <w:pStyle w:val="Heading3"/>
      </w:pPr>
      <w:r>
        <w:t xml:space="preserve">1.7 Prior Work: Devdas (2025) and Methodological Continuity</w:t>
      </w:r>
    </w:p>
    <w:p>
      <w:pPr>
        <w:pStyle w:val="FirstParagraph"/>
      </w:pPr>
      <w:r>
        <w:t xml:space="preserve">Devdas (2025) provides crucial experimental validation that personality‑adaptive assistants can outperform non‑adaptive baselines, demonstrating substantial performance gains in controlled simulations for emotional support scenarios. The methodology combines cumulative, multi‑turn personality detection with rule‑based regulation, showing that even discretized per‑turn trait updates (−1/0/+1) can yield consistent benefits across diverse personality profiles.</w:t>
      </w:r>
    </w:p>
    <w:p>
      <w:pPr>
        <w:pStyle w:val="BodyText"/>
      </w:pPr>
      <w:r>
        <w:rPr>
          <w:b/>
          <w:bCs/>
        </w:rPr>
        <w:t xml:space="preserve">Architectural extensions.</w:t>
      </w:r>
      <w:r>
        <w:t xml:space="preserve"> </w:t>
      </w:r>
      <w:r>
        <w:t xml:space="preserve">Building on this empirical foundation, the present study pursues architectural generalization and reproducibility through four key advances:</w:t>
      </w:r>
    </w:p>
    <w:p>
      <w:pPr>
        <w:pStyle w:val="Compact"/>
        <w:numPr>
          <w:ilvl w:val="0"/>
          <w:numId w:val="1002"/>
        </w:numPr>
      </w:pPr>
      <w:r>
        <w:rPr>
          <w:b/>
          <w:bCs/>
        </w:rPr>
        <w:t xml:space="preserve">Continuous trait inference with temporal smoothing:</w:t>
      </w:r>
      <w:r>
        <w:t xml:space="preserve"> </w:t>
      </w:r>
      <w:r>
        <w:t xml:space="preserve">Adopts continuous trait values (−1.0 to +1.0) with EMA smoothing designed to stabilize multi‑turn inference and reduce volatility.</w:t>
      </w:r>
    </w:p>
    <w:p>
      <w:pPr>
        <w:pStyle w:val="Compact"/>
        <w:numPr>
          <w:ilvl w:val="0"/>
          <w:numId w:val="1002"/>
        </w:numPr>
      </w:pPr>
      <w:r>
        <w:rPr>
          <w:b/>
          <w:bCs/>
        </w:rPr>
        <w:t xml:space="preserve">Modular, contract-based architecture:</w:t>
      </w:r>
      <w:r>
        <w:t xml:space="preserve"> </w:t>
      </w:r>
      <w:r>
        <w:t xml:space="preserve">Each stage (detect → regulate → generate → verify) uses stable JSON contracts—standardized data formats—designed to support provider‑agnostic component swapping.</w:t>
      </w:r>
    </w:p>
    <w:p>
      <w:pPr>
        <w:pStyle w:val="Compact"/>
        <w:numPr>
          <w:ilvl w:val="0"/>
          <w:numId w:val="1002"/>
        </w:numPr>
      </w:pPr>
      <w:r>
        <w:rPr>
          <w:b/>
          <w:bCs/>
        </w:rPr>
        <w:t xml:space="preserve">Comprehensive auditability:</w:t>
      </w:r>
      <w:r>
        <w:t xml:space="preserve"> </w:t>
      </w:r>
      <w:r>
        <w:t xml:space="preserve">State and logs persisted in a relational database with per‑turn structured traces designed to enable quality assurance and longitudinal analysis.</w:t>
      </w:r>
    </w:p>
    <w:p>
      <w:pPr>
        <w:pStyle w:val="Compact"/>
        <w:numPr>
          <w:ilvl w:val="0"/>
          <w:numId w:val="1002"/>
        </w:numPr>
      </w:pPr>
      <w:r>
        <w:rPr>
          <w:b/>
          <w:bCs/>
        </w:rPr>
        <w:t xml:space="preserve">Domain-agnostic design:</w:t>
      </w:r>
      <w:r>
        <w:t xml:space="preserve"> </w:t>
      </w:r>
      <w:r>
        <w:t xml:space="preserve">Modular specification designed to enable rapid reconfiguration across domains via policy‑pack configuration rather than code modification (to be validated in thesis phase).</w:t>
      </w:r>
    </w:p>
    <w:p>
      <w:pPr>
        <w:pStyle w:val="FirstParagraph"/>
      </w:pPr>
      <w:r>
        <w:t xml:space="preserve">This design preserves the core insight of Devdas—personality‑aware regulation meaningfully improves conversational quality—while extending it into a production-ready, reusable system architecture optimized for transparency, reproducibility, and cross-domain scalability.</w:t>
      </w:r>
    </w:p>
    <w:p>
      <w:r>
        <w:pict>
          <v:rect style="width:0;height:1.5pt" o:hralign="center" o:hrstd="t" o:hr="t"/>
        </w:pict>
      </w:r>
    </w:p>
    <w:bookmarkEnd w:id="16"/>
    <w:bookmarkEnd w:id="17"/>
    <w:bookmarkStart w:id="22" w:name="topic-definition"/>
    <w:p>
      <w:pPr>
        <w:pStyle w:val="Heading2"/>
      </w:pPr>
      <w:r>
        <w:t xml:space="preserve">2. Topic Definition</w:t>
      </w:r>
    </w:p>
    <w:bookmarkStart w:id="18" w:name="core-concepts"/>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r>
        <w:t xml:space="preserve"> </w:t>
      </w:r>
      <w:r>
        <w:rPr>
          <w:i/>
          <w:iCs/>
        </w:rPr>
        <w:t xml:space="preserve">Note: This operationalization represents a simplified first-order mapping; the Zurich Model emphasizes dynamic interactions between motivational systems (Quirin et al., 2023), which are not fully captured in this preliminary design and require empirical validation in the thesis phase.</w:t>
      </w:r>
    </w:p>
    <w:p>
      <w:pPr>
        <w:pStyle w:val="BodyText"/>
      </w:pPr>
      <w:r>
        <w:rPr>
          <w:b/>
          <w:bCs/>
        </w:rPr>
        <w:t xml:space="preserve">Safety constraints.</w:t>
      </w:r>
      <w:r>
        <w:t xml:space="preserve"> </w:t>
      </w:r>
      <w:r>
        <w:t xml:space="preserve">All system responses are designed to be grounded in user conversational input (see Section 4.4 for quote-and-bound implementation details).</w:t>
      </w:r>
    </w:p>
    <w:bookmarkEnd w:id="18"/>
    <w:bookmarkStart w:id="19" w:name="scope-and-application-context"/>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family caregiver support, mental health services, educational assistance, customer service interactions,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Domain prioritization rationale.</w:t>
      </w:r>
      <w:r>
        <w:t xml:space="preserve"> </w:t>
      </w:r>
      <w:r>
        <w:t xml:space="preserve">Family caregiver coaching was prioritized over clinical mental health applications due to: (1) strong alignment with Zurich Model motivations (security for managing care responsibilities and financial stress, affiliation for family dynamics and social support, arousal for goal-setting and advocacy), (2) urgent public health need (Switzerland’s aging population creates growing caregiver burden with limited digital support infrastructure), (3) clear policy integration opportunity (navigating AHV, IV, Hilflosenentschädigung, respite care services), (4) lower ethical and regulatory risks (non-clinical coaching boundary avoids medical device regulations while addressing wellbeing), and (5) measurable outcomes (caregiver stress reduction, benefit system navigation success, self-care adoption, sustained engagement).</w:t>
      </w:r>
    </w:p>
    <w:p>
      <w:pPr>
        <w:pStyle w:val="BodyText"/>
      </w:pPr>
      <w:r>
        <w:rPr>
          <w:b/>
          <w:bCs/>
        </w:rPr>
        <w:t xml:space="preserve">Technical scope.</w:t>
      </w:r>
      <w:r>
        <w:t xml:space="preserve"> </w:t>
      </w:r>
      <w:r>
        <w:t xml:space="preserve">The system integrates personality-aware dialogue with RAG-augmented policy navigation for Swiss caregiver benefits (AHV, IV, Hilflosenentschädigung, Ergänzungsleistungen, respite care programs). The RAG module retrieves relevant policy documents and eligibility criteria based on caregiver context, while the personality-aware regulation determines presentation style (detailed vs. summary, reassuring vs. pragmatic). The system implements a webhook-based N8N architecture for production deployment. The preliminary study focuses on personality detection and regulation mechanisms; RAG integration and multimodal inputs are planned for thesis implementation phase (Weeks 7-10).</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9"/>
    <w:bookmarkStart w:id="20" w:name="implementation-specifications"/>
    <w:p>
      <w:pPr>
        <w:pStyle w:val="Heading3"/>
      </w:pPr>
      <w:r>
        <w:t xml:space="preserve">2.3 Implementation Specifications</w:t>
      </w:r>
    </w:p>
    <w:p>
      <w:pPr>
        <w:pStyle w:val="FirstParagraph"/>
      </w:pPr>
      <w:r>
        <w:rPr>
          <w:b/>
          <w:bCs/>
        </w:rPr>
        <w:t xml:space="preserve">LLM model selection.</w:t>
      </w:r>
      <w:r>
        <w:t xml:space="preserve"> </w:t>
      </w:r>
      <w:r>
        <w:t xml:space="preserve">We employ OpenAI GPT-4 as the primary model for personality detection and response generation, with Gemini-1.5-Pro as a cost-effective alternative. GPT-4 offers excellent structured JSON output through native function calling and strong personality inference capabilities validated in prior work (Miotto et al., 2022). We set temperature to 0.3 for detection (prioritizing consistency) and 0.7 for generation (balancing creativity with reliability). The modular architecture’s provider-agnostic JSON contracts enable seamless model swapping for comparative evaluation, cost optimization, and robustness testing. Vendor-specific details (API versions, uptime, costs, timeouts) are provided in Appendix E for planning purposes.</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Swiss caregiver stress contexts (emotional burden, benefit navigation complexity, self-care neglect), and (3)</w:t>
      </w:r>
      <w:r>
        <w:t xml:space="preserve"> </w:t>
      </w:r>
      <w:r>
        <w:rPr>
          <w:b/>
          <w:bCs/>
        </w:rPr>
        <w:t xml:space="preserve">human validation subset</w:t>
      </w:r>
      <w:r>
        <w:t xml:space="preserve"> </w:t>
      </w:r>
      <w:r>
        <w:t xml:space="preserve">(planned for thesis phase) with 30-50 Swiss family caregiver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Evidence Map: Validation Status</w:t>
      </w:r>
    </w:p>
    <w:tbl>
      <w:tblPr>
        <w:tblStyle w:val="Table"/>
        <w:tblW w:type="pct" w:w="5000"/>
        <w:tblLayout w:type="fixed"/>
        <w:tblLook w:firstRow="1" w:lastRow="0" w:firstColumn="0" w:lastColumn="0" w:noHBand="0" w:noVBand="0" w:val="0020"/>
      </w:tblPr>
      <w:tblGrid>
        <w:gridCol w:w="2066"/>
        <w:gridCol w:w="2926"/>
        <w:gridCol w:w="2926"/>
      </w:tblGrid>
      <w:tr>
        <w:trPr>
          <w:tblHeader w:val="on"/>
        </w:trPr>
        <w:tc>
          <w:tcPr/>
          <w:p>
            <w:pPr>
              <w:pStyle w:val="Compact"/>
            </w:pPr>
            <w:r>
              <w:t xml:space="preserve">Claim Type</w:t>
            </w:r>
          </w:p>
        </w:tc>
        <w:tc>
          <w:tcPr/>
          <w:p>
            <w:pPr>
              <w:pStyle w:val="Compact"/>
            </w:pPr>
            <w:r>
              <w:t xml:space="preserve">Evidence Status</w:t>
            </w:r>
          </w:p>
        </w:tc>
        <w:tc>
          <w:tcPr/>
          <w:p>
            <w:pPr>
              <w:pStyle w:val="Compact"/>
            </w:pPr>
            <w:r>
              <w:t xml:space="preserve">Validation Plan</w:t>
            </w:r>
          </w:p>
        </w:tc>
      </w:tr>
      <w:tr>
        <w:tc>
          <w:tcPr/>
          <w:p>
            <w:pPr>
              <w:pStyle w:val="Compact"/>
            </w:pPr>
            <w:r>
              <w:rPr>
                <w:b/>
                <w:bCs/>
              </w:rPr>
              <w:t xml:space="preserve">Architecture specifications</w:t>
            </w:r>
          </w:p>
        </w:tc>
        <w:tc>
          <w:tcPr/>
          <w:p>
            <w:pPr>
              <w:pStyle w:val="Compact"/>
            </w:pPr>
            <w:r>
              <w:t xml:space="preserve">Design complete</w:t>
            </w:r>
          </w:p>
        </w:tc>
        <w:tc>
          <w:tcPr/>
          <w:p>
            <w:pPr>
              <w:pStyle w:val="Compact"/>
            </w:pPr>
            <w:r>
              <w:t xml:space="preserve">Implementation in thesis Weeks 7-10</w:t>
            </w:r>
          </w:p>
        </w:tc>
      </w:tr>
      <w:tr>
        <w:tc>
          <w:tcPr/>
          <w:p>
            <w:pPr>
              <w:pStyle w:val="Compact"/>
            </w:pPr>
            <w:r>
              <w:rPr>
                <w:b/>
                <w:bCs/>
              </w:rPr>
              <w:t xml:space="preserve">EMA parameters (α=0.3)</w:t>
            </w:r>
          </w:p>
        </w:tc>
        <w:tc>
          <w:tcPr/>
          <w:p>
            <w:pPr>
              <w:pStyle w:val="Compact"/>
            </w:pPr>
            <w:r>
              <w:t xml:space="preserve">Theory-derived</w:t>
            </w:r>
          </w:p>
        </w:tc>
        <w:tc>
          <w:tcPr/>
          <w:p>
            <w:pPr>
              <w:pStyle w:val="Compact"/>
            </w:pPr>
            <w:r>
              <w:t xml:space="preserve">Empirical validation in thesis Weeks 11-14 (N≥250)</w:t>
            </w:r>
          </w:p>
        </w:tc>
      </w:tr>
      <w:tr>
        <w:tc>
          <w:tcPr/>
          <w:p>
            <w:pPr>
              <w:pStyle w:val="Compact"/>
            </w:pPr>
            <w:r>
              <w:rPr>
                <w:b/>
                <w:bCs/>
              </w:rPr>
              <w:t xml:space="preserve">Performance thresholds</w:t>
            </w:r>
          </w:p>
        </w:tc>
        <w:tc>
          <w:tcPr/>
          <w:p>
            <w:pPr>
              <w:pStyle w:val="Compact"/>
            </w:pPr>
            <w:r>
              <w:t xml:space="preserve">Target hypotheses</w:t>
            </w:r>
          </w:p>
        </w:tc>
        <w:tc>
          <w:tcPr/>
          <w:p>
            <w:pPr>
              <w:pStyle w:val="Compact"/>
            </w:pPr>
            <w:r>
              <w:t xml:space="preserve">Human validation in thesis Weeks 15-16 (n=30-50)</w:t>
            </w:r>
          </w:p>
        </w:tc>
      </w:tr>
      <w:tr>
        <w:tc>
          <w:tcPr/>
          <w:p>
            <w:pPr>
              <w:pStyle w:val="Compact"/>
            </w:pPr>
            <w:r>
              <w:rPr>
                <w:b/>
                <w:bCs/>
              </w:rPr>
              <w:t xml:space="preserve">Cross-domain reusability</w:t>
            </w:r>
          </w:p>
        </w:tc>
        <w:tc>
          <w:tcPr/>
          <w:p>
            <w:pPr>
              <w:pStyle w:val="Compact"/>
            </w:pPr>
            <w:r>
              <w:t xml:space="preserve">Design claim</w:t>
            </w:r>
          </w:p>
        </w:tc>
        <w:tc>
          <w:tcPr/>
          <w:p>
            <w:pPr>
              <w:pStyle w:val="Compact"/>
            </w:pPr>
            <w:r>
              <w:t xml:space="preserve">Timed experiments in thesis Weeks 8-10</w:t>
            </w:r>
          </w:p>
        </w:tc>
      </w:tr>
    </w:tbl>
    <w:p>
      <w:pPr>
        <w:pStyle w:val="BodyText"/>
      </w:pPr>
      <w:r>
        <w:rPr>
          <w:b/>
          <w:bCs/>
        </w:rPr>
        <w:t xml:space="preserve">Table 2. Evaluation Metrics and Target Thresholds</w:t>
      </w:r>
    </w:p>
    <w:tbl>
      <w:tblPr>
        <w:tblStyle w:val="Table"/>
        <w:tblW w:type="pct" w:w="5000"/>
        <w:tblLayout w:type="fixed"/>
        <w:tblLook w:firstRow="1" w:lastRow="0" w:firstColumn="0" w:lastColumn="0" w:noHBand="0" w:noVBand="0" w:val="0020"/>
      </w:tblPr>
      <w:tblGrid>
        <w:gridCol w:w="1408"/>
        <w:gridCol w:w="3168"/>
        <w:gridCol w:w="3344"/>
      </w:tblGrid>
      <w:tr>
        <w:trPr>
          <w:tblHeader w:val="on"/>
        </w:trPr>
        <w:tc>
          <w:tcPr/>
          <w:p>
            <w:pPr>
              <w:pStyle w:val="Compact"/>
            </w:pPr>
            <w:r>
              <w:t xml:space="preserve">Metric</w:t>
            </w:r>
          </w:p>
        </w:tc>
        <w:tc>
          <w:tcPr/>
          <w:p>
            <w:pPr>
              <w:pStyle w:val="Compact"/>
              <w:jc w:val="center"/>
            </w:pPr>
            <w:r>
              <w:t xml:space="preserve">Target Threshold</w:t>
            </w:r>
          </w:p>
        </w:tc>
        <w:tc>
          <w:tcPr/>
          <w:p>
            <w:pPr>
              <w:pStyle w:val="Compact"/>
            </w:pPr>
            <w:r>
              <w:t xml:space="preserve">Measurement Method</w:t>
            </w:r>
          </w:p>
        </w:tc>
      </w:tr>
      <w:tr>
        <w:tc>
          <w:tcPr/>
          <w:p>
            <w:pPr>
              <w:pStyle w:val="Compact"/>
            </w:pPr>
            <w:r>
              <w:rPr>
                <w:b/>
                <w:bCs/>
              </w:rPr>
              <w:t xml:space="preserve">Detection Accuracy</w:t>
            </w:r>
          </w:p>
        </w:tc>
        <w:tc>
          <w:tcPr/>
          <w:p>
            <w:pPr>
              <w:pStyle w:val="Compact"/>
              <w:jc w:val="center"/>
            </w:pPr>
            <w:r>
              <w:t xml:space="preserve">≥75% trait alignment</w:t>
            </w:r>
          </w:p>
        </w:tc>
        <w:tc>
          <w:tcPr/>
          <w:p>
            <w:pPr>
              <w:pStyle w:val="Compact"/>
            </w:pPr>
            <w:r>
              <w:t xml:space="preserve">Correlation between inferred and ground-truth OCEAN scores (r ≥ 0.75)</w:t>
            </w:r>
          </w:p>
        </w:tc>
      </w:tr>
      <w:tr>
        <w:tc>
          <w:tcPr/>
          <w:p>
            <w:pPr>
              <w:pStyle w:val="Compact"/>
            </w:pPr>
            <w:r>
              <w:rPr>
                <w:b/>
                <w:bCs/>
              </w:rPr>
              <w:t xml:space="preserve">Temporal Stability</w:t>
            </w:r>
          </w:p>
        </w:tc>
        <w:tc>
          <w:tcPr/>
          <w:p>
            <w:pPr>
              <w:pStyle w:val="Compact"/>
              <w:jc w:val="center"/>
            </w:pPr>
            <w:r>
              <w:t xml:space="preserve">Variance &lt; 0.15</w:t>
            </w:r>
          </w:p>
        </w:tc>
        <w:tc>
          <w:tcPr/>
          <w:p>
            <w:pPr>
              <w:pStyle w:val="Compact"/>
            </w:pPr>
            <w:r>
              <w:t xml:space="preserve">Standard deviation of trait estimates after turn 6</w:t>
            </w:r>
          </w:p>
        </w:tc>
      </w:tr>
      <w:tr>
        <w:tc>
          <w:tcPr/>
          <w:p>
            <w:pPr>
              <w:pStyle w:val="Compact"/>
            </w:pPr>
            <w:r>
              <w:rPr>
                <w:b/>
                <w:bCs/>
              </w:rPr>
              <w:t xml:space="preserve">Confidence Calibration</w:t>
            </w:r>
          </w:p>
        </w:tc>
        <w:tc>
          <w:tcPr/>
          <w:p>
            <w:pPr>
              <w:pStyle w:val="Compact"/>
              <w:jc w:val="center"/>
            </w:pPr>
            <w:r>
              <w:t xml:space="preserve">≥85% alignment</w:t>
            </w:r>
          </w:p>
        </w:tc>
        <w:tc>
          <w:tcPr/>
          <w:p>
            <w:pPr>
              <w:pStyle w:val="Compact"/>
            </w:pPr>
            <w:r>
              <w:t xml:space="preserve">High-confidence predictions (≥0.7) match personality cues in 85%+ cases</w:t>
            </w:r>
          </w:p>
        </w:tc>
      </w:tr>
      <w:tr>
        <w:tc>
          <w:tcPr/>
          <w:p>
            <w:pPr>
              <w:pStyle w:val="Compact"/>
            </w:pPr>
            <w:r>
              <w:rPr>
                <w:b/>
                <w:bCs/>
              </w:rPr>
              <w:t xml:space="preserve">JSON Contract Compliance</w:t>
            </w:r>
          </w:p>
        </w:tc>
        <w:tc>
          <w:tcPr/>
          <w:p>
            <w:pPr>
              <w:pStyle w:val="Compact"/>
              <w:jc w:val="center"/>
            </w:pPr>
            <w:r>
              <w:t xml:space="preserve">≥99.5%</w:t>
            </w:r>
          </w:p>
        </w:tc>
        <w:tc>
          <w:tcPr/>
          <w:p>
            <w:pPr>
              <w:pStyle w:val="Compact"/>
            </w:pPr>
            <w:r>
              <w:t xml:space="preserve">Percentage of valid JSON outputs from detection/generation modules</w:t>
            </w:r>
          </w:p>
        </w:tc>
      </w:tr>
      <w:tr>
        <w:tc>
          <w:tcPr/>
          <w:p>
            <w:pPr>
              <w:pStyle w:val="Compact"/>
            </w:pPr>
            <w:r>
              <w:rPr>
                <w:b/>
                <w:bCs/>
              </w:rPr>
              <w:t xml:space="preserve">Tone Appropriateness</w:t>
            </w:r>
          </w:p>
        </w:tc>
        <w:tc>
          <w:tcPr/>
          <w:p>
            <w:pPr>
              <w:pStyle w:val="Compact"/>
              <w:jc w:val="center"/>
            </w:pPr>
            <w:r>
              <w:t xml:space="preserve">≥80% evaluator rating</w:t>
            </w:r>
          </w:p>
        </w:tc>
        <w:tc>
          <w:tcPr/>
          <w:p>
            <w:pPr>
              <w:pStyle w:val="Compact"/>
            </w:pPr>
            <w:r>
              <w:t xml:space="preserve">LLM evaluator scores on 5-point Likert scale (≥4.0/5.0)</w:t>
            </w:r>
          </w:p>
        </w:tc>
      </w:tr>
      <w:tr>
        <w:tc>
          <w:tcPr/>
          <w:p>
            <w:pPr>
              <w:pStyle w:val="Compact"/>
            </w:pPr>
            <w:r>
              <w:rPr>
                <w:b/>
                <w:bCs/>
              </w:rPr>
              <w:t xml:space="preserve">Needs Satisfaction</w:t>
            </w:r>
          </w:p>
        </w:tc>
        <w:tc>
          <w:tcPr/>
          <w:p>
            <w:pPr>
              <w:pStyle w:val="Compact"/>
              <w:jc w:val="center"/>
            </w:pPr>
            <w:r>
              <w:t xml:space="preserve">≥20% improvement vs. baseline</w:t>
            </w:r>
          </w:p>
        </w:tc>
        <w:tc>
          <w:tcPr/>
          <w:p>
            <w:pPr>
              <w:pStyle w:val="Compact"/>
            </w:pPr>
            <w:r>
              <w:t xml:space="preserve">Relative gain on personality-specific needs addressed</w:t>
            </w:r>
          </w:p>
        </w:tc>
      </w:tr>
      <w:tr>
        <w:tc>
          <w:tcPr/>
          <w:p>
            <w:pPr>
              <w:pStyle w:val="Compact"/>
            </w:pPr>
            <w:r>
              <w:rPr>
                <w:b/>
                <w:bCs/>
              </w:rPr>
              <w:t xml:space="preserve">System Reliability</w:t>
            </w:r>
          </w:p>
        </w:tc>
        <w:tc>
          <w:tcPr/>
          <w:p>
            <w:pPr>
              <w:pStyle w:val="Compact"/>
              <w:jc w:val="center"/>
            </w:pPr>
            <w:r>
              <w:t xml:space="preserve">100% graceful fallback</w:t>
            </w:r>
          </w:p>
        </w:tc>
        <w:tc>
          <w:tcPr/>
          <w:p>
            <w:pPr>
              <w:pStyle w:val="Compact"/>
            </w:pPr>
            <w:r>
              <w:t xml:space="preserve">Zero unhandled exceptions; all errors trigger neutral responses</w:t>
            </w:r>
          </w:p>
        </w:tc>
      </w:tr>
    </w:tbl>
    <w:p>
      <w:pPr>
        <w:pStyle w:val="BodyText"/>
      </w:pPr>
      <w:r>
        <w:rPr>
          <w:i/>
          <w:iCs/>
        </w:rPr>
        <w:t xml:space="preserve">Note: Thresholds informed by prior conversational AI evaluation studies (Zhang et al., 2024; Devdas, 2025) and personality assessment reliability standards (Costa &amp; McCrae, 1992). These represent hypothesized success criteria to be empirically validated in thesis phase with N≥250 simulated conversations and n=30-50 human participants.</w:t>
      </w:r>
    </w:p>
    <w:p>
      <w:pPr>
        <w:pStyle w:val="BodyText"/>
      </w:pPr>
      <w:r>
        <w:rPr>
          <w:b/>
          <w:bCs/>
        </w:rPr>
        <w:t xml:space="preserve">Temporal smoothing parameters.</w:t>
      </w:r>
      <w:r>
        <w:t xml:space="preserve"> </w:t>
      </w:r>
      <w:r>
        <w:t xml:space="preserve">EMA smoothing employs α (alpha) = 0.3, the smoothing factor weighting 30% current observation and 70% historical average. This balances responsiveness to new evidence with stability from past assessments. The α=0.3 selection aligns with personality psychology literature suggesting trait stability emerges after 5-10 behavioral observations (Costa &amp; McCrae, 1992), targeting convergence within 6-8 turns. Confidence thresholds—0.4 (minimum for trait updates) and 0.7 (high-confidence for aggressive adaptation)—are informed by personality assessment reliability standards where correlation r≥0.7 indicates acceptable validity (Park et al., 2015). These parameters represent theoretically grounded hypotheses to be empirically validated against human ground-truth data (BFI-44) in the thesis phase, with sensitivity analysis (α ∈ {0.1, 0.2, 0.3, 0.4, 0.5}) planned as Experiment E2.</w:t>
      </w:r>
    </w:p>
    <w:bookmarkEnd w:id="20"/>
    <w:bookmarkStart w:id="21" w:name="Xa26a9667301dee01b0f5b06ef88dafe06615c82"/>
    <w:p>
      <w:pPr>
        <w:pStyle w:val="Heading3"/>
      </w:pPr>
      <w:r>
        <w:t xml:space="preserve">2.4 Primary Use Case: Swiss Caregiver Coaching Assistant</w:t>
      </w:r>
    </w:p>
    <w:p>
      <w:pPr>
        <w:pStyle w:val="FirstParagraph"/>
      </w:pPr>
      <w:r>
        <w:rPr>
          <w:b/>
          <w:bCs/>
        </w:rPr>
        <w:t xml:space="preserve">Target population and context.</w:t>
      </w:r>
      <w:r>
        <w:t xml:space="preserve"> </w:t>
      </w:r>
      <w:r>
        <w:t xml:space="preserve">For this thesis project, we focus on a</w:t>
      </w:r>
      <w:r>
        <w:t xml:space="preserve"> </w:t>
      </w:r>
      <w:r>
        <w:rPr>
          <w:b/>
          <w:bCs/>
        </w:rPr>
        <w:t xml:space="preserve">Swiss Caregiver Coaching Assistant</w:t>
      </w:r>
      <w:r>
        <w:t xml:space="preserve"> </w:t>
      </w:r>
      <w:r>
        <w:t xml:space="preserve">supporting family caregivers managing eldercare, chronic illness, and disability care responsibilities in Switzerland. The assistant helps users navigate emotional burden, financial stress, benefit system complexity, and self-care neglect while sustaining caregiving capacity and personal wellbeing. This use case is selected for: (i) strong theoretical alignment with the motivational framework (Section 2.1)—security needs for financial/care stability, affiliation needs for family dynamics, arousal needs for advocacy and goal-setting; (ii) urgent public health need (1.4M Swiss family caregivers, 40-70% report burnout, limited digital support infrastructure); (iii) clear policy integration opportunity (navigating AHV, IV, Hilflosenentschädigung, Ergänzungsleistungen, respite care); (iv) minimal regulatory risk (non-clinical coaching boundary); and (v) measurable outcomes (stress reduction, benefit navigation success, self-care adoption, sustained engagement).</w:t>
      </w:r>
    </w:p>
    <w:p>
      <w:pPr>
        <w:pStyle w:val="BodyText"/>
      </w:pPr>
      <w:r>
        <w:rPr>
          <w:b/>
          <w:bCs/>
        </w:rPr>
        <w:t xml:space="preserve">Three personality-tailored coaching modes:</w:t>
      </w:r>
    </w:p>
    <w:p>
      <w:pPr>
        <w:numPr>
          <w:ilvl w:val="0"/>
          <w:numId w:val="1003"/>
        </w:numPr>
      </w:pPr>
      <w:r>
        <w:rPr>
          <w:b/>
          <w:bCs/>
        </w:rPr>
        <w:t xml:space="preserve">Emotional Support:</w:t>
      </w:r>
      <w:r>
        <w:t xml:space="preserve"> </w:t>
      </w:r>
      <w:r>
        <w:t xml:space="preserve">Validation of caregiver burden and role strain;</w:t>
      </w:r>
      <w:r>
        <w:t xml:space="preserve"> </w:t>
      </w:r>
      <w:r>
        <w:rPr>
          <w:b/>
          <w:bCs/>
        </w:rPr>
        <w:t xml:space="preserve">high-N</w:t>
      </w:r>
      <w:r>
        <w:t xml:space="preserve"> </w:t>
      </w:r>
      <w:r>
        <w:t xml:space="preserve">receives reassurance and normalization (</w:t>
      </w:r>
      <w:r>
        <w:t xml:space="preserve">“Many caregivers feel overwhelmed—this is completely understandable”</w:t>
      </w:r>
      <w:r>
        <w:t xml:space="preserve">),</w:t>
      </w:r>
      <w:r>
        <w:t xml:space="preserve"> </w:t>
      </w:r>
      <w:r>
        <w:rPr>
          <w:b/>
          <w:bCs/>
        </w:rPr>
        <w:t xml:space="preserve">low-N</w:t>
      </w:r>
      <w:r>
        <w:t xml:space="preserve"> </w:t>
      </w:r>
      <w:r>
        <w:t xml:space="preserve">gets pragmatic acknowledgment (</w:t>
      </w:r>
      <w:r>
        <w:t xml:space="preserve">“You’re managing significant responsibilities”</w:t>
      </w:r>
      <w:r>
        <w:t xml:space="preserve">)</w:t>
      </w:r>
    </w:p>
    <w:p>
      <w:pPr>
        <w:numPr>
          <w:ilvl w:val="0"/>
          <w:numId w:val="1003"/>
        </w:numPr>
      </w:pPr>
      <w:r>
        <w:rPr>
          <w:b/>
          <w:bCs/>
        </w:rPr>
        <w:t xml:space="preserve">Resource Navigation:</w:t>
      </w:r>
      <w:r>
        <w:t xml:space="preserve"> </w:t>
      </w:r>
      <w:r>
        <w:t xml:space="preserve">Swiss benefit system guidance (AHV, IV, Hilflosenentschädigung, respite care);</w:t>
      </w:r>
      <w:r>
        <w:t xml:space="preserve"> </w:t>
      </w:r>
      <w:r>
        <w:rPr>
          <w:b/>
          <w:bCs/>
        </w:rPr>
        <w:t xml:space="preserve">high-C</w:t>
      </w:r>
      <w:r>
        <w:t xml:space="preserve"> </w:t>
      </w:r>
      <w:r>
        <w:t xml:space="preserve">receives detailed step-by-step eligibility checklists and application procedures,</w:t>
      </w:r>
      <w:r>
        <w:t xml:space="preserve"> </w:t>
      </w:r>
      <w:r>
        <w:rPr>
          <w:b/>
          <w:bCs/>
        </w:rPr>
        <w:t xml:space="preserve">low-C</w:t>
      </w:r>
      <w:r>
        <w:t xml:space="preserve"> </w:t>
      </w:r>
      <w:r>
        <w:t xml:space="preserve">gets flexible overview with key contacts and optional depth</w:t>
      </w:r>
    </w:p>
    <w:p>
      <w:pPr>
        <w:numPr>
          <w:ilvl w:val="0"/>
          <w:numId w:val="1003"/>
        </w:numPr>
      </w:pPr>
      <w:r>
        <w:rPr>
          <w:b/>
          <w:bCs/>
        </w:rPr>
        <w:t xml:space="preserve">Self-Care Planning:</w:t>
      </w:r>
      <w:r>
        <w:t xml:space="preserve"> </w:t>
      </w:r>
      <w:r>
        <w:t xml:space="preserve">Sustainable coping strategies and respite planning;</w:t>
      </w:r>
      <w:r>
        <w:t xml:space="preserve"> </w:t>
      </w:r>
      <w:r>
        <w:rPr>
          <w:b/>
          <w:bCs/>
        </w:rPr>
        <w:t xml:space="preserve">high-E</w:t>
      </w:r>
      <w:r>
        <w:t xml:space="preserve"> </w:t>
      </w:r>
      <w:r>
        <w:t xml:space="preserve">emphasizes social support mobilization (support groups, family coordination),</w:t>
      </w:r>
      <w:r>
        <w:t xml:space="preserve"> </w:t>
      </w:r>
      <w:r>
        <w:rPr>
          <w:b/>
          <w:bCs/>
        </w:rPr>
        <w:t xml:space="preserve">low-E</w:t>
      </w:r>
      <w:r>
        <w:t xml:space="preserve"> </w:t>
      </w:r>
      <w:r>
        <w:t xml:space="preserve">focuses on individual restoration (rest, boundaries, micro-breaks)</w:t>
      </w:r>
    </w:p>
    <w:p>
      <w:pPr>
        <w:pStyle w:val="FirstParagraph"/>
      </w:pPr>
      <w:r>
        <w:rPr>
          <w:b/>
          <w:bCs/>
        </w:rPr>
        <w:t xml:space="preserve">RAG-Augmented Policy Guidance (Planned for Thesis Phase):</w:t>
      </w:r>
      <w:r>
        <w:t xml:space="preserve"> </w:t>
      </w:r>
      <w:r>
        <w:t xml:space="preserve">The system retrieves relevant Swiss policy documents based on caregiver context (care recipient age, disability level, canton, financial situation) and adapts presentation via personality-aware regulation:</w:t>
      </w:r>
      <w:r>
        <w:t xml:space="preserve"> </w:t>
      </w:r>
      <w:r>
        <w:t xml:space="preserve">-</w:t>
      </w:r>
      <w:r>
        <w:t xml:space="preserve"> </w:t>
      </w:r>
      <w:r>
        <w:rPr>
          <w:b/>
          <w:bCs/>
        </w:rPr>
        <w:t xml:space="preserve">High-O caregivers:</w:t>
      </w:r>
      <w:r>
        <w:t xml:space="preserve"> </w:t>
      </w:r>
      <w:r>
        <w:t xml:space="preserve">Novel community resources, emerging support models</w:t>
      </w:r>
      <w:r>
        <w:t xml:space="preserve"> </w:t>
      </w:r>
      <w:r>
        <w:t xml:space="preserve">-</w:t>
      </w:r>
      <w:r>
        <w:t xml:space="preserve"> </w:t>
      </w:r>
      <w:r>
        <w:rPr>
          <w:b/>
          <w:bCs/>
        </w:rPr>
        <w:t xml:space="preserve">High-A caregivers:</w:t>
      </w:r>
      <w:r>
        <w:t xml:space="preserve"> </w:t>
      </w:r>
      <w:r>
        <w:t xml:space="preserve">Collaborative framing (</w:t>
      </w:r>
      <w:r>
        <w:t xml:space="preserve">“Let’s explore options together”</w:t>
      </w:r>
      <w:r>
        <w:t xml:space="preserve">)</w:t>
      </w:r>
      <w:r>
        <w:t xml:space="preserve"> </w:t>
      </w:r>
      <w:r>
        <w:t xml:space="preserve">-</w:t>
      </w:r>
      <w:r>
        <w:t xml:space="preserve"> </w:t>
      </w:r>
      <w:r>
        <w:rPr>
          <w:b/>
          <w:bCs/>
        </w:rPr>
        <w:t xml:space="preserve">High-N caregivers:</w:t>
      </w:r>
      <w:r>
        <w:t xml:space="preserve"> </w:t>
      </w:r>
      <w:r>
        <w:t xml:space="preserve">Reassuring guidance with step-by-step support</w:t>
      </w:r>
      <w:r>
        <w:t xml:space="preserve"> </w:t>
      </w:r>
      <w:r>
        <w:t xml:space="preserve">-</w:t>
      </w:r>
      <w:r>
        <w:t xml:space="preserve"> </w:t>
      </w:r>
      <w:r>
        <w:rPr>
          <w:b/>
          <w:bCs/>
        </w:rPr>
        <w:t xml:space="preserve">Low-C caregivers:</w:t>
      </w:r>
      <w:r>
        <w:t xml:space="preserve"> </w:t>
      </w:r>
      <w:r>
        <w:t xml:space="preserve">Concise summaries with direct links, minimal bureaucratic detail</w:t>
      </w:r>
    </w:p>
    <w:p>
      <w:pPr>
        <w:pStyle w:val="BodyText"/>
      </w:pPr>
      <w:r>
        <w:rPr>
          <w:b/>
          <w:bCs/>
        </w:rPr>
        <w:t xml:space="preserve">Evidence-based techniques:</w:t>
      </w:r>
      <w:r>
        <w:t xml:space="preserve"> </w:t>
      </w:r>
      <w:r>
        <w:t xml:space="preserve">Integrates caregiver-specific CBT strategies (guilt/resentment reframing, role boundary clarification), respite planning, delegation scripting, and micro-rest protocols (5-minute breaks, mindful breathing).</w:t>
      </w:r>
    </w:p>
    <w:p>
      <w:pPr>
        <w:pStyle w:val="BodyText"/>
      </w:pPr>
      <w:r>
        <w:rPr>
          <w:b/>
          <w:bCs/>
        </w:rPr>
        <w:t xml:space="preserve">Safety boundaries:</w:t>
      </w:r>
      <w:r>
        <w:t xml:space="preserve"> </w:t>
      </w:r>
      <w:r>
        <w:t xml:space="preserve">Non-clinical coaching scope; no medical advice, diagnosis, or crisis intervention beyond referral to professional services; clear disclaimers that system complements but does not replace professional caregiver support programs.</w:t>
      </w:r>
    </w:p>
    <w:p>
      <w:r>
        <w:pict>
          <v:rect style="width:0;height:1.5pt" o:hralign="center" o:hrstd="t" o:hr="t"/>
        </w:pict>
      </w:r>
    </w:p>
    <w:bookmarkEnd w:id="21"/>
    <w:bookmarkEnd w:id="22"/>
    <w:bookmarkStart w:id="27" w:name="research-questions"/>
    <w:p>
      <w:pPr>
        <w:pStyle w:val="Heading2"/>
      </w:pPr>
      <w:r>
        <w:t xml:space="preserve">3. Research Questions</w:t>
      </w:r>
    </w:p>
    <w:bookmarkStart w:id="23" w:name="primary-research-question"/>
    <w:p>
      <w:pPr>
        <w:pStyle w:val="Heading3"/>
      </w:pPr>
      <w:r>
        <w:t xml:space="preserve">3.1 Primary Research Question</w:t>
      </w:r>
    </w:p>
    <w:p>
      <w:pPr>
        <w:pStyle w:val="FirstParagraph"/>
      </w:pPr>
      <w:r>
        <w:t xml:space="preserve">How can personality-aware dialogue systems support Swiss family caregivers in managing emotional burden, navigating benefit systems, and sustaining self-care through adaptive coaching strategies grounded in the Big Five and Zurich Model frameworks?</w:t>
      </w:r>
    </w:p>
    <w:p>
      <w:pPr>
        <w:pStyle w:val="BodyText"/>
      </w:pPr>
      <w:r>
        <w:t xml:space="preserve">This use-case-driven research question addresses the design, implementation, and evaluation of a personality-adaptive caregiver coaching system, encompassing: (1)</w:t>
      </w:r>
      <w:r>
        <w:t xml:space="preserve"> </w:t>
      </w:r>
      <w:r>
        <w:rPr>
          <w:b/>
          <w:bCs/>
        </w:rPr>
        <w:t xml:space="preserve">domain-specific needs assessment</w:t>
      </w:r>
      <w:r>
        <w:t xml:space="preserve"> </w:t>
      </w:r>
      <w:r>
        <w:t xml:space="preserve">(caregiver stress profiles, benefit navigation challenges, self-care barriers), (2)</w:t>
      </w:r>
      <w:r>
        <w:t xml:space="preserve"> </w:t>
      </w:r>
      <w:r>
        <w:rPr>
          <w:b/>
          <w:bCs/>
        </w:rPr>
        <w:t xml:space="preserve">technical implementation</w:t>
      </w:r>
      <w:r>
        <w:t xml:space="preserve"> </w:t>
      </w:r>
      <w:r>
        <w:t xml:space="preserve">(EMA-based personality detection, RAG-augmented Swiss policy guidance, personality-to-directive mapping for caregiver contexts), (3)</w:t>
      </w:r>
      <w:r>
        <w:t xml:space="preserve"> </w:t>
      </w:r>
      <w:r>
        <w:rPr>
          <w:b/>
          <w:bCs/>
        </w:rPr>
        <w:t xml:space="preserve">user-centered outcomes</w:t>
      </w:r>
      <w:r>
        <w:t xml:space="preserve"> </w:t>
      </w:r>
      <w:r>
        <w:t xml:space="preserve">(stress reduction, benefit navigation success, self-care adoption, system usability), and (4)</w:t>
      </w:r>
      <w:r>
        <w:t xml:space="preserve"> </w:t>
      </w:r>
      <w:r>
        <w:rPr>
          <w:b/>
          <w:bCs/>
        </w:rPr>
        <w:t xml:space="preserve">empirical validation</w:t>
      </w:r>
      <w:r>
        <w:t xml:space="preserve"> </w:t>
      </w:r>
      <w:r>
        <w:t xml:space="preserve">(demonstrating measurable improvements in caregiver wellbeing and resource access versus non-adaptive baselines).</w:t>
      </w:r>
    </w:p>
    <w:bookmarkEnd w:id="23"/>
    <w:bookmarkStart w:id="24" w:name="Xc0bf523482a432a8aa9a1b79658eeb6a22b5268"/>
    <w:p>
      <w:pPr>
        <w:pStyle w:val="Heading3"/>
      </w:pPr>
      <w:r>
        <w:t xml:space="preserve">3.2 Sub-Research Questions (Scoped for Swiss Caregiver Coaching)</w:t>
      </w:r>
    </w:p>
    <w:p>
      <w:pPr>
        <w:pStyle w:val="FirstParagraph"/>
      </w:pPr>
      <w:r>
        <w:rPr>
          <w:b/>
          <w:bCs/>
        </w:rPr>
        <w:t xml:space="preserve">RQ1 - Caregiver-Specific Detection:</w:t>
      </w:r>
      <w:r>
        <w:t xml:space="preserve"> </w:t>
      </w:r>
      <w:r>
        <w:t xml:space="preserve">Can continuous OCEAN inference with EMA smoothing (α=0.3) achieve stable, confidence-weighted personality estimates for family caregivers within 6–8 turns across diverse caregiving contexts (eldercare, chronic illness, disability)? Target measurement: trait variance σ_T &lt;0.15 over 5-turn windows and Pearson correlation r≥0.75 against ground-truth profiles from Swiss caregiver sample (thesis phase validation, n=30-50).</w:t>
      </w:r>
    </w:p>
    <w:p>
      <w:pPr>
        <w:pStyle w:val="BodyText"/>
      </w:pPr>
      <w:r>
        <w:rPr>
          <w:b/>
          <w:bCs/>
        </w:rPr>
        <w:t xml:space="preserve">RQ2 - Caregiver Coaching Effectiveness:</w:t>
      </w:r>
      <w:r>
        <w:t xml:space="preserve"> </w:t>
      </w:r>
      <w:r>
        <w:t xml:space="preserve">Do intensity-scaled directives mapped to three caregiver coaching modes (Emotional Support, Resource Navigation, Self-Care Planning) improve caregiver stress management, benefit navigation confidence, and self-care adoption versus non-adaptive baseline? Target: ≥20% improvement on caregiver-specific outcomes (stress reduction, navigation success, self-care frequency) via paired t-test (Cohen’s d≥0.5) with Swiss caregiver participants.</w:t>
      </w:r>
    </w:p>
    <w:p>
      <w:pPr>
        <w:pStyle w:val="BodyText"/>
      </w:pPr>
      <w:r>
        <w:rPr>
          <w:b/>
          <w:bCs/>
        </w:rPr>
        <w:t xml:space="preserve">RQ3 - RAG-Enhanced Policy Navigation:</w:t>
      </w:r>
      <w:r>
        <w:t xml:space="preserve"> </w:t>
      </w:r>
      <w:r>
        <w:t xml:space="preserve">Does RAG-augmented Swiss policy guidance (AHV, IV, Hilflosenentschädigung, respite care) combined with personality-aware presentation (detailed vs. summary, reassuring vs. pragmatic) improve benefit system comprehension and application success versus generic information provision? Target: ≥30% improvement in benefit eligibility understanding and application initiation rates.</w:t>
      </w:r>
    </w:p>
    <w:p>
      <w:pPr>
        <w:pStyle w:val="BodyText"/>
      </w:pPr>
      <w:r>
        <w:rPr>
          <w:b/>
          <w:bCs/>
        </w:rPr>
        <w:t xml:space="preserve">RQ4 - Use-Case Outcome Metrics:</w:t>
      </w:r>
      <w:r>
        <w:t xml:space="preserve"> </w:t>
      </w:r>
      <w:r>
        <w:t xml:space="preserve">Does the system achieve acceptable user-centered performance on: (a)</w:t>
      </w:r>
      <w:r>
        <w:t xml:space="preserve"> </w:t>
      </w:r>
      <w:r>
        <w:rPr>
          <w:b/>
          <w:bCs/>
        </w:rPr>
        <w:t xml:space="preserve">System Usability Scale (SUS)</w:t>
      </w:r>
      <w:r>
        <w:t xml:space="preserve"> </w:t>
      </w:r>
      <w:r>
        <w:t xml:space="preserve">≥75, (b)</w:t>
      </w:r>
      <w:r>
        <w:t xml:space="preserve"> </w:t>
      </w:r>
      <w:r>
        <w:rPr>
          <w:b/>
          <w:bCs/>
        </w:rPr>
        <w:t xml:space="preserve">Perceived Helpfulness</w:t>
      </w:r>
      <w:r>
        <w:t xml:space="preserve"> </w:t>
      </w:r>
      <w:r>
        <w:t xml:space="preserve">≥4.0/5.0 (caregiver-rated), (c)</w:t>
      </w:r>
      <w:r>
        <w:t xml:space="preserve"> </w:t>
      </w:r>
      <w:r>
        <w:rPr>
          <w:b/>
          <w:bCs/>
        </w:rPr>
        <w:t xml:space="preserve">Sustained Engagement</w:t>
      </w:r>
      <w:r>
        <w:t xml:space="preserve"> </w:t>
      </w:r>
      <w:r>
        <w:t xml:space="preserve">≥60% return rate over 4 weeks, (d)</w:t>
      </w:r>
      <w:r>
        <w:t xml:space="preserve"> </w:t>
      </w:r>
      <w:r>
        <w:rPr>
          <w:b/>
          <w:bCs/>
        </w:rPr>
        <w:t xml:space="preserve">Caregiver Burden Inventory (CBI)</w:t>
      </w:r>
      <w:r>
        <w:t xml:space="preserve"> </w:t>
      </w:r>
      <w:r>
        <w:t xml:space="preserve">reduction ≥10% over 8-week intervention period? Measured via Swiss caregiver participant study (thesis phase, n=30-50).</w:t>
      </w:r>
    </w:p>
    <w:p>
      <w:pPr>
        <w:pStyle w:val="BodyText"/>
      </w:pPr>
      <w:r>
        <w:rPr>
          <w:b/>
          <w:bCs/>
        </w:rPr>
        <w:t xml:space="preserve">RQ5 - Generalization and Limitations:</w:t>
      </w:r>
      <w:r>
        <w:t xml:space="preserve"> </w:t>
      </w:r>
      <w:r>
        <w:t xml:space="preserve">How do results vary between caregiver profiles (eldercare vs. chronic illness vs. disability care; high-burden vs. moderate-burden; Swiss German vs. Swiss French regions), and what scope limitations constrain transfer to diverse Swiss caregiver populations? Documents profile-stratified performance analysis and simulation-to-human validity gaps for Swiss context.</w:t>
      </w:r>
    </w:p>
    <w:bookmarkEnd w:id="24"/>
    <w:bookmarkStart w:id="25" w:name="success-criteria-architecture-oriented"/>
    <w:p>
      <w:pPr>
        <w:pStyle w:val="Heading3"/>
      </w:pPr>
      <w:r>
        <w:t xml:space="preserve">3.3 Success Criteria (Architecture-Oriented)</w:t>
      </w:r>
    </w:p>
    <w:p>
      <w:pPr>
        <w:pStyle w:val="FirstParagraph"/>
      </w:pPr>
      <w:r>
        <w:t xml:space="preserve">To build a reusable, reliable, and personality-adaptable chatbot architecture, we define explicit success criteria (to be validated in thesis phase):</w:t>
      </w:r>
    </w:p>
    <w:p>
      <w:pPr>
        <w:pStyle w:val="BodyText"/>
      </w:pPr>
      <w:r>
        <w:rPr>
          <w:b/>
          <w:bCs/>
        </w:rPr>
        <w:t xml:space="preserve">Reusability (Designed):</w:t>
      </w:r>
      <w:r>
        <w:t xml:space="preserve"> </w:t>
      </w:r>
      <w:r>
        <w:t xml:space="preserve">Stable API contracts for detect→regulate→generate pipeline; config-driven policy packs (YAML/JSON) designed to enable domain transfer without code changes; portable evaluator harness with pluggable metrics.</w:t>
      </w:r>
      <w:r>
        <w:t xml:space="preserve"> </w:t>
      </w:r>
      <w:r>
        <w:rPr>
          <w:b/>
          <w:bCs/>
        </w:rPr>
        <w:t xml:space="preserve">Target threshold:</w:t>
      </w:r>
      <w:r>
        <w:t xml:space="preserve"> </w:t>
      </w:r>
      <w:r>
        <w:t xml:space="preserve">Policy pack swap &lt; 30 min (requires thesis-phase timed experiments); zero breaking changes.</w:t>
      </w:r>
    </w:p>
    <w:p>
      <w:pPr>
        <w:pStyle w:val="BodyText"/>
      </w:pPr>
      <w:r>
        <w:rPr>
          <w:b/>
          <w:bCs/>
        </w:rPr>
        <w:t xml:space="preserve">Reliability (Target):</w:t>
      </w:r>
      <w:r>
        <w:t xml:space="preserve"> </w:t>
      </w:r>
      <w:r>
        <w:t xml:space="preserve">JSON compliance ≥ 99.5%; EMA stabilization in ≥ 80% of sessions (variance &lt; 0.15 within 6-8 turns); confidence calibration (filter &lt; 0.4, align ≥ 85% when ≥ 0.7); graceful degradation (100% failures handled, zero unhandled exceptions).</w:t>
      </w:r>
    </w:p>
    <w:p>
      <w:pPr>
        <w:pStyle w:val="BodyText"/>
      </w:pPr>
      <w:r>
        <w:rPr>
          <w:b/>
          <w:bCs/>
        </w:rPr>
        <w:t xml:space="preserve">Effectiveness (Target):</w:t>
      </w:r>
      <w:r>
        <w:t xml:space="preserve"> </w:t>
      </w:r>
      <w:r>
        <w:t xml:space="preserve">Primary outcome: ≥ 20% improvement on evaluation criteria (tone, relevance/coherence, needs) with 95% CI. Secondary: intent classification ≥ 85%, directive-outcome alignment ≥ 80%, inter-run consistency ≥ 0.85.</w:t>
      </w:r>
    </w:p>
    <w:p>
      <w:pPr>
        <w:pStyle w:val="BodyText"/>
      </w:pPr>
      <w:r>
        <w:rPr>
          <w:b/>
          <w:bCs/>
        </w:rPr>
        <w:t xml:space="preserve">Observability:</w:t>
      </w:r>
      <w:r>
        <w:t xml:space="preserve"> </w:t>
      </w:r>
      <w:r>
        <w:t xml:space="preserve">Complete JSONL traces (OCEAN evolution, directives, confidence, metadata); reproducible seeds, version-locked models/prompts, configuration snapshots; automated testing (contracts, EMA, evaluator).</w:t>
      </w:r>
    </w:p>
    <w:bookmarkEnd w:id="25"/>
    <w:bookmarkStart w:id="26" w:name="mapping-to-methodology"/>
    <w:p>
      <w:pPr>
        <w:pStyle w:val="Heading3"/>
      </w:pPr>
      <w:r>
        <w:t xml:space="preserve">3.4 Mapping to Methodology</w:t>
      </w:r>
    </w:p>
    <w:p>
      <w:pPr>
        <w:pStyle w:val="FirstParagraph"/>
      </w:pPr>
      <w:r>
        <w:t xml:space="preserve">These research questions and success criteria inform our methodology: RQ1-2 validated through per-turn logging, directive auditing, and outcome metrics; RQ3 through multi-run consistency testing and bias controls; RQ4 through workflow instrumentation, policy pack validation, and interface stability testing; RQ5 through systematic variation of simulation scenarios (extreme vs. mixed profiles, diverse stress contexts) and documentation of scope limitations.</w:t>
      </w:r>
    </w:p>
    <w:p>
      <w:r>
        <w:pict>
          <v:rect style="width:0;height:1.5pt" o:hralign="center" o:hrstd="t" o:hr="t"/>
        </w:pict>
      </w:r>
    </w:p>
    <w:bookmarkEnd w:id="26"/>
    <w:bookmarkEnd w:id="27"/>
    <w:bookmarkStart w:id="35" w:name="methodology"/>
    <w:p>
      <w:pPr>
        <w:pStyle w:val="Heading2"/>
      </w:pPr>
      <w:r>
        <w:t xml:space="preserve">4. Methodology</w:t>
      </w:r>
    </w:p>
    <w:bookmarkStart w:id="28" w:name="architecture-and-workflow"/>
    <w:p>
      <w:pPr>
        <w:pStyle w:val="Heading3"/>
      </w:pPr>
      <w:r>
        <w:t xml:space="preserve">4.1 Architecture and Workflow</w:t>
      </w:r>
    </w:p>
    <w:p>
      <w:pPr>
        <w:pStyle w:val="FirstParagraph"/>
      </w:pPr>
      <w:r>
        <w:t xml:space="preserve">We implement a reproducible pipeline orchestrated via N8N with deterministic JSON contracts, neutral fallbacks, and comprehensive logging. Each stage (ingest, detection, regulation, generation, verification, persistence) exposes stable interfaces configured by versioned policy packs, enabling reuse, scaling, and domain transfer.</w:t>
      </w:r>
    </w:p>
    <w:p>
      <w:pPr>
        <w:pStyle w:val="BodyText"/>
      </w:pPr>
      <w:r>
        <w:rPr>
          <w:b/>
          <w:bCs/>
        </w:rPr>
        <w:t xml:space="preserve">EMA-Based Trait Stabilization:</w:t>
      </w:r>
      <w:r>
        <w:t xml:space="preserve"> </w:t>
      </w:r>
      <w:r>
        <w:t xml:space="preserve">To prevent erratic personality shifts from noisy detections, we apply exponential moving average (EMA) smoothing (α=0.3) at each turn, balancing responsiveness with stability.</w:t>
      </w:r>
    </w:p>
    <w:p>
      <w:pPr>
        <w:pStyle w:val="BodyText"/>
      </w:pPr>
      <w:r>
        <w:rPr>
          <w:i/>
          <w:iCs/>
        </w:rPr>
        <w:t xml:space="preserve">Algorithm Pseudocode:</w:t>
      </w:r>
    </w:p>
    <w:p>
      <w:pPr>
        <w:pStyle w:val="SourceCode"/>
      </w:pPr>
      <w:r>
        <w:rPr>
          <w:rStyle w:val="VerbatimChar"/>
        </w:rPr>
        <w:t xml:space="preserve">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T_smoothed[n] for behavioral regulation</w:t>
      </w:r>
    </w:p>
    <w:p>
      <w:pPr>
        <w:pStyle w:val="FirstParagraph"/>
      </w:pPr>
      <w:r>
        <w:rPr>
          <w:i/>
          <w:iCs/>
        </w:rPr>
        <w:t xml:space="preserve">Mathematical Formula:</w:t>
      </w:r>
    </w:p>
    <w:p>
      <w:pPr>
        <w:pStyle w:val="BodyText"/>
      </w:pPr>
      <w:r>
        <w:t xml:space="preserve">[ T_{smoothed}^{(n)} =</w:t>
      </w:r>
    </w:p>
    <w:p>
      <w:pPr>
        <w:pStyle w:val="BodyText"/>
      </w:pPr>
      <w:r>
        <w:t xml:space="preserve">]</w:t>
      </w:r>
    </w:p>
    <w:p>
      <w:pPr>
        <w:pStyle w:val="BodyText"/>
      </w:pPr>
      <w:r>
        <w:t xml:space="preserve">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w:t>
      </w:r>
    </w:p>
    <w:p>
      <w:pPr>
        <w:pStyle w:val="BodyText"/>
      </w:pPr>
      <w:r>
        <w:rPr>
          <w:b/>
          <w:bCs/>
        </w:rPr>
        <w:t xml:space="preserve">Parameter Selection:</w:t>
      </w:r>
      <w:r>
        <w:t xml:space="preserve"> </w:t>
      </w:r>
      <w:r>
        <w:t xml:space="preserve">α=0.3 selected via sensitivity analysis across α ∈ {0.1, 0.2, 0.3, 0.4, 0.5} targeting 6-8 turn convergence with variance &lt;0.15. Simulated testing scenarios demonstrated optimal balance between responsiveness and stability. Complete sensitivity analysis planned for thesis phase with human participant data (target N≥250).</w:t>
      </w:r>
    </w:p>
    <w:p>
      <w:pPr>
        <w:pStyle w:val="BodyText"/>
      </w:pPr>
      <w:r>
        <w:rPr>
          <w:b/>
          <w:bCs/>
        </w:rPr>
        <w:t xml:space="preserve">Early-Turn Bias Mitigation:</w:t>
      </w:r>
      <w:r>
        <w:t xml:space="preserve"> </w:t>
      </w:r>
      <w:r>
        <w:t xml:space="preserve">To mitigate EMA amplification of initial misdetections, the system employs gradual intensity scaling (50% turns 1-2, 75% turns 3-5, 100% turns 6+) and neutral fallbacks when confidence &lt;0.4 after 3 turns.</w:t>
      </w:r>
    </w:p>
    <w:p>
      <w:pPr>
        <w:pStyle w:val="BodyText"/>
      </w:pPr>
      <w:r>
        <w:rPr>
          <w:b/>
          <w:bCs/>
        </w:rPr>
        <w:t xml:space="preserve">Figure 1. System Architecture Pipeline (Conceptual Overview)</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Conceptual pipeline: detect (OCEAN + confidence) → EMA (α=0.3) → regulate → generate (quote‑and‑bound) → verify, with JSONL audit logs and PostgreSQL state for reproducibility and longitudinal analysis.</w:t>
      </w:r>
    </w:p>
    <w:p>
      <w:r>
        <w:pict>
          <v:rect style="width:0;height:1.5pt" o:hralign="center" o:hrstd="t" o:hr="t"/>
        </w:pict>
      </w:r>
    </w:p>
    <w:p>
      <w:pPr>
        <w:pStyle w:val="FirstParagraph"/>
      </w:pPr>
      <w:r>
        <w:rPr>
          <w:b/>
          <w:bCs/>
        </w:rPr>
        <w:t xml:space="preserve">Figure 2. Containerized System Architecture and DevOps Infrastructure</w:t>
      </w:r>
    </w:p>
    <w:p>
      <w:pPr>
        <w:pStyle w:val="SourceCode"/>
      </w:pPr>
      <w:r>
        <w:rPr>
          <w:rStyle w:val="VerbatimChar"/>
        </w:rPr>
        <w:t xml:space="preserve">┌──────────────────────────────────────────────────────────────────┐</w:t>
      </w:r>
      <w:r>
        <w:br/>
      </w:r>
      <w:r>
        <w:rPr>
          <w:rStyle w:val="VerbatimChar"/>
        </w:rPr>
        <w:t xml:space="preserve">│                      Docker Compose Environment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Next.js       │◄──────►│   N8N Workflow   │                 │</w:t>
      </w:r>
      <w:r>
        <w:br/>
      </w:r>
      <w:r>
        <w:rPr>
          <w:rStyle w:val="VerbatimChar"/>
        </w:rPr>
        <w:t xml:space="preserve">│  │   Frontend      │  HTTP  │   Engine         │                 │</w:t>
      </w:r>
      <w:r>
        <w:br/>
      </w:r>
      <w:r>
        <w:rPr>
          <w:rStyle w:val="VerbatimChar"/>
        </w:rPr>
        <w:t xml:space="preserve">│  │  (Port 3000)    │        │  (Port 5678)     │                 │</w:t>
      </w:r>
      <w:r>
        <w:br/>
      </w:r>
      <w:r>
        <w:rPr>
          <w:rStyle w:val="VerbatimChar"/>
        </w:rPr>
        <w:t xml:space="preserve">│  │                 │        │                  │                 │</w:t>
      </w:r>
      <w:r>
        <w:br/>
      </w:r>
      <w:r>
        <w:rPr>
          <w:rStyle w:val="VerbatimChar"/>
        </w:rPr>
        <w:t xml:space="preserve">│  │ • User Interface│        │ • Orchestration  │                 │</w:t>
      </w:r>
      <w:r>
        <w:br/>
      </w:r>
      <w:r>
        <w:rPr>
          <w:rStyle w:val="VerbatimChar"/>
        </w:rPr>
        <w:t xml:space="preserve">│  │ • API Routes    │        │ • Node Execution │                 │</w:t>
      </w:r>
      <w:r>
        <w:br/>
      </w:r>
      <w:r>
        <w:rPr>
          <w:rStyle w:val="VerbatimChar"/>
        </w:rPr>
        <w:t xml:space="preserve">│  │ • Chat UI       │        │ • Webhook Handler│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PostgreSQL     │                │</w:t>
      </w:r>
      <w:r>
        <w:br/>
      </w:r>
      <w:r>
        <w:rPr>
          <w:rStyle w:val="VerbatimChar"/>
        </w:rPr>
        <w:t xml:space="preserve">│           └─────────────────►│   Database       │                │</w:t>
      </w:r>
      <w:r>
        <w:br/>
      </w:r>
      <w:r>
        <w:rPr>
          <w:rStyle w:val="VerbatimChar"/>
        </w:rPr>
        <w:t xml:space="preserve">│                   SQL        │  (Port 5432)     │                │</w:t>
      </w:r>
      <w:r>
        <w:br/>
      </w:r>
      <w:r>
        <w:rPr>
          <w:rStyle w:val="VerbatimChar"/>
        </w:rPr>
        <w:t xml:space="preserve">│                              │                  │                │</w:t>
      </w:r>
      <w:r>
        <w:br/>
      </w:r>
      <w:r>
        <w:rPr>
          <w:rStyle w:val="VerbatimChar"/>
        </w:rPr>
        <w:t xml:space="preserve">│                              │ • Sessions       │                │</w:t>
      </w:r>
      <w:r>
        <w:br/>
      </w:r>
      <w:r>
        <w:rPr>
          <w:rStyle w:val="VerbatimChar"/>
        </w:rPr>
        <w:t xml:space="preserve">│                              │ • Turns          │                │</w:t>
      </w:r>
      <w:r>
        <w:br/>
      </w:r>
      <w:r>
        <w:rPr>
          <w:rStyle w:val="VerbatimChar"/>
        </w:rPr>
        <w:t xml:space="preserve">│                              │ • States         │                │</w:t>
      </w:r>
      <w:r>
        <w:br/>
      </w:r>
      <w:r>
        <w:rPr>
          <w:rStyle w:val="VerbatimChar"/>
        </w:rPr>
        <w:t xml:space="preserve">│                              │ • Metrics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                │</w:t>
      </w:r>
      <w:r>
        <w:br/>
      </w:r>
      <w:r>
        <w:rPr>
          <w:rStyle w:val="VerbatimChar"/>
        </w:rPr>
        <w:t xml:space="preserve">│                              │   Cache Layer    │                │</w:t>
      </w:r>
      <w:r>
        <w:br/>
      </w:r>
      <w:r>
        <w:rPr>
          <w:rStyle w:val="VerbatimChar"/>
        </w:rPr>
        <w:t xml:space="preserve">│                              │  (Port 6379)     │                │</w:t>
      </w:r>
      <w:r>
        <w:br/>
      </w:r>
      <w:r>
        <w:rPr>
          <w:rStyle w:val="VerbatimChar"/>
        </w:rPr>
        <w:t xml:space="preserve">│                              │                  │                │</w:t>
      </w:r>
      <w:r>
        <w:br/>
      </w:r>
      <w:r>
        <w:rPr>
          <w:rStyle w:val="VerbatimChar"/>
        </w:rPr>
        <w:t xml:space="preserve">│                              │ • Session Cache  │                │</w:t>
      </w:r>
      <w:r>
        <w:br/>
      </w:r>
      <w:r>
        <w:rPr>
          <w:rStyle w:val="VerbatimChar"/>
        </w:rPr>
        <w:t xml:space="preserve">│                              │ • Rate Limiting  │                │</w:t>
      </w:r>
      <w:r>
        <w:br/>
      </w:r>
      <w:r>
        <w:rPr>
          <w:rStyle w:val="VerbatimChar"/>
        </w:rPr>
        <w:t xml:space="preserve">│                              │ • Temp Storage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Volume:   │          │   Volume:    │    │   Volume:   │</w:t>
      </w:r>
      <w:r>
        <w:br/>
      </w:r>
      <w:r>
        <w:rPr>
          <w:rStyle w:val="VerbatimChar"/>
        </w:rPr>
        <w:t xml:space="preserve">  │  frontend/  │          │  n8n_data/   │    │  postgres/  │</w:t>
      </w:r>
      <w:r>
        <w:br/>
      </w:r>
      <w:r>
        <w:rPr>
          <w:rStyle w:val="VerbatimChar"/>
        </w:rPr>
        <w:t xml:space="preserve">  │   .next     │          │  workflows   │    │    data     │</w:t>
      </w:r>
      <w:r>
        <w:br/>
      </w:r>
      <w:r>
        <w:rPr>
          <w:rStyle w:val="VerbatimChar"/>
        </w:rPr>
        <w:t xml:space="preserve">  └─────────────┘          └──────────────┘    └─────────────┘</w:t>
      </w:r>
    </w:p>
    <w:p>
      <w:pPr>
        <w:pStyle w:val="FirstParagraph"/>
      </w:pPr>
      <w:r>
        <w:rPr>
          <w:i/>
          <w:iCs/>
        </w:rPr>
        <w:t xml:space="preserve">Docker Compose deployment for Next.js frontend, N8N workflow, PostgreSQL, and Redis. Internal networking and persistent volumes enable durability; external LLM endpoints are accessed over HTTPS.</w:t>
      </w:r>
    </w:p>
    <w:p>
      <w:pPr>
        <w:pStyle w:val="BodyText"/>
      </w:pPr>
      <w:r>
        <w:rPr>
          <w:b/>
          <w:bCs/>
        </w:rPr>
        <w:t xml:space="preserve">Table 3. N8N Node Specifications and Contracts</w:t>
      </w:r>
    </w:p>
    <w:tbl>
      <w:tblPr>
        <w:tblStyle w:val="Table"/>
        <w:tblW w:type="pct" w:w="5000"/>
        <w:tblLayout w:type="fixed"/>
        <w:tblLook w:firstRow="1" w:lastRow="0" w:firstColumn="0" w:lastColumn="0" w:noHBand="0" w:noVBand="0" w:val="0020"/>
      </w:tblPr>
      <w:tblGrid>
        <w:gridCol w:w="896"/>
        <w:gridCol w:w="896"/>
        <w:gridCol w:w="1344"/>
        <w:gridCol w:w="2241"/>
        <w:gridCol w:w="2540"/>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rPr>
                <w:rStyle w:val="VerbatimChar"/>
              </w:rPr>
              <w:t xml:space="preserve">{stress_level: 0-4, drivers: [...], coaching_mode: vent_validate|plan_structure|cope_rehearse, confidence}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8"/>
    <w:bookmarkStart w:id="29" w:name="X39d81d102258ff7914db23be3b5f285888b87b3"/>
    <w:p>
      <w:pPr>
        <w:pStyle w:val="Heading3"/>
      </w:pPr>
      <w:r>
        <w:t xml:space="preserve">4.2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 via OpenAI-compatible endpoint; temperature 0.3, max_tokens 300, 30s timeout. JSON response format:</w:t>
      </w:r>
      <w:r>
        <w:t xml:space="preserve"> </w:t>
      </w:r>
      <w:r>
        <w:rPr>
          <w:rStyle w:val="VerbatimChar"/>
        </w:rPr>
        <w:t xml:space="preserve">json   {     "ocean": {"O": [-1.0 to 1.0], "C": [-1.0 to 1.0], "E": [-1.0 to 1.0], "A": [-1.0 to 1.0], "N": [-1.0 to 1.0]},     "confidence": {"O": [0.0 to 1.0], "C": [0.0 to 1.0], "E": [0.0 to 1.0], "A": [0.0 to 1.0], "N": [0.0 to 1.0]},     "reasoning": "Brief explanation of detected motivations"   }</w:t>
      </w:r>
    </w:p>
    <w:p>
      <w:pPr>
        <w:pStyle w:val="BodyText"/>
      </w:pPr>
      <w:r>
        <w:rPr>
          <w:b/>
          <w:bCs/>
        </w:rPr>
        <w:t xml:space="preserve">EMA Smoothing:</w:t>
      </w:r>
      <w:r>
        <w:t xml:space="preserve"> </w:t>
      </w:r>
      <w:r>
        <w:t xml:space="preserve">Targets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Early-Turn Bias Mitigation:</w:t>
      </w:r>
      <w:r>
        <w:t xml:space="preserve"> </w:t>
      </w:r>
      <w:r>
        <w:t xml:space="preserve">The EMA mechanism can amplify initial misdetections if early conversation turns contain unrepresentative personality signals (e.g., users responding formally in initial exchanges despite being naturally extraverted). To mitigate this risk, the system implements:</w:t>
      </w:r>
    </w:p>
    <w:p>
      <w:pPr>
        <w:pStyle w:val="Compact"/>
        <w:numPr>
          <w:ilvl w:val="0"/>
          <w:numId w:val="1004"/>
        </w:numPr>
      </w:pPr>
      <w:r>
        <w:rPr>
          <w:b/>
          <w:bCs/>
        </w:rPr>
        <w:t xml:space="preserve">Consistency Requirement:</w:t>
      </w:r>
      <w:r>
        <w:t xml:space="preserve"> </w:t>
      </w:r>
      <w:r>
        <w:t xml:space="preserve">Strong behavioral adaptations (high-intensity directives) activate only after turn 3 when at least 2 consistent trait readings (variance &lt; 0.2 across last 3 turns) are observed</w:t>
      </w:r>
    </w:p>
    <w:p>
      <w:pPr>
        <w:pStyle w:val="Compact"/>
        <w:numPr>
          <w:ilvl w:val="0"/>
          <w:numId w:val="1004"/>
        </w:numPr>
      </w:pPr>
      <w:r>
        <w:rPr>
          <w:b/>
          <w:bCs/>
        </w:rPr>
        <w:t xml:space="preserve">Gradual Intensity Scaling:</w:t>
      </w:r>
      <w:r>
        <w:t xml:space="preserve"> </w:t>
      </w:r>
      <w:r>
        <w:t xml:space="preserve">Directive intensity scales proportionally to turn count: turns 1-2 use 50% intensity, turns 3-5 use 75% intensity, turns 6+ use full 100% intensity</w:t>
      </w:r>
    </w:p>
    <w:p>
      <w:pPr>
        <w:pStyle w:val="Compact"/>
        <w:numPr>
          <w:ilvl w:val="0"/>
          <w:numId w:val="1004"/>
        </w:numPr>
      </w:pPr>
      <w:r>
        <w:rPr>
          <w:b/>
          <w:bCs/>
        </w:rPr>
        <w:t xml:space="preserve">Neutral Fallback Mode:</w:t>
      </w:r>
      <w:r>
        <w:t xml:space="preserve"> </w:t>
      </w:r>
      <w:r>
        <w:t xml:space="preserve">If confidence remains below 0.4 for any trait after 3 turns, the system defaults to balanced, non-adaptive responses for that trait until sufficient evidence accumulates</w:t>
      </w:r>
    </w:p>
    <w:p>
      <w:pPr>
        <w:pStyle w:val="Compact"/>
        <w:numPr>
          <w:ilvl w:val="0"/>
          <w:numId w:val="1004"/>
        </w:numPr>
      </w:pPr>
      <w:r>
        <w:rPr>
          <w:b/>
          <w:bCs/>
        </w:rPr>
        <w:t xml:space="preserve">Early-Turn Variance Monitoring:</w:t>
      </w:r>
      <w:r>
        <w:t xml:space="preserve"> </w:t>
      </w:r>
      <w:r>
        <w:t xml:space="preserve">If moving variance exceeds 0.25 within turns 1-5, the system logs a warning flag and applies conservative adaptation until stabilization</w:t>
      </w:r>
    </w:p>
    <w:p>
      <w:pPr>
        <w:pStyle w:val="FirstParagraph"/>
      </w:pPr>
      <w:r>
        <w:t xml:space="preserve">This multi-layered approach balances responsiveness with protection against premature trait fixation, allowing the α=0.3 parameter to eventually correct early biases (8-12 turns) while minimizing interim misalignment.</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(&lt;0.4) are filtered to prevent noise corruption.</w:t>
      </w:r>
    </w:p>
    <w:bookmarkEnd w:id="29"/>
    <w:bookmarkStart w:id="30" w:name="X7b1786571cc242f0339264d2bee7bb375d7cf4a"/>
    <w:p>
      <w:pPr>
        <w:pStyle w:val="Heading3"/>
      </w:pPr>
      <w:r>
        <w:t xml:space="preserve">4.3 Regulation Module: Psychologically Grounded Behavior Mapping</w:t>
      </w:r>
    </w:p>
    <w:p>
      <w:pPr>
        <w:pStyle w:val="FirstParagraph"/>
      </w:pPr>
      <w:r>
        <w:t xml:space="preserve">Translates continuous OCEAN assessments into behavioral directives via the motivational framework in Section 2.1. Threshold-based activation (|value| ≥ 0.2); continuous values enable intensity-proportional directives.</w:t>
      </w:r>
    </w:p>
    <w:p>
      <w:pPr>
        <w:pStyle w:val="BodyText"/>
      </w:pPr>
      <w:r>
        <w:rPr>
          <w:b/>
          <w:bCs/>
        </w:rPr>
        <w:t xml:space="preserve">Table 4. Trait-to-Directive Mapping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High Directive</w:t>
            </w:r>
          </w:p>
        </w:tc>
        <w:tc>
          <w:tcPr/>
          <w:p>
            <w:pPr>
              <w:pStyle w:val="Compact"/>
            </w:pPr>
            <w:r>
              <w:t xml:space="preserve">Low Directive</w:t>
            </w:r>
          </w:p>
        </w:tc>
      </w:tr>
      <w:tr>
        <w:tc>
          <w:tcPr/>
          <w:p>
            <w:pPr>
              <w:pStyle w:val="Compact"/>
            </w:pPr>
            <w:r>
              <w:rPr>
                <w:b/>
                <w:bCs/>
              </w:rPr>
              <w:t xml:space="preserve">O</w:t>
            </w:r>
          </w:p>
        </w:tc>
        <w:tc>
          <w:tcPr/>
          <w:p>
            <w:pPr>
              <w:pStyle w:val="Compact"/>
            </w:pPr>
            <w:r>
              <w:t xml:space="preserve">±0.2</w:t>
            </w:r>
          </w:p>
        </w:tc>
        <w:tc>
          <w:tcPr/>
          <w:p>
            <w:pPr>
              <w:pStyle w:val="Compact"/>
            </w:pPr>
            <w:r>
              <w:t xml:space="preserve">Novel concepts</w:t>
            </w:r>
          </w:p>
        </w:tc>
        <w:tc>
          <w:tcPr/>
          <w:p>
            <w:pPr>
              <w:pStyle w:val="Compact"/>
            </w:pPr>
            <w:r>
              <w:t xml:space="preserve">Familiar examples</w:t>
            </w:r>
          </w:p>
        </w:tc>
      </w:tr>
      <w:tr>
        <w:tc>
          <w:tcPr/>
          <w:p>
            <w:pPr>
              <w:pStyle w:val="Compact"/>
            </w:pPr>
            <w:r>
              <w:rPr>
                <w:b/>
                <w:bCs/>
              </w:rPr>
              <w:t xml:space="preserve">C</w:t>
            </w:r>
          </w:p>
        </w:tc>
        <w:tc>
          <w:tcPr/>
          <w:p>
            <w:pPr>
              <w:pStyle w:val="Compact"/>
            </w:pPr>
            <w:r>
              <w:t xml:space="preserve">±0.2</w:t>
            </w:r>
          </w:p>
        </w:tc>
        <w:tc>
          <w:tcPr/>
          <w:p>
            <w:pPr>
              <w:pStyle w:val="Compact"/>
            </w:pPr>
            <w:r>
              <w:t xml:space="preserve">Structured plans</w:t>
            </w:r>
          </w:p>
        </w:tc>
        <w:tc>
          <w:tcPr/>
          <w:p>
            <w:pPr>
              <w:pStyle w:val="Compact"/>
            </w:pPr>
            <w:r>
              <w:t xml:space="preserve">Flexible guidance</w:t>
            </w:r>
          </w:p>
        </w:tc>
      </w:tr>
      <w:tr>
        <w:tc>
          <w:tcPr/>
          <w:p>
            <w:pPr>
              <w:pStyle w:val="Compact"/>
            </w:pPr>
            <w:r>
              <w:rPr>
                <w:b/>
                <w:bCs/>
              </w:rPr>
              <w:t xml:space="preserve">E</w:t>
            </w:r>
          </w:p>
        </w:tc>
        <w:tc>
          <w:tcPr/>
          <w:p>
            <w:pPr>
              <w:pStyle w:val="Compact"/>
            </w:pPr>
            <w:r>
              <w:t xml:space="preserve">±0.2</w:t>
            </w:r>
          </w:p>
        </w:tc>
        <w:tc>
          <w:tcPr/>
          <w:p>
            <w:pPr>
              <w:pStyle w:val="Compact"/>
            </w:pPr>
            <w:r>
              <w:t xml:space="preserve">Energetic tone</w:t>
            </w:r>
          </w:p>
        </w:tc>
        <w:tc>
          <w:tcPr/>
          <w:p>
            <w:pPr>
              <w:pStyle w:val="Compact"/>
            </w:pPr>
            <w:r>
              <w:t xml:space="preserve">Calm, reflective</w:t>
            </w:r>
          </w:p>
        </w:tc>
      </w:tr>
      <w:tr>
        <w:tc>
          <w:tcPr/>
          <w:p>
            <w:pPr>
              <w:pStyle w:val="Compact"/>
            </w:pPr>
            <w:r>
              <w:rPr>
                <w:b/>
                <w:bCs/>
              </w:rPr>
              <w:t xml:space="preserve">A</w:t>
            </w:r>
          </w:p>
        </w:tc>
        <w:tc>
          <w:tcPr/>
          <w:p>
            <w:pPr>
              <w:pStyle w:val="Compact"/>
            </w:pPr>
            <w:r>
              <w:t xml:space="preserve">±0.2</w:t>
            </w:r>
          </w:p>
        </w:tc>
        <w:tc>
          <w:tcPr/>
          <w:p>
            <w:pPr>
              <w:pStyle w:val="Compact"/>
            </w:pPr>
            <w:r>
              <w:t xml:space="preserve">Warm, cooperative</w:t>
            </w:r>
          </w:p>
        </w:tc>
        <w:tc>
          <w:tcPr/>
          <w:p>
            <w:pPr>
              <w:pStyle w:val="Compact"/>
            </w:pPr>
            <w:r>
              <w:t xml:space="preserve">Direct, matter-of-fact</w:t>
            </w:r>
          </w:p>
        </w:tc>
      </w:tr>
      <w:tr>
        <w:tc>
          <w:tcPr/>
          <w:p>
            <w:pPr>
              <w:pStyle w:val="Compact"/>
            </w:pPr>
            <w:r>
              <w:rPr>
                <w:b/>
                <w:bCs/>
              </w:rPr>
              <w:t xml:space="preserve">N</w:t>
            </w:r>
          </w:p>
        </w:tc>
        <w:tc>
          <w:tcPr/>
          <w:p>
            <w:pPr>
              <w:pStyle w:val="Compact"/>
            </w:pPr>
            <w:r>
              <w:t xml:space="preserve">±0.2</w:t>
            </w:r>
          </w:p>
        </w:tc>
        <w:tc>
          <w:tcPr/>
          <w:p>
            <w:pPr>
              <w:pStyle w:val="Compact"/>
            </w:pPr>
            <w:r>
              <w:t xml:space="preserve">Reassurance, coping</w:t>
            </w:r>
          </w:p>
        </w:tc>
        <w:tc>
          <w:tcPr/>
          <w:p>
            <w:pPr>
              <w:pStyle w:val="Compact"/>
            </w:pPr>
            <w:r>
              <w:t xml:space="preserve">Pragmatic solutions</w:t>
            </w:r>
          </w:p>
        </w:tc>
      </w:tr>
    </w:tbl>
    <w:p>
      <w:pPr>
        <w:pStyle w:val="BodyText"/>
      </w:pPr>
      <w:r>
        <w:t xml:space="preserve">Directive intensity scales proportionally to trait magnitude (|value| ≥0.2 activates); confidence &lt;0.4 triggers neutral fallbacks.</w:t>
      </w:r>
    </w:p>
    <w:bookmarkEnd w:id="30"/>
    <w:bookmarkStart w:id="31" w:name="Xb2a305dd018c2323b49b3aa652c81b99b82ef9d"/>
    <w:p>
      <w:pPr>
        <w:pStyle w:val="Heading3"/>
      </w:pPr>
      <w:r>
        <w:t xml:space="preserve">4.4 Generation Module: RAG-Enhanced Response Production with Personality-Aware Presentation</w:t>
      </w:r>
    </w:p>
    <w:p>
      <w:pPr>
        <w:pStyle w:val="FirstParagraph"/>
      </w:pPr>
      <w:r>
        <w:rPr>
          <w:b/>
          <w:bCs/>
        </w:rPr>
        <w:t xml:space="preserve">Dialog Grounding and Safety Constraints (Critical Guideline):</w:t>
      </w:r>
    </w:p>
    <w:p>
      <w:pPr>
        <w:pStyle w:val="BodyText"/>
      </w:pPr>
      <w:r>
        <w:t xml:space="preserve">All system responses must be strictly grounded in the user’s conversational input, employing a</w:t>
      </w:r>
      <w:r>
        <w:t xml:space="preserve"> </w:t>
      </w:r>
      <w:r>
        <w:t xml:space="preserve">“quote-and-bound”</w:t>
      </w:r>
      <w:r>
        <w:t xml:space="preserve"> </w:t>
      </w:r>
      <w:r>
        <w:t xml:space="preserve">approach that prevents hallucination by ensuring every assertion is entailed by recent dialogue turns. This constraint is particularly critical for human-centered applications where accuracy, reliability, and user trust are paramount. The system must never fabricate external facts, make assumptions about unstated user circumstances, or introduce information not present in the conversation history.</w:t>
      </w:r>
    </w:p>
    <w:p>
      <w:pPr>
        <w:pStyle w:val="BodyText"/>
      </w:pPr>
      <w:r>
        <w:rPr>
          <w:b/>
          <w:bCs/>
        </w:rPr>
        <w:t xml:space="preserve">RAG-Augmented Swiss Policy Guidance (Thesis Implementation Phase):</w:t>
      </w:r>
    </w:p>
    <w:p>
      <w:pPr>
        <w:pStyle w:val="BodyText"/>
      </w:pPr>
      <w:r>
        <w:t xml:space="preserve">When Resource Navigation mode is activated, the system integrates Retrieval-Augmented Generation (RAG) for Swiss caregiver benefit systems:</w:t>
      </w:r>
    </w:p>
    <w:p>
      <w:pPr>
        <w:pStyle w:val="Compact"/>
        <w:numPr>
          <w:ilvl w:val="0"/>
          <w:numId w:val="1005"/>
        </w:numPr>
      </w:pPr>
      <w:r>
        <w:rPr>
          <w:b/>
          <w:bCs/>
        </w:rPr>
        <w:t xml:space="preserve">Context Extraction:</w:t>
      </w:r>
      <w:r>
        <w:t xml:space="preserve"> </w:t>
      </w:r>
      <w:r>
        <w:t xml:space="preserve">Parse caregiver context from conversation (care recipient age, disability level, financial situation, canton)</w:t>
      </w:r>
    </w:p>
    <w:p>
      <w:pPr>
        <w:pStyle w:val="Compact"/>
        <w:numPr>
          <w:ilvl w:val="0"/>
          <w:numId w:val="1005"/>
        </w:numPr>
      </w:pPr>
      <w:r>
        <w:rPr>
          <w:b/>
          <w:bCs/>
        </w:rPr>
        <w:t xml:space="preserve">Policy Retrieval:</w:t>
      </w:r>
      <w:r>
        <w:t xml:space="preserve"> </w:t>
      </w:r>
      <w:r>
        <w:t xml:space="preserve">Query vector database of Swiss policy documents (AHV, IV, Hilflosenentschädigung, Ergänzungsleistungen, respite care programs) using semantic similarity</w:t>
      </w:r>
    </w:p>
    <w:p>
      <w:pPr>
        <w:pStyle w:val="Compact"/>
        <w:numPr>
          <w:ilvl w:val="0"/>
          <w:numId w:val="1005"/>
        </w:numPr>
      </w:pPr>
      <w:r>
        <w:rPr>
          <w:b/>
          <w:bCs/>
        </w:rPr>
        <w:t xml:space="preserve">Relevance Filtering:</w:t>
      </w:r>
      <w:r>
        <w:t xml:space="preserve"> </w:t>
      </w:r>
      <w:r>
        <w:t xml:space="preserve">Retrieve top-3 most relevant policy sections with eligibility criteria, application procedures, and contact information</w:t>
      </w:r>
    </w:p>
    <w:p>
      <w:pPr>
        <w:pStyle w:val="Compact"/>
        <w:numPr>
          <w:ilvl w:val="0"/>
          <w:numId w:val="1005"/>
        </w:numPr>
      </w:pPr>
      <w:r>
        <w:rPr>
          <w:b/>
          <w:bCs/>
        </w:rPr>
        <w:t xml:space="preserve">Personality-Aware Presentation:</w:t>
      </w:r>
      <w:r>
        <w:t xml:space="preserve"> </w:t>
      </w:r>
      <w:r>
        <w:t xml:space="preserve">Adapt retrieved policy content via behavioral directives:</w:t>
      </w:r>
    </w:p>
    <w:p>
      <w:pPr>
        <w:pStyle w:val="Compact"/>
        <w:numPr>
          <w:ilvl w:val="1"/>
          <w:numId w:val="1006"/>
        </w:numPr>
      </w:pPr>
      <w:r>
        <w:rPr>
          <w:b/>
          <w:bCs/>
        </w:rPr>
        <w:t xml:space="preserve">High-C:</w:t>
      </w:r>
      <w:r>
        <w:t xml:space="preserve"> </w:t>
      </w:r>
      <w:r>
        <w:t xml:space="preserve">Step-by-step application checklist, required documentation list, timeline</w:t>
      </w:r>
    </w:p>
    <w:p>
      <w:pPr>
        <w:pStyle w:val="Compact"/>
        <w:numPr>
          <w:ilvl w:val="1"/>
          <w:numId w:val="1006"/>
        </w:numPr>
      </w:pPr>
      <w:r>
        <w:rPr>
          <w:b/>
          <w:bCs/>
        </w:rPr>
        <w:t xml:space="preserve">Low-C:</w:t>
      </w:r>
      <w:r>
        <w:t xml:space="preserve"> </w:t>
      </w:r>
      <w:r>
        <w:t xml:space="preserve">Concise eligibility summary, direct canton contact, optional depth</w:t>
      </w:r>
    </w:p>
    <w:p>
      <w:pPr>
        <w:pStyle w:val="Compact"/>
        <w:numPr>
          <w:ilvl w:val="1"/>
          <w:numId w:val="1006"/>
        </w:numPr>
      </w:pPr>
      <w:r>
        <w:rPr>
          <w:b/>
          <w:bCs/>
        </w:rPr>
        <w:t xml:space="preserve">High-N:</w:t>
      </w:r>
      <w:r>
        <w:t xml:space="preserve"> </w:t>
      </w:r>
      <w:r>
        <w:t xml:space="preserve">Reassuring framing (</w:t>
      </w:r>
      <w:r>
        <w:t xml:space="preserve">“Many caregivers successfully navigate this process”</w:t>
      </w:r>
      <w:r>
        <w:t xml:space="preserve">), support availability</w:t>
      </w:r>
    </w:p>
    <w:p>
      <w:pPr>
        <w:pStyle w:val="Compact"/>
        <w:numPr>
          <w:ilvl w:val="1"/>
          <w:numId w:val="1006"/>
        </w:numPr>
      </w:pPr>
      <w:r>
        <w:rPr>
          <w:b/>
          <w:bCs/>
        </w:rPr>
        <w:t xml:space="preserve">High-O:</w:t>
      </w:r>
      <w:r>
        <w:t xml:space="preserve"> </w:t>
      </w:r>
      <w:r>
        <w:t xml:space="preserve">Mention emerging programs, community resources</w:t>
      </w:r>
    </w:p>
    <w:p>
      <w:pPr>
        <w:pStyle w:val="Compact"/>
        <w:numPr>
          <w:ilvl w:val="1"/>
          <w:numId w:val="1006"/>
        </w:numPr>
      </w:pPr>
      <w:r>
        <w:rPr>
          <w:b/>
          <w:bCs/>
        </w:rPr>
        <w:t xml:space="preserve">High-A:</w:t>
      </w:r>
      <w:r>
        <w:t xml:space="preserve"> </w:t>
      </w:r>
      <w:r>
        <w:t xml:space="preserve">Collaborative language (</w:t>
      </w:r>
      <w:r>
        <w:t xml:space="preserve">“Let’s explore your eligibility together”</w:t>
      </w:r>
      <w:r>
        <w:t xml:space="preserve">)</w:t>
      </w:r>
    </w:p>
    <w:p>
      <w:pPr>
        <w:pStyle w:val="Compact"/>
        <w:numPr>
          <w:ilvl w:val="0"/>
          <w:numId w:val="1005"/>
        </w:numPr>
      </w:pPr>
      <w:r>
        <w:rPr>
          <w:b/>
          <w:bCs/>
        </w:rPr>
        <w:t xml:space="preserve">Grounding Enforcement:</w:t>
      </w:r>
      <w:r>
        <w:t xml:space="preserve"> </w:t>
      </w:r>
      <w:r>
        <w:t xml:space="preserve">Policy guidance must cite specific documents (e.g.,</w:t>
      </w:r>
      <w:r>
        <w:t xml:space="preserve"> </w:t>
      </w:r>
      <w:r>
        <w:t xml:space="preserve">“According to the IV eligibility guidelines for care recipients…”</w:t>
      </w:r>
      <w:r>
        <w:t xml:space="preserve">); no invented procedures or criteria</w:t>
      </w:r>
    </w:p>
    <w:p>
      <w:pPr>
        <w:pStyle w:val="FirstParagraph"/>
      </w:pPr>
      <w:r>
        <w:rPr>
          <w:b/>
          <w:bCs/>
        </w:rPr>
        <w:t xml:space="preserve">Response Constraints:</w:t>
      </w:r>
      <w:r>
        <w:t xml:space="preserve"> </w:t>
      </w:r>
      <w:r>
        <w:t xml:space="preserve">-</w:t>
      </w:r>
      <w:r>
        <w:t xml:space="preserve"> </w:t>
      </w:r>
      <w:r>
        <w:rPr>
          <w:b/>
          <w:bCs/>
        </w:rPr>
        <w:t xml:space="preserve">Grounding:</w:t>
      </w:r>
      <w:r>
        <w:t xml:space="preserve"> </w:t>
      </w:r>
      <w:r>
        <w:t xml:space="preserve">Strict adherence to user’s conversational input + retrieved policy documents (with citations)</w:t>
      </w:r>
      <w:r>
        <w:t xml:space="preserve"> </w:t>
      </w:r>
      <w:r>
        <w:t xml:space="preserve">-</w:t>
      </w:r>
      <w:r>
        <w:t xml:space="preserve"> </w:t>
      </w:r>
      <w:r>
        <w:rPr>
          <w:b/>
          <w:bCs/>
        </w:rPr>
        <w:t xml:space="preserve">Length:</w:t>
      </w:r>
      <w:r>
        <w:t xml:space="preserve"> </w:t>
      </w:r>
      <w:r>
        <w:t xml:space="preserve">70-150 words (policy mode may extend to 180 words for detailed guidance)</w:t>
      </w:r>
      <w:r>
        <w:t xml:space="preserve"> </w:t>
      </w:r>
      <w:r>
        <w:t xml:space="preserve">-</w:t>
      </w:r>
      <w:r>
        <w:t xml:space="preserve"> </w:t>
      </w:r>
      <w:r>
        <w:rPr>
          <w:b/>
          <w:bCs/>
        </w:rPr>
        <w:t xml:space="preserve">Interaction:</w:t>
      </w:r>
      <w:r>
        <w:t xml:space="preserve"> </w:t>
      </w:r>
      <w:r>
        <w:t xml:space="preserve">Maximum 2 questions per response to maintain conversational flow</w:t>
      </w:r>
      <w:r>
        <w:t xml:space="preserve"> </w:t>
      </w:r>
      <w:r>
        <w:t xml:space="preserve">-</w:t>
      </w:r>
      <w:r>
        <w:t xml:space="preserve"> </w:t>
      </w:r>
      <w:r>
        <w:rPr>
          <w:b/>
          <w:bCs/>
        </w:rPr>
        <w:t xml:space="preserve">Parameters:</w:t>
      </w:r>
      <w:r>
        <w:t xml:space="preserve"> </w:t>
      </w:r>
      <w:r>
        <w:t xml:space="preserve">Temperature 0.7, max_tokens 220 (300 for policy mode), 20-second timeout</w:t>
      </w:r>
      <w:r>
        <w:t xml:space="preserve"> </w:t>
      </w:r>
      <w:r>
        <w:t xml:space="preserve">-</w:t>
      </w:r>
      <w:r>
        <w:t xml:space="preserve"> </w:t>
      </w:r>
      <w:r>
        <w:rPr>
          <w:b/>
          <w:bCs/>
        </w:rPr>
        <w:t xml:space="preserve">Safety:</w:t>
      </w:r>
      <w:r>
        <w:t xml:space="preserve"> </w:t>
      </w:r>
      <w:r>
        <w:t xml:space="preserve">If stress level ≥3 and crisis indicators detected, return neutral supportive message with escalation guidance; never provide clinical/legal advice</w:t>
      </w:r>
    </w:p>
    <w:p>
      <w:pPr>
        <w:pStyle w:val="BodyText"/>
      </w:pPr>
      <w:r>
        <w:rPr>
          <w:b/>
          <w:bCs/>
        </w:rPr>
        <w:t xml:space="preserve">Prompt Construction:</w:t>
      </w:r>
      <w:r>
        <w:t xml:space="preserve"> </w:t>
      </w:r>
      <w:r>
        <w:t xml:space="preserve">Integrates behavioral directives + retrieved policy content + strict grounding constraints (see Appendix A.2).</w:t>
      </w:r>
    </w:p>
    <w:p>
      <w:pPr>
        <w:pStyle w:val="BodyText"/>
      </w:pPr>
      <w:r>
        <w:rPr>
          <w:b/>
          <w:bCs/>
        </w:rPr>
        <w:t xml:space="preserve">Error Handling:</w:t>
      </w:r>
      <w:r>
        <w:t xml:space="preserve"> </w:t>
      </w:r>
      <w:r>
        <w:t xml:space="preserve">Neutral fallback on failure:</w:t>
      </w:r>
      <w:r>
        <w:t xml:space="preserve"> </w:t>
      </w:r>
      <w:r>
        <w:t xml:space="preserve">“I’m here to support you. Could you tell me more about how you’re feeling?”</w:t>
      </w:r>
      <w:r>
        <w:t xml:space="preserve"> </w:t>
      </w:r>
      <w:r>
        <w:t xml:space="preserve">Full session context maintained for debugging. RAG failures trigger policy-free emotional support response.</w:t>
      </w:r>
    </w:p>
    <w:bookmarkEnd w:id="31"/>
    <w:bookmarkStart w:id="32" w:name="data-management-and-simulation"/>
    <w:p>
      <w:pPr>
        <w:pStyle w:val="Heading3"/>
      </w:pPr>
      <w:r>
        <w:t xml:space="preserve">4.5 Data Management and Simulation</w:t>
      </w:r>
    </w:p>
    <w:p>
      <w:pPr>
        <w:pStyle w:val="FirstParagraph"/>
      </w:pPr>
      <w:r>
        <w:rPr>
          <w:b/>
          <w:bCs/>
        </w:rPr>
        <w:t xml:space="preserve">PostgreSQL Database:</w:t>
      </w:r>
      <w:r>
        <w:t xml:space="preserve"> </w:t>
      </w:r>
      <w:r>
        <w:t xml:space="preserve">Four core tables persist state for longitudinal analysis:</w:t>
      </w:r>
      <w:r>
        <w:t xml:space="preserve"> </w:t>
      </w:r>
      <w:r>
        <w:rPr>
          <w:rStyle w:val="VerbatimChar"/>
        </w:rPr>
        <w:t xml:space="preserve">chat_sessions</w:t>
      </w:r>
      <w:r>
        <w:t xml:space="preserve"> </w:t>
      </w:r>
      <w:r>
        <w:t xml:space="preserve">(metadata),</w:t>
      </w:r>
      <w:r>
        <w:t xml:space="preserve"> </w:t>
      </w:r>
      <w:r>
        <w:rPr>
          <w:rStyle w:val="VerbatimChar"/>
        </w:rPr>
        <w:t xml:space="preserve">conversation_turns</w:t>
      </w:r>
      <w:r>
        <w:t xml:space="preserve"> </w:t>
      </w:r>
      <w:r>
        <w:t xml:space="preserve">(dialogue history with directives and coaching modes),</w:t>
      </w:r>
      <w:r>
        <w:t xml:space="preserve"> </w:t>
      </w:r>
      <w:r>
        <w:rPr>
          <w:rStyle w:val="VerbatimChar"/>
        </w:rPr>
        <w:t xml:space="preserve">personality_states</w:t>
      </w:r>
      <w:r>
        <w:t xml:space="preserve"> </w:t>
      </w:r>
      <w:r>
        <w:t xml:space="preserve">(EMA-smoothed OCEAN values, confidence, stability flags),</w:t>
      </w:r>
      <w:r>
        <w:t xml:space="preserve"> </w:t>
      </w:r>
      <w:r>
        <w:rPr>
          <w:rStyle w:val="VerbatimChar"/>
        </w:rPr>
        <w:t xml:space="preserve">performance_metrics</w:t>
      </w:r>
      <w:r>
        <w:t xml:space="preserve"> </w:t>
      </w:r>
      <w:r>
        <w:t xml:space="preserve">(latencies, tokens). Helper functions retrieve latest personality state and conversation history for context windows. Data flow: Load previous state → Detection (GPT-4) → EMA smoothing (α=0.3) → Save to PostgreSQL → Next turn retrieves smoothed state for continuity.</w:t>
      </w:r>
    </w:p>
    <w:p>
      <w:pPr>
        <w:pStyle w:val="BodyText"/>
      </w:pPr>
      <w:r>
        <w:rPr>
          <w:b/>
          <w:bCs/>
        </w:rPr>
        <w:t xml:space="preserve">Table 5. PostgreSQL Schema Overview</w:t>
      </w:r>
    </w:p>
    <w:tbl>
      <w:tblPr>
        <w:tblStyle w:val="Table"/>
        <w:tblW w:type="pct" w:w="5000"/>
        <w:tblLayout w:type="fixed"/>
        <w:tblLook w:firstRow="1" w:lastRow="0" w:firstColumn="0" w:lastColumn="0" w:noHBand="0" w:noVBand="0" w:val="0020"/>
      </w:tblPr>
      <w:tblGrid>
        <w:gridCol w:w="1320"/>
        <w:gridCol w:w="2451"/>
        <w:gridCol w:w="1697"/>
        <w:gridCol w:w="2451"/>
      </w:tblGrid>
      <w:tr>
        <w:trPr>
          <w:tblHeader w:val="on"/>
        </w:trPr>
        <w:tc>
          <w:tcPr/>
          <w:p>
            <w:pPr>
              <w:pStyle w:val="Compact"/>
            </w:pPr>
            <w:r>
              <w:t xml:space="preserve">Table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Simulation Protocol for Swiss Caregiver Scenarios:</w:t>
      </w:r>
    </w:p>
    <w:p>
      <w:pPr>
        <w:pStyle w:val="BodyText"/>
      </w:pPr>
      <w:r>
        <w:t xml:space="preserve">Three personality profiles (Type A: high OCEAN +0.8 except low N; Type B: low OCEAN -0.8 except high N; Type C: mixed profiles) engage in three</w:t>
      </w:r>
      <w:r>
        <w:t xml:space="preserve"> </w:t>
      </w:r>
      <w:r>
        <w:rPr>
          <w:b/>
          <w:bCs/>
        </w:rPr>
        <w:t xml:space="preserve">caregiver-specific stress scenarios</w:t>
      </w:r>
      <w:r>
        <w:t xml:space="preserve"> </w:t>
      </w:r>
      <w:r>
        <w:t xml:space="preserve">covering all coaching modes:</w:t>
      </w:r>
    </w:p>
    <w:p>
      <w:pPr>
        <w:pStyle w:val="Compact"/>
        <w:numPr>
          <w:ilvl w:val="0"/>
          <w:numId w:val="1007"/>
        </w:numPr>
      </w:pPr>
      <w:r>
        <w:rPr>
          <w:b/>
          <w:bCs/>
        </w:rPr>
        <w:t xml:space="preserve">Emotional Burden &amp; Role Strain</w:t>
      </w:r>
      <w:r>
        <w:t xml:space="preserve"> </w:t>
      </w:r>
      <w:r>
        <w:t xml:space="preserve">(Emotional Support mode)</w:t>
      </w:r>
    </w:p>
    <w:p>
      <w:pPr>
        <w:pStyle w:val="Compact"/>
        <w:numPr>
          <w:ilvl w:val="1"/>
          <w:numId w:val="1008"/>
        </w:numPr>
      </w:pPr>
      <w:r>
        <w:t xml:space="preserve">Scenario: Caregiver managing parent with dementia, experiencing guilt over considering nursing home placement</w:t>
      </w:r>
    </w:p>
    <w:p>
      <w:pPr>
        <w:pStyle w:val="Compact"/>
        <w:numPr>
          <w:ilvl w:val="1"/>
          <w:numId w:val="1008"/>
        </w:numPr>
      </w:pPr>
      <w:r>
        <w:t xml:space="preserve">High-N receives: Reassurance, normalization, validation of conflicting feelings</w:t>
      </w:r>
    </w:p>
    <w:p>
      <w:pPr>
        <w:pStyle w:val="Compact"/>
        <w:numPr>
          <w:ilvl w:val="1"/>
          <w:numId w:val="1008"/>
        </w:numPr>
      </w:pPr>
      <w:r>
        <w:t xml:space="preserve">Low-N receives: Pragmatic acknowledgment, solution-focused framing</w:t>
      </w:r>
    </w:p>
    <w:p>
      <w:pPr>
        <w:pStyle w:val="Compact"/>
        <w:numPr>
          <w:ilvl w:val="0"/>
          <w:numId w:val="1007"/>
        </w:numPr>
      </w:pPr>
      <w:r>
        <w:rPr>
          <w:b/>
          <w:bCs/>
        </w:rPr>
        <w:t xml:space="preserve">Benefit System Navigation</w:t>
      </w:r>
      <w:r>
        <w:t xml:space="preserve"> </w:t>
      </w:r>
      <w:r>
        <w:t xml:space="preserve">(Resource Navigation mode)</w:t>
      </w:r>
    </w:p>
    <w:p>
      <w:pPr>
        <w:pStyle w:val="Compact"/>
        <w:numPr>
          <w:ilvl w:val="1"/>
          <w:numId w:val="1009"/>
        </w:numPr>
      </w:pPr>
      <w:r>
        <w:t xml:space="preserve">Scenario: Caregiver confused by IV (Invalidenversicherung) eligibility requirements for adult child with disability</w:t>
      </w:r>
    </w:p>
    <w:p>
      <w:pPr>
        <w:pStyle w:val="Compact"/>
        <w:numPr>
          <w:ilvl w:val="1"/>
          <w:numId w:val="1009"/>
        </w:numPr>
      </w:pPr>
      <w:r>
        <w:t xml:space="preserve">High-C receives: Detailed step-by-step application checklist, required documentation list</w:t>
      </w:r>
    </w:p>
    <w:p>
      <w:pPr>
        <w:pStyle w:val="Compact"/>
        <w:numPr>
          <w:ilvl w:val="1"/>
          <w:numId w:val="1009"/>
        </w:numPr>
      </w:pPr>
      <w:r>
        <w:t xml:space="preserve">Low-C receives: Concise overview with direct canton contact, optional depth</w:t>
      </w:r>
    </w:p>
    <w:p>
      <w:pPr>
        <w:pStyle w:val="Compact"/>
        <w:numPr>
          <w:ilvl w:val="0"/>
          <w:numId w:val="1007"/>
        </w:numPr>
      </w:pPr>
      <w:r>
        <w:rPr>
          <w:b/>
          <w:bCs/>
        </w:rPr>
        <w:t xml:space="preserve">Self-Care Neglect &amp; Burnout Risk</w:t>
      </w:r>
      <w:r>
        <w:t xml:space="preserve"> </w:t>
      </w:r>
      <w:r>
        <w:t xml:space="preserve">(Self-Care Planning mode)</w:t>
      </w:r>
    </w:p>
    <w:p>
      <w:pPr>
        <w:pStyle w:val="Compact"/>
        <w:numPr>
          <w:ilvl w:val="1"/>
          <w:numId w:val="1010"/>
        </w:numPr>
      </w:pPr>
      <w:r>
        <w:t xml:space="preserve">Scenario: Caregiver reporting exhaustion, sleep disruption, social isolation due to 24/7 care demands</w:t>
      </w:r>
    </w:p>
    <w:p>
      <w:pPr>
        <w:pStyle w:val="Compact"/>
        <w:numPr>
          <w:ilvl w:val="1"/>
          <w:numId w:val="1010"/>
        </w:numPr>
      </w:pPr>
      <w:r>
        <w:t xml:space="preserve">High-E receives: Social support mobilization strategies (support groups, family coordination)</w:t>
      </w:r>
    </w:p>
    <w:p>
      <w:pPr>
        <w:pStyle w:val="Compact"/>
        <w:numPr>
          <w:ilvl w:val="1"/>
          <w:numId w:val="1010"/>
        </w:numPr>
      </w:pPr>
      <w:r>
        <w:t xml:space="preserve">Low-E receives: Individual restoration focus (micro-breaks, boundary-setting scripts)</w:t>
      </w:r>
    </w:p>
    <w:p>
      <w:pPr>
        <w:pStyle w:val="FirstParagraph"/>
      </w:pPr>
      <w:r>
        <w:rPr>
          <w:b/>
          <w:bCs/>
        </w:rPr>
        <w:t xml:space="preserve">Conversation Parameters:</w:t>
      </w:r>
      <w:r>
        <w:t xml:space="preserve"> </w:t>
      </w:r>
      <w:r>
        <w:t xml:space="preserve">8-10 turns per session, 10-15 sessions per profile × 3 scenarios = 90-135 total simulated conversations. Convergence tracked with</w:t>
      </w:r>
      <w:r>
        <w:t xml:space="preserve"> </w:t>
      </w:r>
      <w:r>
        <w:rPr>
          <w:rStyle w:val="VerbatimChar"/>
        </w:rPr>
        <w:t xml:space="preserve">stable=TRUE</w:t>
      </w:r>
      <w:r>
        <w:t xml:space="preserve"> </w:t>
      </w:r>
      <w:r>
        <w:t xml:space="preserve">target at turns 6-8 for ≥80% sessions.</w:t>
      </w:r>
    </w:p>
    <w:p>
      <w:pPr>
        <w:pStyle w:val="BodyText"/>
      </w:pPr>
      <w:r>
        <w:rPr>
          <w:b/>
          <w:bCs/>
        </w:rPr>
        <w:t xml:space="preserve">Baseline Conditions:</w:t>
      </w:r>
      <w:r>
        <w:t xml:space="preserve"> </w:t>
      </w:r>
      <w:r>
        <w:t xml:space="preserve">Parallel conversations using (1) generic non-adaptive assistant, (2) memory-only assistant (mem0-style factual recall without personality modeling), (3) policy-only assistant (RAG guidance without personality adaptation).</w:t>
      </w:r>
    </w:p>
    <w:p>
      <w:pPr>
        <w:pStyle w:val="BodyText"/>
      </w:pPr>
      <w:r>
        <w:rPr>
          <w:b/>
          <w:bCs/>
        </w:rPr>
        <w:t xml:space="preserve">Export Format:</w:t>
      </w:r>
      <w:r>
        <w:t xml:space="preserve"> </w:t>
      </w:r>
      <w:r>
        <w:t xml:space="preserve">CSV/JSONL with per-turn OCEAN evolution, directives applied, coaching mode, caregiver scenario context, RAG policy retrieval (if applicable), stability flags, and convergence metrics.</w:t>
      </w:r>
    </w:p>
    <w:bookmarkEnd w:id="32"/>
    <w:bookmarkStart w:id="33" w:name="evaluation-framework"/>
    <w:p>
      <w:pPr>
        <w:pStyle w:val="Heading3"/>
      </w:pPr>
      <w:r>
        <w:t xml:space="preserve">4.6 Evaluation Framework</w:t>
      </w:r>
    </w:p>
    <w:p>
      <w:pPr>
        <w:pStyle w:val="FirstParagraph"/>
      </w:pPr>
      <w:r>
        <w:rPr>
          <w:b/>
          <w:bCs/>
        </w:rPr>
        <w:t xml:space="preserve">Assessment Dimensions:</w:t>
      </w:r>
    </w:p>
    <w:p>
      <w:pPr>
        <w:pStyle w:val="BodyText"/>
      </w:pPr>
      <w:r>
        <w:rPr>
          <w:i/>
          <w:iCs/>
        </w:rPr>
        <w:t xml:space="preserve">For EMA-Regulated Assistants (7 criteria):</w:t>
      </w:r>
      <w:r>
        <w:t xml:space="preserve"> </w:t>
      </w:r>
      <w:r>
        <w:t xml:space="preserve">1.</w:t>
      </w:r>
      <w:r>
        <w:t xml:space="preserve"> </w:t>
      </w:r>
      <w:r>
        <w:rPr>
          <w:b/>
          <w:bCs/>
        </w:rPr>
        <w:t xml:space="preserve">Detection Accuracy:</w:t>
      </w:r>
      <w:r>
        <w:t xml:space="preserve"> </w:t>
      </w:r>
      <w:r>
        <w:t xml:space="preserve">Alignment between continuous OCEAN inference and simulated personality cues</w:t>
      </w:r>
      <w:r>
        <w:t xml:space="preserve"> </w:t>
      </w:r>
      <w:r>
        <w:t xml:space="preserve">2.</w:t>
      </w:r>
      <w:r>
        <w:t xml:space="preserve"> </w:t>
      </w:r>
      <w:r>
        <w:rPr>
          <w:b/>
          <w:bCs/>
        </w:rPr>
        <w:t xml:space="preserve">EMA Convergence Quality:</w:t>
      </w:r>
      <w:r>
        <w:t xml:space="preserve"> </w:t>
      </w:r>
      <w:r>
        <w:t xml:space="preserve">Smooth progression toward stable personality estimate (low variance, appropriate α)</w:t>
      </w:r>
      <w:r>
        <w:t xml:space="preserve"> </w:t>
      </w:r>
      <w:r>
        <w:t xml:space="preserve">3.</w:t>
      </w:r>
      <w:r>
        <w:t xml:space="preserve"> </w:t>
      </w:r>
      <w:r>
        <w:rPr>
          <w:b/>
          <w:bCs/>
        </w:rPr>
        <w:t xml:space="preserve">Confidence Calibration:</w:t>
      </w:r>
      <w:r>
        <w:t xml:space="preserve"> </w:t>
      </w:r>
      <w:r>
        <w:t xml:space="preserve">Appropriate confidence scores matching evidence strength</w:t>
      </w:r>
      <w:r>
        <w:t xml:space="preserve"> </w:t>
      </w:r>
      <w:r>
        <w:t xml:space="preserve">4.</w:t>
      </w:r>
      <w:r>
        <w:t xml:space="preserve"> </w:t>
      </w:r>
      <w:r>
        <w:rPr>
          <w:b/>
          <w:bCs/>
        </w:rPr>
        <w:t xml:space="preserve">Regulation Effectiveness:</w:t>
      </w:r>
      <w:r>
        <w:t xml:space="preserve"> </w:t>
      </w:r>
      <w:r>
        <w:t xml:space="preserve">Appropriate application of intensity-scaled behavioral strategies</w:t>
      </w:r>
      <w:r>
        <w:t xml:space="preserve"> </w:t>
      </w:r>
      <w:r>
        <w:t xml:space="preserve">5.</w:t>
      </w:r>
      <w:r>
        <w:t xml:space="preserve"> </w:t>
      </w:r>
      <w:r>
        <w:rPr>
          <w:b/>
          <w:bCs/>
        </w:rPr>
        <w:t xml:space="preserve">Emotional Tone Appropriateness:</w:t>
      </w:r>
      <w:r>
        <w:t xml:space="preserve"> </w:t>
      </w:r>
      <w:r>
        <w:t xml:space="preserve">Match between response tone and user emotional state/personality</w:t>
      </w:r>
      <w:r>
        <w:t xml:space="preserve"> </w:t>
      </w:r>
      <w:r>
        <w:t xml:space="preserve">6.</w:t>
      </w:r>
      <w:r>
        <w:t xml:space="preserve"> </w:t>
      </w:r>
      <w:r>
        <w:rPr>
          <w:b/>
          <w:bCs/>
        </w:rPr>
        <w:t xml:space="preserve">Relevance &amp; Coherence:</w:t>
      </w:r>
      <w:r>
        <w:t xml:space="preserve"> </w:t>
      </w:r>
      <w:r>
        <w:t xml:space="preserve">Contextual appropriateness and logical consistency</w:t>
      </w:r>
      <w:r>
        <w:t xml:space="preserve"> </w:t>
      </w:r>
      <w:r>
        <w:t xml:space="preserve">7.</w:t>
      </w:r>
      <w:r>
        <w:t xml:space="preserve"> </w:t>
      </w:r>
      <w:r>
        <w:rPr>
          <w:b/>
          <w:bCs/>
        </w:rPr>
        <w:t xml:space="preserve">Personality Needs Addressed:</w:t>
      </w:r>
      <w:r>
        <w:t xml:space="preserve"> </w:t>
      </w:r>
      <w:r>
        <w:t xml:space="preserve">Satisfaction of trait-specific emotional and interactional requirements</w:t>
      </w:r>
    </w:p>
    <w:p>
      <w:pPr>
        <w:pStyle w:val="BodyText"/>
      </w:pPr>
      <w:r>
        <w:rPr>
          <w:i/>
          <w:iCs/>
        </w:rPr>
        <w:t xml:space="preserve">For Baseline Assistants (3 criteria):</w:t>
      </w:r>
      <w:r>
        <w:t xml:space="preserve"> </w:t>
      </w:r>
      <w:r>
        <w:t xml:space="preserve">1.</w:t>
      </w:r>
      <w:r>
        <w:t xml:space="preserve"> </w:t>
      </w:r>
      <w:r>
        <w:rPr>
          <w:b/>
          <w:bCs/>
        </w:rPr>
        <w:t xml:space="preserve">Emotional Tone Appropriateness</w:t>
      </w:r>
      <w:r>
        <w:t xml:space="preserve"> </w:t>
      </w:r>
      <w:r>
        <w:t xml:space="preserve">2.</w:t>
      </w:r>
      <w:r>
        <w:t xml:space="preserve"> </w:t>
      </w:r>
      <w:r>
        <w:rPr>
          <w:b/>
          <w:bCs/>
        </w:rPr>
        <w:t xml:space="preserve">Relevance &amp; Coherence</w:t>
      </w:r>
      <w:r>
        <w:br/>
      </w:r>
      <w:r>
        <w:t xml:space="preserve">3.</w:t>
      </w:r>
      <w:r>
        <w:t xml:space="preserve"> </w:t>
      </w:r>
      <w:r>
        <w:rPr>
          <w:b/>
          <w:bCs/>
        </w:rPr>
        <w:t xml:space="preserve">Personality Needs Addressed</w:t>
      </w:r>
    </w:p>
    <w:p>
      <w:pPr>
        <w:pStyle w:val="BodyText"/>
      </w:pPr>
      <w:r>
        <w:rPr>
          <w:b/>
          <w:bCs/>
        </w:rPr>
        <w:t xml:space="preserve">Evaluation Matrix Structure:</w:t>
      </w:r>
    </w:p>
    <w:p>
      <w:pPr>
        <w:pStyle w:val="BodyText"/>
      </w:pPr>
      <w:r>
        <w:t xml:space="preserve">The evaluation matrix captures comprehensive assessment data across multiple dimensions for each conversation turn. Each evaluation record includes:</w:t>
      </w:r>
    </w:p>
    <w:p>
      <w:pPr>
        <w:pStyle w:val="BodyText"/>
      </w:pPr>
      <w:r>
        <w:rPr>
          <w:b/>
          <w:bCs/>
        </w:rPr>
        <w:t xml:space="preserve">Conversation Context Fields:</w:t>
      </w:r>
      <w:r>
        <w:t xml:space="preserve"> </w:t>
      </w:r>
      <w:r>
        <w:t xml:space="preserve">-</w:t>
      </w:r>
      <w:r>
        <w:t xml:space="preserve"> </w:t>
      </w:r>
      <w:r>
        <w:rPr>
          <w:b/>
          <w:bCs/>
        </w:rPr>
        <w:t xml:space="preserve">Row ID:</w:t>
      </w:r>
      <w:r>
        <w:t xml:space="preserve"> </w:t>
      </w:r>
      <w:r>
        <w:t xml:space="preserve">Unique identifier for tracking individual assessments</w:t>
      </w:r>
      <w:r>
        <w:t xml:space="preserve"> </w:t>
      </w:r>
      <w:r>
        <w:t xml:space="preserve">-</w:t>
      </w:r>
      <w:r>
        <w:t xml:space="preserve"> </w:t>
      </w:r>
      <w:r>
        <w:rPr>
          <w:b/>
          <w:bCs/>
        </w:rPr>
        <w:t xml:space="preserve">Profile Type:</w:t>
      </w:r>
      <w:r>
        <w:t xml:space="preserve"> </w:t>
      </w:r>
      <w:r>
        <w:t xml:space="preserve">Simulated personality profile (Type A: high OCEAN; Type B: low OCEAN; Type C: mixed)</w:t>
      </w:r>
      <w:r>
        <w:t xml:space="preserve"> </w:t>
      </w:r>
      <w:r>
        <w:t xml:space="preserve">-</w:t>
      </w:r>
      <w:r>
        <w:t xml:space="preserve"> </w:t>
      </w:r>
      <w:r>
        <w:rPr>
          <w:b/>
          <w:bCs/>
        </w:rPr>
        <w:t xml:space="preserve">Turn Number:</w:t>
      </w:r>
      <w:r>
        <w:t xml:space="preserve"> </w:t>
      </w:r>
      <w:r>
        <w:t xml:space="preserve">Position within conversation sequence (1-10)</w:t>
      </w:r>
      <w:r>
        <w:t xml:space="preserve"> </w:t>
      </w:r>
      <w:r>
        <w:t xml:space="preserve">-</w:t>
      </w:r>
      <w:r>
        <w:t xml:space="preserve"> </w:t>
      </w:r>
      <w:r>
        <w:rPr>
          <w:b/>
          <w:bCs/>
        </w:rPr>
        <w:t xml:space="preserve">User Message:</w:t>
      </w:r>
      <w:r>
        <w:t xml:space="preserve"> </w:t>
      </w:r>
      <w:r>
        <w:t xml:space="preserve">Original user input text</w:t>
      </w:r>
      <w:r>
        <w:t xml:space="preserve"> </w:t>
      </w:r>
      <w:r>
        <w:t xml:space="preserve">-</w:t>
      </w:r>
      <w:r>
        <w:t xml:space="preserve"> </w:t>
      </w:r>
      <w:r>
        <w:rPr>
          <w:b/>
          <w:bCs/>
        </w:rPr>
        <w:t xml:space="preserve">Assistant Reply:</w:t>
      </w:r>
      <w:r>
        <w:t xml:space="preserve"> </w:t>
      </w:r>
      <w:r>
        <w:t xml:space="preserve">Generated system response</w:t>
      </w:r>
    </w:p>
    <w:p>
      <w:pPr>
        <w:pStyle w:val="BodyText"/>
      </w:pPr>
      <w:r>
        <w:rPr>
          <w:b/>
          <w:bCs/>
        </w:rPr>
        <w:t xml:space="preserve">Personality State Fields:</w:t>
      </w:r>
      <w:r>
        <w:t xml:space="preserve"> </w:t>
      </w:r>
      <w:r>
        <w:t xml:space="preserve">-</w:t>
      </w:r>
      <w:r>
        <w:t xml:space="preserve"> </w:t>
      </w:r>
      <w:r>
        <w:rPr>
          <w:b/>
          <w:bCs/>
        </w:rPr>
        <w:t xml:space="preserve">OCEAN Values (Smoothed):</w:t>
      </w:r>
      <w:r>
        <w:t xml:space="preserve"> </w:t>
      </w:r>
      <w:r>
        <w:t xml:space="preserve">EMA-smoothed continuous trait estimates (e.g., O:0.78, C:0.65, E:0.82, A:0.71, N:-0.68)</w:t>
      </w:r>
      <w:r>
        <w:t xml:space="preserve"> </w:t>
      </w:r>
      <w:r>
        <w:t xml:space="preserve">-</w:t>
      </w:r>
      <w:r>
        <w:t xml:space="preserve"> </w:t>
      </w:r>
      <w:r>
        <w:rPr>
          <w:b/>
          <w:bCs/>
        </w:rPr>
        <w:t xml:space="preserve">Confidence Scores:</w:t>
      </w:r>
      <w:r>
        <w:t xml:space="preserve"> </w:t>
      </w:r>
      <w:r>
        <w:t xml:space="preserve">Per-trait confidence assessments (range 0.0-1.0)</w:t>
      </w:r>
      <w:r>
        <w:t xml:space="preserve"> </w:t>
      </w:r>
      <w:r>
        <w:t xml:space="preserve">-</w:t>
      </w:r>
      <w:r>
        <w:t xml:space="preserve"> </w:t>
      </w:r>
      <w:r>
        <w:rPr>
          <w:b/>
          <w:bCs/>
        </w:rPr>
        <w:t xml:space="preserve">Stability Flag:</w:t>
      </w:r>
      <w:r>
        <w:t xml:space="preserve"> </w:t>
      </w:r>
      <w:r>
        <w:t xml:space="preserve">Boolean indicator (TRUE/FALSE) signaling stable personality estimate (≥6 turns, variance &lt;0.15)</w:t>
      </w:r>
      <w:r>
        <w:t xml:space="preserve"> </w:t>
      </w:r>
      <w:r>
        <w:t xml:space="preserve">-</w:t>
      </w:r>
      <w:r>
        <w:t xml:space="preserve"> </w:t>
      </w:r>
      <w:r>
        <w:rPr>
          <w:b/>
          <w:bCs/>
        </w:rPr>
        <w:t xml:space="preserve">Applied Directives:</w:t>
      </w:r>
      <w:r>
        <w:t xml:space="preserve"> </w:t>
      </w:r>
      <w:r>
        <w:t xml:space="preserve">Array of behavioral directives activated (e.g., [</w:t>
      </w:r>
      <w:r>
        <w:t xml:space="preserve">“Introduce novel ideas”</w:t>
      </w:r>
      <w:r>
        <w:t xml:space="preserve">,</w:t>
      </w:r>
      <w:r>
        <w:t xml:space="preserve"> </w:t>
      </w:r>
      <w:r>
        <w:t xml:space="preserve">“Energetic tone”</w:t>
      </w:r>
      <w:r>
        <w:t xml:space="preserve">,</w:t>
      </w:r>
      <w:r>
        <w:t xml:space="preserve"> </w:t>
      </w:r>
      <w:r>
        <w:t xml:space="preserve">“Structured steps”</w:t>
      </w:r>
      <w:r>
        <w:t xml:space="preserve">])</w:t>
      </w:r>
    </w:p>
    <w:p>
      <w:pPr>
        <w:pStyle w:val="BodyText"/>
      </w:pPr>
      <w:r>
        <w:rPr>
          <w:b/>
          <w:bCs/>
        </w:rPr>
        <w:t xml:space="preserve">Evaluation Criteria Scores (0-2 scale):</w:t>
      </w:r>
      <w:r>
        <w:t xml:space="preserve"> </w:t>
      </w:r>
      <w:r>
        <w:t xml:space="preserve">-</w:t>
      </w:r>
      <w:r>
        <w:t xml:space="preserve"> </w:t>
      </w:r>
      <w:r>
        <w:rPr>
          <w:b/>
          <w:bCs/>
        </w:rPr>
        <w:t xml:space="preserve">Detection Accuracy (Det.Acc):</w:t>
      </w:r>
      <w:r>
        <w:t xml:space="preserve"> </w:t>
      </w:r>
      <w:r>
        <w:t xml:space="preserve">Alignment between inferred OCEAN and personality cues</w:t>
      </w:r>
      <w:r>
        <w:t xml:space="preserve"> </w:t>
      </w:r>
      <w:r>
        <w:t xml:space="preserve">-</w:t>
      </w:r>
      <w:r>
        <w:t xml:space="preserve"> </w:t>
      </w:r>
      <w:r>
        <w:rPr>
          <w:b/>
          <w:bCs/>
        </w:rPr>
        <w:t xml:space="preserve">EMA Convergence (EMA.Conv):</w:t>
      </w:r>
      <w:r>
        <w:t xml:space="preserve"> </w:t>
      </w:r>
      <w:r>
        <w:t xml:space="preserve">Quality of temporal smoothing and stability progression</w:t>
      </w:r>
      <w:r>
        <w:t xml:space="preserve"> </w:t>
      </w:r>
      <w:r>
        <w:t xml:space="preserve">-</w:t>
      </w:r>
      <w:r>
        <w:t xml:space="preserve"> </w:t>
      </w:r>
      <w:r>
        <w:rPr>
          <w:b/>
          <w:bCs/>
        </w:rPr>
        <w:t xml:space="preserve">Confidence Calibration (Conf.Cal):</w:t>
      </w:r>
      <w:r>
        <w:t xml:space="preserve"> </w:t>
      </w:r>
      <w:r>
        <w:t xml:space="preserve">Appropriateness of confidence scores relative to evidence</w:t>
      </w:r>
      <w:r>
        <w:t xml:space="preserve"> </w:t>
      </w:r>
      <w:r>
        <w:t xml:space="preserve">-</w:t>
      </w:r>
      <w:r>
        <w:t xml:space="preserve"> </w:t>
      </w:r>
      <w:r>
        <w:rPr>
          <w:b/>
          <w:bCs/>
        </w:rPr>
        <w:t xml:space="preserve">Regulation Effectiveness (Reg.Eff):</w:t>
      </w:r>
      <w:r>
        <w:t xml:space="preserve"> </w:t>
      </w:r>
      <w:r>
        <w:t xml:space="preserve">Correct application of behavioral directives</w:t>
      </w:r>
      <w:r>
        <w:t xml:space="preserve"> </w:t>
      </w:r>
      <w:r>
        <w:t xml:space="preserve">-</w:t>
      </w:r>
      <w:r>
        <w:t xml:space="preserve"> </w:t>
      </w:r>
      <w:r>
        <w:rPr>
          <w:b/>
          <w:bCs/>
        </w:rPr>
        <w:t xml:space="preserve">Emotional Tone (Tone):</w:t>
      </w:r>
      <w:r>
        <w:t xml:space="preserve"> </w:t>
      </w:r>
      <w:r>
        <w:t xml:space="preserve">Match between response tone and user state/personality</w:t>
      </w:r>
      <w:r>
        <w:t xml:space="preserve"> </w:t>
      </w:r>
      <w:r>
        <w:t xml:space="preserve">-</w:t>
      </w:r>
      <w:r>
        <w:t xml:space="preserve"> </w:t>
      </w:r>
      <w:r>
        <w:rPr>
          <w:b/>
          <w:bCs/>
        </w:rPr>
        <w:t xml:space="preserve">Relevance &amp; Coherence (Rel&amp;Coh):</w:t>
      </w:r>
      <w:r>
        <w:t xml:space="preserve"> </w:t>
      </w:r>
      <w:r>
        <w:t xml:space="preserve">Contextual appropriateness and logical consistency</w:t>
      </w:r>
      <w:r>
        <w:t xml:space="preserve"> </w:t>
      </w:r>
      <w:r>
        <w:t xml:space="preserve">-</w:t>
      </w:r>
      <w:r>
        <w:t xml:space="preserve"> </w:t>
      </w:r>
      <w:r>
        <w:rPr>
          <w:b/>
          <w:bCs/>
        </w:rPr>
        <w:t xml:space="preserve">Personality Needs (Needs):</w:t>
      </w:r>
      <w:r>
        <w:t xml:space="preserve"> </w:t>
      </w:r>
      <w:r>
        <w:t xml:space="preserve">Satisfaction of trait-specific requirements</w:t>
      </w:r>
      <w:r>
        <w:t xml:space="preserve"> </w:t>
      </w:r>
      <w:r>
        <w:t xml:space="preserve">-</w:t>
      </w:r>
      <w:r>
        <w:t xml:space="preserve"> </w:t>
      </w:r>
      <w:r>
        <w:rPr>
          <w:b/>
          <w:bCs/>
        </w:rPr>
        <w:t xml:space="preserve">Total Score:</w:t>
      </w:r>
      <w:r>
        <w:t xml:space="preserve"> </w:t>
      </w:r>
      <w:r>
        <w:t xml:space="preserve">Sum of all criterion scores (0-14 for regulated; 0-6 for baseline)</w:t>
      </w:r>
    </w:p>
    <w:p>
      <w:pPr>
        <w:pStyle w:val="BodyText"/>
      </w:pPr>
      <w:r>
        <w:rPr>
          <w:b/>
          <w:bCs/>
        </w:rPr>
        <w:t xml:space="preserve">Example Evaluation Records:</w:t>
      </w:r>
    </w:p>
    <w:p>
      <w:pPr>
        <w:pStyle w:val="BodyText"/>
      </w:pPr>
      <w:r>
        <w:rPr>
          <w:i/>
          <w:iCs/>
        </w:rPr>
        <w:t xml:space="preserve">Type A Profile (High OCEAN), Turn 6:</w:t>
      </w:r>
      <w:r>
        <w:t xml:space="preserve"> </w:t>
      </w:r>
      <w:r>
        <w:t xml:space="preserve">- User:</w:t>
      </w:r>
      <w:r>
        <w:t xml:space="preserve"> </w:t>
      </w:r>
      <w:r>
        <w:t xml:space="preserve">“I’m excited to try new approaches…”</w:t>
      </w:r>
      <w:r>
        <w:t xml:space="preserve"> </w:t>
      </w:r>
      <w:r>
        <w:t xml:space="preserve">- Assistant:</w:t>
      </w:r>
      <w:r>
        <w:t xml:space="preserve"> </w:t>
      </w:r>
      <w:r>
        <w:t xml:space="preserve">“That’s wonderful! Let’s explore some creative strategies…”</w:t>
      </w:r>
      <w:r>
        <w:t xml:space="preserve"> </w:t>
      </w:r>
      <w:r>
        <w:t xml:space="preserve">- OCEAN: O:0.78, C:0.65, E:0.82, A:0.71, N:-0.68 (Stable: TRUE)</w:t>
      </w:r>
      <w:r>
        <w:t xml:space="preserve"> </w:t>
      </w:r>
      <w:r>
        <w:t xml:space="preserve">- Directives: Introduce novel ideas, Energetic tone, Structured steps</w:t>
      </w:r>
      <w:r>
        <w:t xml:space="preserve"> </w:t>
      </w:r>
      <w:r>
        <w:t xml:space="preserve">- Scores: Det.Acc=2, EMA.Conv=2, Conf.Cal=2, Reg.Eff=2, Tone=2, Rel&amp;Coh=2, Needs=2 (Total: 14/14)</w:t>
      </w:r>
    </w:p>
    <w:p>
      <w:pPr>
        <w:pStyle w:val="BodyText"/>
      </w:pPr>
      <w:r>
        <w:rPr>
          <w:i/>
          <w:iCs/>
        </w:rPr>
        <w:t xml:space="preserve">Type B Profile (Low OCEAN), Turn 6:</w:t>
      </w:r>
      <w:r>
        <w:t xml:space="preserve"> </w:t>
      </w:r>
      <w:r>
        <w:t xml:space="preserve">- User:</w:t>
      </w:r>
      <w:r>
        <w:t xml:space="preserve"> </w:t>
      </w:r>
      <w:r>
        <w:t xml:space="preserve">“Everything feels uncertain…”</w:t>
      </w:r>
      <w:r>
        <w:t xml:space="preserve"> </w:t>
      </w:r>
      <w:r>
        <w:t xml:space="preserve">- Assistant:</w:t>
      </w:r>
      <w:r>
        <w:t xml:space="preserve"> </w:t>
      </w:r>
      <w:r>
        <w:t xml:space="preserve">“I understand uncertainty is difficult. Let’s focus on what you can control…”</w:t>
      </w:r>
      <w:r>
        <w:t xml:space="preserve"> </w:t>
      </w:r>
      <w:r>
        <w:t xml:space="preserve">- OCEAN: O:-0.72, C:-0.68, E:-0.75, A:-0.61, N:0.79 (Stable: TRUE)</w:t>
      </w:r>
      <w:r>
        <w:t xml:space="preserve"> </w:t>
      </w:r>
      <w:r>
        <w:t xml:space="preserve">- Directives: Familiar examples, Calm tone, Flexible guidance, Extra comfort</w:t>
      </w:r>
      <w:r>
        <w:t xml:space="preserve"> </w:t>
      </w:r>
      <w:r>
        <w:t xml:space="preserve">- Scores: Det.Acc=2, EMA.Conv=2, Conf.Cal=2, Reg.Eff=2, Tone=2, Rel&amp;Coh=2, Needs=2 (Total: 14/14)</w:t>
      </w:r>
    </w:p>
    <w:p>
      <w:pPr>
        <w:pStyle w:val="BodyText"/>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w:t>
      </w:r>
    </w:p>
    <w:p>
      <w:pPr>
        <w:pStyle w:val="BodyText"/>
      </w:pPr>
      <w:r>
        <w:rPr>
          <w:b/>
          <w:bCs/>
        </w:rPr>
        <w:t xml:space="preserve">Human Triangulation Requirement:</w:t>
      </w:r>
      <w:r>
        <w:t xml:space="preserve"> </w:t>
      </w:r>
      <w:r>
        <w:t xml:space="preserve">All LLM evaluator outputs require human validation on a 10-15% sample (minimum n=20 conversations) with two trained annotators. Target: Cohen’s κ≥0.70 for human-LLM agreement on shared items. LLM evaluator used for scale but not as sole arbiter. Human-LLM agreement κ≥0.70 serves as a release gate for thesis claims; failure triggers expanded human evaluation.</w:t>
      </w:r>
    </w:p>
    <w:p>
      <w:pPr>
        <w:pStyle w:val="BodyText"/>
      </w:pPr>
      <w:r>
        <w:rPr>
          <w:b/>
          <w:bCs/>
        </w:rPr>
        <w:t xml:space="preserve">Use-Case Outcome Metrics (Swiss Caregiver-Specific):</w:t>
      </w:r>
    </w:p>
    <w:p>
      <w:pPr>
        <w:pStyle w:val="BodyText"/>
      </w:pPr>
      <w:r>
        <w:t xml:space="preserve">Beyond technical evaluation, the thesis phase includes</w:t>
      </w:r>
      <w:r>
        <w:t xml:space="preserve"> </w:t>
      </w:r>
      <w:r>
        <w:rPr>
          <w:b/>
          <w:bCs/>
        </w:rPr>
        <w:t xml:space="preserve">caregiver-centered outcome measurement</w:t>
      </w:r>
      <w:r>
        <w:t xml:space="preserve"> </w:t>
      </w:r>
      <w:r>
        <w:t xml:space="preserve">with Swiss family caregiver participants (n=30-50, 8-week intervention):</w:t>
      </w:r>
    </w:p>
    <w:tbl>
      <w:tblPr>
        <w:tblStyle w:val="Table"/>
        <w:tblW w:type="pct" w:w="5000"/>
        <w:tblLayout w:type="fixed"/>
        <w:tblLook w:firstRow="1" w:lastRow="0" w:firstColumn="0" w:lastColumn="0" w:noHBand="0" w:noVBand="0" w:val="0020"/>
      </w:tblPr>
      <w:tblGrid>
        <w:gridCol w:w="1920"/>
        <w:gridCol w:w="960"/>
        <w:gridCol w:w="2880"/>
        <w:gridCol w:w="2160"/>
      </w:tblGrid>
      <w:tr>
        <w:trPr>
          <w:tblHeader w:val="on"/>
        </w:trPr>
        <w:tc>
          <w:tcPr/>
          <w:p>
            <w:pPr>
              <w:pStyle w:val="Compact"/>
            </w:pPr>
            <w:r>
              <w:t xml:space="preserve">Outcome Domain</w:t>
            </w:r>
          </w:p>
        </w:tc>
        <w:tc>
          <w:tcPr/>
          <w:p>
            <w:pPr>
              <w:pStyle w:val="Compact"/>
            </w:pPr>
            <w:r>
              <w:t xml:space="preserve">Metric</w:t>
            </w:r>
          </w:p>
        </w:tc>
        <w:tc>
          <w:tcPr/>
          <w:p>
            <w:pPr>
              <w:pStyle w:val="Compact"/>
            </w:pPr>
            <w:r>
              <w:t xml:space="preserve">Measurement Instrument</w:t>
            </w:r>
          </w:p>
        </w:tc>
        <w:tc>
          <w:tcPr/>
          <w:p>
            <w:pPr>
              <w:pStyle w:val="Compact"/>
            </w:pPr>
            <w:r>
              <w:t xml:space="preserve">Target Threshold</w:t>
            </w:r>
          </w:p>
        </w:tc>
      </w:tr>
      <w:tr>
        <w:tc>
          <w:tcPr/>
          <w:p>
            <w:pPr>
              <w:pStyle w:val="Compact"/>
            </w:pPr>
            <w:r>
              <w:rPr>
                <w:b/>
                <w:bCs/>
              </w:rPr>
              <w:t xml:space="preserve">System Usability</w:t>
            </w:r>
          </w:p>
        </w:tc>
        <w:tc>
          <w:tcPr/>
          <w:p>
            <w:pPr>
              <w:pStyle w:val="Compact"/>
            </w:pPr>
            <w:r>
              <w:t xml:space="preserve">Usability score</w:t>
            </w:r>
          </w:p>
        </w:tc>
        <w:tc>
          <w:tcPr/>
          <w:p>
            <w:pPr>
              <w:pStyle w:val="Compact"/>
            </w:pPr>
            <w:r>
              <w:t xml:space="preserve">System Usability Scale (SUS)</w:t>
            </w:r>
          </w:p>
        </w:tc>
        <w:tc>
          <w:tcPr/>
          <w:p>
            <w:pPr>
              <w:pStyle w:val="Compact"/>
            </w:pPr>
            <w:r>
              <w:t xml:space="preserve">≥75/100</w:t>
            </w:r>
          </w:p>
        </w:tc>
      </w:tr>
      <w:tr>
        <w:tc>
          <w:tcPr/>
          <w:p>
            <w:pPr>
              <w:pStyle w:val="Compact"/>
            </w:pPr>
            <w:r>
              <w:rPr>
                <w:b/>
                <w:bCs/>
              </w:rPr>
              <w:t xml:space="preserve">Perceived Helpfulness</w:t>
            </w:r>
          </w:p>
        </w:tc>
        <w:tc>
          <w:tcPr/>
          <w:p>
            <w:pPr>
              <w:pStyle w:val="Compact"/>
            </w:pPr>
            <w:r>
              <w:t xml:space="preserve">Caregiver-rated usefulness</w:t>
            </w:r>
          </w:p>
        </w:tc>
        <w:tc>
          <w:tcPr/>
          <w:p>
            <w:pPr>
              <w:pStyle w:val="Compact"/>
            </w:pPr>
            <w:r>
              <w:t xml:space="preserve">5-point Likert scale (</w:t>
            </w:r>
            <w:r>
              <w:t xml:space="preserve">“How helpful was this interaction?”</w:t>
            </w:r>
            <w:r>
              <w:t xml:space="preserve">)</w:t>
            </w:r>
          </w:p>
        </w:tc>
        <w:tc>
          <w:tcPr/>
          <w:p>
            <w:pPr>
              <w:pStyle w:val="Compact"/>
            </w:pPr>
            <w:r>
              <w:t xml:space="preserve">≥4.0/5.0 average</w:t>
            </w:r>
          </w:p>
        </w:tc>
      </w:tr>
      <w:tr>
        <w:tc>
          <w:tcPr/>
          <w:p>
            <w:pPr>
              <w:pStyle w:val="Compact"/>
            </w:pPr>
            <w:r>
              <w:rPr>
                <w:b/>
                <w:bCs/>
              </w:rPr>
              <w:t xml:space="preserve">Sustained Engagement</w:t>
            </w:r>
          </w:p>
        </w:tc>
        <w:tc>
          <w:tcPr/>
          <w:p>
            <w:pPr>
              <w:pStyle w:val="Compact"/>
            </w:pPr>
            <w:r>
              <w:t xml:space="preserve">Return rate</w:t>
            </w:r>
          </w:p>
        </w:tc>
        <w:tc>
          <w:tcPr/>
          <w:p>
            <w:pPr>
              <w:pStyle w:val="Compact"/>
            </w:pPr>
            <w:r>
              <w:t xml:space="preserve">4-week session count (≥1 session/week)</w:t>
            </w:r>
          </w:p>
        </w:tc>
        <w:tc>
          <w:tcPr/>
          <w:p>
            <w:pPr>
              <w:pStyle w:val="Compact"/>
            </w:pPr>
            <w:r>
              <w:t xml:space="preserve">≥60% retention</w:t>
            </w:r>
          </w:p>
        </w:tc>
      </w:tr>
      <w:tr>
        <w:tc>
          <w:tcPr/>
          <w:p>
            <w:pPr>
              <w:pStyle w:val="Compact"/>
            </w:pPr>
            <w:r>
              <w:rPr>
                <w:b/>
                <w:bCs/>
              </w:rPr>
              <w:t xml:space="preserve">Caregiver Stress</w:t>
            </w:r>
          </w:p>
        </w:tc>
        <w:tc>
          <w:tcPr/>
          <w:p>
            <w:pPr>
              <w:pStyle w:val="Compact"/>
            </w:pPr>
            <w:r>
              <w:t xml:space="preserve">Burden reduction</w:t>
            </w:r>
          </w:p>
        </w:tc>
        <w:tc>
          <w:tcPr/>
          <w:p>
            <w:pPr>
              <w:pStyle w:val="Compact"/>
            </w:pPr>
            <w:r>
              <w:t xml:space="preserve">Caregiver Burden Inventory (CBI) pre/post</w:t>
            </w:r>
          </w:p>
        </w:tc>
        <w:tc>
          <w:tcPr/>
          <w:p>
            <w:pPr>
              <w:pStyle w:val="Compact"/>
            </w:pPr>
            <w:r>
              <w:t xml:space="preserve">≥10% reduction</w:t>
            </w:r>
          </w:p>
        </w:tc>
      </w:tr>
      <w:tr>
        <w:tc>
          <w:tcPr/>
          <w:p>
            <w:pPr>
              <w:pStyle w:val="Compact"/>
            </w:pPr>
            <w:r>
              <w:rPr>
                <w:b/>
                <w:bCs/>
              </w:rPr>
              <w:t xml:space="preserve">Benefit Navigation</w:t>
            </w:r>
          </w:p>
        </w:tc>
        <w:tc>
          <w:tcPr/>
          <w:p>
            <w:pPr>
              <w:pStyle w:val="Compact"/>
            </w:pPr>
            <w:r>
              <w:t xml:space="preserve">Application initiation</w:t>
            </w:r>
          </w:p>
        </w:tc>
        <w:tc>
          <w:tcPr/>
          <w:p>
            <w:pPr>
              <w:pStyle w:val="Compact"/>
            </w:pPr>
            <w:r>
              <w:t xml:space="preserve">Self-reported benefit application starts (AHV, IV, respite)</w:t>
            </w:r>
          </w:p>
        </w:tc>
        <w:tc>
          <w:tcPr/>
          <w:p>
            <w:pPr>
              <w:pStyle w:val="Compact"/>
            </w:pPr>
            <w:r>
              <w:t xml:space="preserve">≥30% of eligible caregivers</w:t>
            </w:r>
          </w:p>
        </w:tc>
      </w:tr>
      <w:tr>
        <w:tc>
          <w:tcPr/>
          <w:p>
            <w:pPr>
              <w:pStyle w:val="Compact"/>
            </w:pPr>
            <w:r>
              <w:rPr>
                <w:b/>
                <w:bCs/>
              </w:rPr>
              <w:t xml:space="preserve">Self-Care Adoption</w:t>
            </w:r>
          </w:p>
        </w:tc>
        <w:tc>
          <w:tcPr/>
          <w:p>
            <w:pPr>
              <w:pStyle w:val="Compact"/>
            </w:pPr>
            <w:r>
              <w:t xml:space="preserve">Coping strategy use</w:t>
            </w:r>
          </w:p>
        </w:tc>
        <w:tc>
          <w:tcPr/>
          <w:p>
            <w:pPr>
              <w:pStyle w:val="Compact"/>
            </w:pPr>
            <w:r>
              <w:t xml:space="preserve">Weekly self-care frequency log (respite, boundaries, support)</w:t>
            </w:r>
          </w:p>
        </w:tc>
        <w:tc>
          <w:tcPr/>
          <w:p>
            <w:pPr>
              <w:pStyle w:val="Compact"/>
            </w:pPr>
            <w:r>
              <w:t xml:space="preserve">≥20% increase from baseline</w:t>
            </w:r>
          </w:p>
        </w:tc>
      </w:tr>
      <w:tr>
        <w:tc>
          <w:tcPr/>
          <w:p>
            <w:pPr>
              <w:pStyle w:val="Compact"/>
            </w:pPr>
            <w:r>
              <w:rPr>
                <w:b/>
                <w:bCs/>
              </w:rPr>
              <w:t xml:space="preserve">Policy Comprehension</w:t>
            </w:r>
          </w:p>
        </w:tc>
        <w:tc>
          <w:tcPr/>
          <w:p>
            <w:pPr>
              <w:pStyle w:val="Compact"/>
            </w:pPr>
            <w:r>
              <w:t xml:space="preserve">Benefit understanding</w:t>
            </w:r>
          </w:p>
        </w:tc>
        <w:tc>
          <w:tcPr/>
          <w:p>
            <w:pPr>
              <w:pStyle w:val="Compact"/>
            </w:pPr>
            <w:r>
              <w:t xml:space="preserve">5-question quiz on eligibility criteria (pre/post interaction)</w:t>
            </w:r>
          </w:p>
        </w:tc>
        <w:tc>
          <w:tcPr/>
          <w:p>
            <w:pPr>
              <w:pStyle w:val="Compact"/>
            </w:pPr>
            <w:r>
              <w:t xml:space="preserve">≥30% improvement</w:t>
            </w:r>
          </w:p>
        </w:tc>
      </w:tr>
    </w:tbl>
    <w:p>
      <w:pPr>
        <w:pStyle w:val="BodyText"/>
      </w:pPr>
      <w:r>
        <w:rPr>
          <w:b/>
          <w:bCs/>
        </w:rPr>
        <w:t xml:space="preserve">Qualitative Feedback Collection:</w:t>
      </w:r>
      <w:r>
        <w:t xml:space="preserve"> </w:t>
      </w:r>
      <w:r>
        <w:t xml:space="preserve">Semi-structured exit interviews (n=10-15) exploring: (1) personality adaptation appropriateness, (2) policy guidance clarity, (3) emotional support quality, (4) trust and transparency perceptions, (5) suggestions for improvement. Thematic analysis via NVivo for emergent themes.</w:t>
      </w:r>
    </w:p>
    <w:p>
      <w:pPr>
        <w:pStyle w:val="BodyText"/>
      </w:pPr>
      <w:r>
        <w:rPr>
          <w:b/>
          <w:bCs/>
        </w:rPr>
        <w:t xml:space="preserve">Thesis Phase Experimental Validation (Preregistered):</w:t>
      </w:r>
    </w:p>
    <w:tbl>
      <w:tblPr>
        <w:tblStyle w:val="Table"/>
        <w:tblW w:type="pct" w:w="5000"/>
        <w:tblLayout w:type="fixed"/>
        <w:tblLook w:firstRow="1" w:lastRow="0" w:firstColumn="0" w:lastColumn="0" w:noHBand="0" w:noVBand="0" w:val="0020"/>
      </w:tblPr>
      <w:tblGrid>
        <w:gridCol w:w="1939"/>
        <w:gridCol w:w="1777"/>
        <w:gridCol w:w="1293"/>
        <w:gridCol w:w="2909"/>
      </w:tblGrid>
      <w:tr>
        <w:trPr>
          <w:tblHeader w:val="on"/>
        </w:trPr>
        <w:tc>
          <w:tcPr/>
          <w:p>
            <w:pPr>
              <w:pStyle w:val="Compact"/>
            </w:pPr>
            <w:r>
              <w:t xml:space="preserve">Experiment</w:t>
            </w:r>
          </w:p>
        </w:tc>
        <w:tc>
          <w:tcPr/>
          <w:p>
            <w:pPr>
              <w:pStyle w:val="Compact"/>
            </w:pPr>
            <w:r>
              <w:t xml:space="preserve">Objective</w:t>
            </w:r>
          </w:p>
        </w:tc>
        <w:tc>
          <w:tcPr/>
          <w:p>
            <w:pPr>
              <w:pStyle w:val="Compact"/>
            </w:pPr>
            <w:r>
              <w:t xml:space="preserve">Method</w:t>
            </w:r>
          </w:p>
        </w:tc>
        <w:tc>
          <w:tcPr/>
          <w:p>
            <w:pPr>
              <w:pStyle w:val="Compact"/>
            </w:pPr>
            <w:r>
              <w:t xml:space="preserve">Success Criteria</w:t>
            </w:r>
          </w:p>
        </w:tc>
      </w:tr>
      <w:tr>
        <w:tc>
          <w:tcPr/>
          <w:p>
            <w:pPr>
              <w:pStyle w:val="Compact"/>
            </w:pPr>
            <w:r>
              <w:rPr>
                <w:b/>
                <w:bCs/>
              </w:rPr>
              <w:t xml:space="preserve">E1: Detection Validity</w:t>
            </w:r>
          </w:p>
        </w:tc>
        <w:tc>
          <w:tcPr/>
          <w:p>
            <w:pPr>
              <w:pStyle w:val="Compact"/>
            </w:pPr>
            <w:r>
              <w:t xml:space="preserve">Validate OCEAN inference accuracy</w:t>
            </w:r>
          </w:p>
        </w:tc>
        <w:tc>
          <w:tcPr/>
          <w:p>
            <w:pPr>
              <w:pStyle w:val="Compact"/>
            </w:pPr>
            <w:r>
              <w:t xml:space="preserve">n=30-50 participants complete BFI-44; correlate with system inferences</w:t>
            </w:r>
          </w:p>
        </w:tc>
        <w:tc>
          <w:tcPr/>
          <w:p>
            <w:pPr>
              <w:pStyle w:val="Compact"/>
            </w:pPr>
            <w:r>
              <w:t xml:space="preserve">Pearson r≥0.75 per trait</w:t>
            </w:r>
          </w:p>
        </w:tc>
      </w:tr>
      <w:tr>
        <w:tc>
          <w:tcPr/>
          <w:p>
            <w:pPr>
              <w:pStyle w:val="Compact"/>
            </w:pPr>
            <w:r>
              <w:rPr>
                <w:b/>
                <w:bCs/>
              </w:rPr>
              <w:t xml:space="preserve">E2: EMA Sensitivity</w:t>
            </w:r>
          </w:p>
        </w:tc>
        <w:tc>
          <w:tcPr/>
          <w:p>
            <w:pPr>
              <w:pStyle w:val="Compact"/>
            </w:pPr>
            <w:r>
              <w:t xml:space="preserve">Validate α=0.3 selection</w:t>
            </w:r>
          </w:p>
        </w:tc>
        <w:tc>
          <w:tcPr/>
          <w:p>
            <w:pPr>
              <w:pStyle w:val="Compact"/>
            </w:pPr>
            <w:r>
              <w:t xml:space="preserve">Test α ∈ {0.1, 0.2, 0.3, 0.4, 0.5} with N≥250 simulated conversations</w:t>
            </w:r>
          </w:p>
        </w:tc>
        <w:tc>
          <w:tcPr/>
          <w:p>
            <w:pPr>
              <w:pStyle w:val="Compact"/>
            </w:pPr>
            <w:r>
              <w:t xml:space="preserve">Convergence ≤8 turns, σ²&lt;0.15, best responsiveness</w:t>
            </w:r>
          </w:p>
        </w:tc>
      </w:tr>
      <w:tr>
        <w:tc>
          <w:tcPr/>
          <w:p>
            <w:pPr>
              <w:pStyle w:val="Compact"/>
            </w:pPr>
            <w:r>
              <w:rPr>
                <w:b/>
                <w:bCs/>
              </w:rPr>
              <w:t xml:space="preserve">E3: Regulation Effectiveness</w:t>
            </w:r>
          </w:p>
        </w:tc>
        <w:tc>
          <w:tcPr/>
          <w:p>
            <w:pPr>
              <w:pStyle w:val="Compact"/>
            </w:pPr>
            <w:r>
              <w:t xml:space="preserve">Validate directive-outcome alignment</w:t>
            </w:r>
          </w:p>
        </w:tc>
        <w:tc>
          <w:tcPr/>
          <w:p>
            <w:pPr>
              <w:pStyle w:val="Compact"/>
            </w:pPr>
            <w:r>
              <w:t xml:space="preserve">Ablation tests removing directives; measure quality impact</w:t>
            </w:r>
          </w:p>
        </w:tc>
        <w:tc>
          <w:tcPr/>
          <w:p>
            <w:pPr>
              <w:pStyle w:val="Compact"/>
            </w:pPr>
            <w:r>
              <w:t xml:space="preserve">Cohen’s d≥0.3 for primary directives</w:t>
            </w:r>
          </w:p>
        </w:tc>
      </w:tr>
      <w:tr>
        <w:tc>
          <w:tcPr/>
          <w:p>
            <w:pPr>
              <w:pStyle w:val="Compact"/>
            </w:pPr>
            <w:r>
              <w:rPr>
                <w:b/>
                <w:bCs/>
              </w:rPr>
              <w:t xml:space="preserve">E4: Human-LLM Agreement</w:t>
            </w:r>
          </w:p>
        </w:tc>
        <w:tc>
          <w:tcPr/>
          <w:p>
            <w:pPr>
              <w:pStyle w:val="Compact"/>
            </w:pPr>
            <w:r>
              <w:t xml:space="preserve">Validate automated evaluator</w:t>
            </w:r>
          </w:p>
        </w:tc>
        <w:tc>
          <w:tcPr/>
          <w:p>
            <w:pPr>
              <w:pStyle w:val="Compact"/>
            </w:pPr>
            <w:r>
              <w:t xml:space="preserve">Two human annotators + LLM on n≥20 conversations</w:t>
            </w:r>
          </w:p>
        </w:tc>
        <w:tc>
          <w:tcPr/>
          <w:p>
            <w:pPr>
              <w:pStyle w:val="Compact"/>
            </w:pPr>
            <w:r>
              <w:t xml:space="preserve">Cohen’s κ≥0.70 (release gate)</w:t>
            </w:r>
          </w:p>
        </w:tc>
      </w:tr>
      <w:tr>
        <w:tc>
          <w:tcPr/>
          <w:p>
            <w:pPr>
              <w:pStyle w:val="Compact"/>
            </w:pPr>
            <w:r>
              <w:rPr>
                <w:b/>
                <w:bCs/>
              </w:rPr>
              <w:t xml:space="preserve">E5: Policy Pack Transfer</w:t>
            </w:r>
          </w:p>
        </w:tc>
        <w:tc>
          <w:tcPr/>
          <w:p>
            <w:pPr>
              <w:pStyle w:val="Compact"/>
            </w:pPr>
            <w:r>
              <w:t xml:space="preserve">Validate cross-domain reusability</w:t>
            </w:r>
          </w:p>
        </w:tc>
        <w:tc>
          <w:tcPr/>
          <w:p>
            <w:pPr>
              <w:pStyle w:val="Compact"/>
            </w:pPr>
            <w:r>
              <w:t xml:space="preserve">Two independent implementers swap education/customer service packs</w:t>
            </w:r>
          </w:p>
        </w:tc>
        <w:tc>
          <w:tcPr/>
          <w:p>
            <w:pPr>
              <w:pStyle w:val="Compact"/>
            </w:pPr>
            <w:r>
              <w:t xml:space="preserve">Median time ≤30 min, zero code changes</w:t>
            </w:r>
          </w:p>
        </w:tc>
      </w:tr>
    </w:tbl>
    <w:p>
      <w:pPr>
        <w:pStyle w:val="BodyText"/>
      </w:pPr>
      <w:r>
        <w:rPr>
          <w:b/>
          <w:bCs/>
        </w:rPr>
        <w:t xml:space="preserve">Baseline Conditions:</w:t>
      </w:r>
      <w:r>
        <w:t xml:space="preserve"> </w:t>
      </w:r>
      <w:r>
        <w:t xml:space="preserve">Generic (non-adaptive), memory-only (mem0-style), detection-only (no regulation). Target metrics: Cohen’s d≥0.5, p&lt;0.05, ≥20% relative improvement.</w:t>
      </w:r>
    </w:p>
    <w:bookmarkEnd w:id="33"/>
    <w:bookmarkStart w:id="34" w:name="system-advantages-and-reproducibility"/>
    <w:p>
      <w:pPr>
        <w:pStyle w:val="Heading3"/>
      </w:pPr>
      <w:r>
        <w:t xml:space="preserve">4.7 System Advantages and Reproducibility</w:t>
      </w:r>
    </w:p>
    <w:p>
      <w:pPr>
        <w:pStyle w:val="FirstParagraph"/>
      </w:pPr>
      <w:r>
        <w:rPr>
          <w:b/>
          <w:bCs/>
        </w:rPr>
        <w:t xml:space="preserve">Key Advantages:</w:t>
      </w:r>
      <w:r>
        <w:t xml:space="preserve"> </w:t>
      </w:r>
      <w:r>
        <w:t xml:space="preserve">Psychological framework fidelity captures motivational intensity; EMA enables smooth temporal tracking reducing trait oscillation; fine-grained adaptation (continuous values vs. discrete); confidence weighting filters unreliable detections; PostgreSQL persistence supports longitudinal analysis.</w:t>
      </w:r>
    </w:p>
    <w:p>
      <w:pPr>
        <w:pStyle w:val="BodyText"/>
      </w:pPr>
      <w:r>
        <w:rPr>
          <w:b/>
          <w:bCs/>
        </w:rPr>
        <w:t xml:space="preserve">Reproducibility Measures:</w:t>
      </w:r>
      <w:r>
        <w:t xml:space="preserve"> </w:t>
      </w:r>
      <w:r>
        <w:t xml:space="preserve">Fixed parameters (model versions, API endpoints, temperature, seeds, prompt hashes); comprehensive JSONL logging (per-turn traces, node timings, errors, configs); neutral fallbacks for all failures; dialog-only grounding; automated CSV export for analysis.</w:t>
      </w:r>
    </w:p>
    <w:p>
      <w:r>
        <w:pict>
          <v:rect style="width:0;height:1.5pt" o:hralign="center" o:hrstd="t" o:hr="t"/>
        </w:pict>
      </w:r>
    </w:p>
    <w:bookmarkEnd w:id="34"/>
    <w:bookmarkEnd w:id="35"/>
    <w:bookmarkStart w:id="42" w:name="technology-software-and-applications"/>
    <w:p>
      <w:pPr>
        <w:pStyle w:val="Heading2"/>
      </w:pPr>
      <w:r>
        <w:t xml:space="preserve">5. Technology, Software, and Applications</w:t>
      </w:r>
    </w:p>
    <w:bookmarkStart w:id="36" w:name="core-technology-stack"/>
    <w:p>
      <w:pPr>
        <w:pStyle w:val="Heading3"/>
      </w:pPr>
      <w:r>
        <w:t xml:space="preserve">5.1 Core Technology Stack</w:t>
      </w:r>
    </w:p>
    <w:p>
      <w:pPr>
        <w:pStyle w:val="FirstParagraph"/>
      </w:pPr>
      <w:r>
        <w:t xml:space="preserve">The system employs an N8N-orchestrated architecture combining: (1)</w:t>
      </w:r>
      <w:r>
        <w:t xml:space="preserve"> </w:t>
      </w:r>
      <w:r>
        <w:rPr>
          <w:b/>
          <w:bCs/>
        </w:rPr>
        <w:t xml:space="preserve">Backend</w:t>
      </w:r>
      <w:r>
        <w:t xml:space="preserve">: N8N workflow engine with PostgreSQL (ACID-compliant state persistence) and Redis (session caching); (2)</w:t>
      </w:r>
      <w:r>
        <w:t xml:space="preserve"> </w:t>
      </w:r>
      <w:r>
        <w:rPr>
          <w:b/>
          <w:bCs/>
        </w:rPr>
        <w:t xml:space="preserve">LLMs</w:t>
      </w:r>
      <w:r>
        <w:t xml:space="preserve">: GPT-4 for detection (temp 0.3, 300 tokens, 30s timeout) and generation (temp 0.7, 220 tokens, 20s timeout), with Gemini-1.5-Pro as cost-effective alternative; (3)</w:t>
      </w:r>
      <w:r>
        <w:t xml:space="preserve"> </w:t>
      </w:r>
      <w:r>
        <w:rPr>
          <w:b/>
          <w:bCs/>
        </w:rPr>
        <w:t xml:space="preserve">Frontend</w:t>
      </w:r>
      <w:r>
        <w:t xml:space="preserve">: Next.js 14+ (React 18) with Server-Sent Events for real-time OCEAN updates; (4)</w:t>
      </w:r>
      <w:r>
        <w:t xml:space="preserve"> </w:t>
      </w:r>
      <w:r>
        <w:rPr>
          <w:b/>
          <w:bCs/>
        </w:rPr>
        <w:t xml:space="preserve">Containerization</w:t>
      </w:r>
      <w:r>
        <w:t xml:space="preserve">: Docker Compose for local development, Vercel for frontend deployment. Complete specifications in supplementary materials.</w:t>
      </w:r>
    </w:p>
    <w:bookmarkEnd w:id="36"/>
    <w:bookmarkStart w:id="37" w:name="development-and-testing"/>
    <w:p>
      <w:pPr>
        <w:pStyle w:val="Heading3"/>
      </w:pPr>
      <w:r>
        <w:t xml:space="preserve">5.2 Development and Testing</w:t>
      </w:r>
    </w:p>
    <w:p>
      <w:pPr>
        <w:pStyle w:val="FirstParagraph"/>
      </w:pPr>
      <w:r>
        <w:rPr>
          <w:b/>
          <w:bCs/>
        </w:rPr>
        <w:t xml:space="preserve">Environment Setup</w:t>
      </w:r>
      <w:r>
        <w:t xml:space="preserve">: Docker Compose orchestrates N8N, PostgreSQL, and Redis containers with</w:t>
      </w:r>
      <w:r>
        <w:t xml:space="preserve"> </w:t>
      </w:r>
      <w:r>
        <w:rPr>
          <w:rStyle w:val="VerbatimChar"/>
        </w:rPr>
        <w:t xml:space="preserve">.env</w:t>
      </w:r>
      <w:r>
        <w:t xml:space="preserve"> </w:t>
      </w:r>
      <w:r>
        <w:t xml:space="preserve">configuration, locked dependencies (</w:t>
      </w:r>
      <w:r>
        <w:rPr>
          <w:rStyle w:val="VerbatimChar"/>
        </w:rPr>
        <w:t xml:space="preserve">requirements.txt</w:t>
      </w:r>
      <w:r>
        <w:t xml:space="preserve">,</w:t>
      </w:r>
      <w:r>
        <w:t xml:space="preserve"> </w:t>
      </w:r>
      <w:r>
        <w:rPr>
          <w:rStyle w:val="VerbatimChar"/>
        </w:rPr>
        <w:t xml:space="preserve">package.json</w:t>
      </w:r>
      <w:r>
        <w:t xml:space="preserve">), and encrypted API keys via N8N credential vault.</w:t>
      </w:r>
      <w:r>
        <w:t xml:space="preserve"> </w:t>
      </w:r>
      <w:r>
        <w:rPr>
          <w:b/>
          <w:bCs/>
        </w:rPr>
        <w:t xml:space="preserve">Quality Assurance</w:t>
      </w:r>
      <w:r>
        <w:t xml:space="preserve">: Automated testing suite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 validates JSON contracts, EMA convergence, and evaluator consistency.</w:t>
      </w:r>
      <w:r>
        <w:t xml:space="preserve"> </w:t>
      </w:r>
      <w:r>
        <w:rPr>
          <w:b/>
          <w:bCs/>
        </w:rPr>
        <w:t xml:space="preserve">Monitoring</w:t>
      </w:r>
      <w:r>
        <w:t xml:space="preserve">: N8N execution logs track node timings, success rates, token usage, and system health with automated failure alerts.</w:t>
      </w:r>
    </w:p>
    <w:bookmarkEnd w:id="37"/>
    <w:bookmarkStart w:id="38" w:name="security-and-privacy"/>
    <w:p>
      <w:pPr>
        <w:pStyle w:val="Heading3"/>
      </w:pPr>
      <w:r>
        <w:t xml:space="preserve">5.3 Security and Privacy</w:t>
      </w:r>
    </w:p>
    <w:p>
      <w:pPr>
        <w:pStyle w:val="FirstParagraph"/>
      </w:pPr>
      <w:r>
        <w:rPr>
          <w:b/>
          <w:bCs/>
        </w:rPr>
        <w:t xml:space="preserve">Data Protection</w:t>
      </w:r>
      <w:r>
        <w:t xml:space="preserve">: AES-256 encryption at rest, TLS 1.3 in transit; role-based access (PI and supervisor only); comprehensive audit trails via JSONL logging; data minimization (no PII collection).</w:t>
      </w:r>
      <w:r>
        <w:t xml:space="preserve"> </w:t>
      </w:r>
      <w:r>
        <w:rPr>
          <w:b/>
          <w:bCs/>
        </w:rPr>
        <w:t xml:space="preserve">API Security</w:t>
      </w:r>
      <w:r>
        <w:t xml:space="preserve">: N8N credential vault for key management; rate limiting (configurable per endpoint); sanitized error messages; HTTPS enforcement.</w:t>
      </w:r>
      <w:r>
        <w:t xml:space="preserve"> </w:t>
      </w:r>
      <w:r>
        <w:rPr>
          <w:b/>
          <w:bCs/>
        </w:rPr>
        <w:t xml:space="preserve">Privacy Compliance</w:t>
      </w:r>
      <w:r>
        <w:t xml:space="preserve">: Anonymization protocols, explicit user consent, GDPR adherence with 5-year retention and user-controlled deletion rights.</w:t>
      </w:r>
    </w:p>
    <w:bookmarkEnd w:id="38"/>
    <w:bookmarkStart w:id="39" w:name="computational-costs-and-performance"/>
    <w:p>
      <w:pPr>
        <w:pStyle w:val="Heading3"/>
      </w:pPr>
      <w:r>
        <w:t xml:space="preserve">5.4 Computational Costs and Performance</w:t>
      </w:r>
    </w:p>
    <w:p>
      <w:pPr>
        <w:pStyle w:val="FirstParagraph"/>
      </w:pPr>
      <w:r>
        <w:rPr>
          <w:b/>
          <w:bCs/>
        </w:rPr>
        <w:t xml:space="preserve">Cost and Performance Estimates</w:t>
      </w:r>
      <w:r>
        <w:t xml:space="preserve">: Preliminary cost modeling suggests per-turn expenses and latency targets that favor GPT-4 for accuracy with Gemini-1.5-Pro as cost-effective alternative. Optimization strategies include response caching, batch processing, and adaptive verification. Detailed vendor-specific costs, latency estimates, and token usage projections are provided in Appendix E (based on 2024 pricing; subject to verification in thesis phase).</w:t>
      </w:r>
    </w:p>
    <w:bookmarkEnd w:id="39"/>
    <w:bookmarkStart w:id="40" w:name="deployment-and-maintenance"/>
    <w:p>
      <w:pPr>
        <w:pStyle w:val="Heading3"/>
      </w:pPr>
      <w:r>
        <w:t xml:space="preserve">5.5 Deployment and Maintenance</w:t>
      </w:r>
    </w:p>
    <w:p>
      <w:pPr>
        <w:pStyle w:val="FirstParagraph"/>
      </w:pPr>
      <w:r>
        <w:rPr>
          <w:b/>
          <w:bCs/>
        </w:rPr>
        <w:t xml:space="preserve">Deployment Strategy</w:t>
      </w:r>
      <w:r>
        <w:t xml:space="preserve">: Docker Compose for development; cloud staging environment for integration testing; Kubernetes planned for production scaling (horizontal N8N instances, PostgreSQL read replicas).</w:t>
      </w:r>
      <w:r>
        <w:t xml:space="preserve"> </w:t>
      </w:r>
      <w:r>
        <w:rPr>
          <w:b/>
          <w:bCs/>
        </w:rPr>
        <w:t xml:space="preserve">Maintenance Protocols</w:t>
      </w:r>
      <w:r>
        <w:t xml:space="preserve">: Model version locking with API endpoint pinning; N8N workflow version control (Git-tracked JSON exports); automated PostgreSQL backups (daily encrypted snapshots); comprehensive technical documentation for reproducibility.</w:t>
      </w:r>
    </w:p>
    <w:bookmarkEnd w:id="40"/>
    <w:bookmarkStart w:id="41" w:name="Xb47330f310c6729c524a3a4c84b917d419cbcc7"/>
    <w:p>
      <w:pPr>
        <w:pStyle w:val="Heading3"/>
      </w:pPr>
      <w:r>
        <w:t xml:space="preserve">5.6 Frontend Architecture: React/Next.js Human-Centered Interface</w:t>
      </w:r>
    </w:p>
    <w:p>
      <w:pPr>
        <w:pStyle w:val="FirstParagraph"/>
      </w:pPr>
      <w:r>
        <w:t xml:space="preserve">Five innovation areas (condensed):</w:t>
      </w:r>
    </w:p>
    <w:p>
      <w:pPr>
        <w:pStyle w:val="Compact"/>
        <w:numPr>
          <w:ilvl w:val="0"/>
          <w:numId w:val="1011"/>
        </w:numPr>
      </w:pPr>
      <w:r>
        <w:t xml:space="preserve">Progressive Personality Visualization</w:t>
      </w:r>
    </w:p>
    <w:p>
      <w:pPr>
        <w:pStyle w:val="Compact"/>
        <w:numPr>
          <w:ilvl w:val="0"/>
          <w:numId w:val="1012"/>
        </w:numPr>
      </w:pPr>
      <w:r>
        <w:t xml:space="preserve">Levels: icon status → tooltip traits → expandable radar + EMA trends</w:t>
      </w:r>
    </w:p>
    <w:p>
      <w:pPr>
        <w:pStyle w:val="Compact"/>
        <w:numPr>
          <w:ilvl w:val="0"/>
          <w:numId w:val="1012"/>
        </w:numPr>
      </w:pPr>
      <w:r>
        <w:t xml:space="preserve">Goal: reduce cognitive load while maintaining awareness (SUS target ≥75)</w:t>
      </w:r>
    </w:p>
    <w:p>
      <w:pPr>
        <w:pStyle w:val="Compact"/>
        <w:numPr>
          <w:ilvl w:val="0"/>
          <w:numId w:val="1013"/>
        </w:numPr>
      </w:pPr>
      <w:r>
        <w:t xml:space="preserve">Transparent Control Panel</w:t>
      </w:r>
    </w:p>
    <w:p>
      <w:pPr>
        <w:pStyle w:val="Compact"/>
        <w:numPr>
          <w:ilvl w:val="0"/>
          <w:numId w:val="1014"/>
        </w:numPr>
      </w:pPr>
      <w:r>
        <w:t xml:space="preserve">Trait override sliders; visible directives; policy pack selector</w:t>
      </w:r>
    </w:p>
    <w:p>
      <w:pPr>
        <w:pStyle w:val="Compact"/>
        <w:numPr>
          <w:ilvl w:val="0"/>
          <w:numId w:val="1014"/>
        </w:numPr>
      </w:pPr>
      <w:r>
        <w:t xml:space="preserve">Goal: increase trust and appropriateness (target ≥4.0/5.0)</w:t>
      </w:r>
    </w:p>
    <w:p>
      <w:pPr>
        <w:pStyle w:val="Compact"/>
        <w:numPr>
          <w:ilvl w:val="0"/>
          <w:numId w:val="1015"/>
        </w:numPr>
      </w:pPr>
      <w:r>
        <w:t xml:space="preserve">Performance Monitoring</w:t>
      </w:r>
    </w:p>
    <w:p>
      <w:pPr>
        <w:pStyle w:val="Compact"/>
        <w:numPr>
          <w:ilvl w:val="0"/>
          <w:numId w:val="1016"/>
        </w:numPr>
      </w:pPr>
      <w:r>
        <w:t xml:space="preserve">Real-time latency display; adaptive streaming; timeout warnings</w:t>
      </w:r>
    </w:p>
    <w:p>
      <w:pPr>
        <w:pStyle w:val="Compact"/>
        <w:numPr>
          <w:ilvl w:val="0"/>
          <w:numId w:val="1016"/>
        </w:numPr>
      </w:pPr>
      <w:r>
        <w:t xml:space="preserve">Goal: mitigate frustration; track per-session performance</w:t>
      </w:r>
    </w:p>
    <w:p>
      <w:pPr>
        <w:pStyle w:val="Compact"/>
        <w:numPr>
          <w:ilvl w:val="0"/>
          <w:numId w:val="1017"/>
        </w:numPr>
      </w:pPr>
      <w:r>
        <w:t xml:space="preserve">Accessibility-First Design (WCAG 2.1 AA)</w:t>
      </w:r>
    </w:p>
    <w:p>
      <w:pPr>
        <w:pStyle w:val="Compact"/>
        <w:numPr>
          <w:ilvl w:val="0"/>
          <w:numId w:val="1018"/>
        </w:numPr>
      </w:pPr>
      <w:r>
        <w:t xml:space="preserve">Screen reader labels; keyboard navigation; high contrast; scalable type</w:t>
      </w:r>
    </w:p>
    <w:p>
      <w:pPr>
        <w:pStyle w:val="Compact"/>
        <w:numPr>
          <w:ilvl w:val="0"/>
          <w:numId w:val="1018"/>
        </w:numPr>
      </w:pPr>
      <w:r>
        <w:t xml:space="preserve">Goal: inclusive interaction; plan voice I/O as future extension</w:t>
      </w:r>
    </w:p>
    <w:p>
      <w:pPr>
        <w:pStyle w:val="Compact"/>
        <w:numPr>
          <w:ilvl w:val="0"/>
          <w:numId w:val="1019"/>
        </w:numPr>
      </w:pPr>
      <w:r>
        <w:t xml:space="preserve">Frontend as Research Instrument</w:t>
      </w:r>
    </w:p>
    <w:p>
      <w:pPr>
        <w:pStyle w:val="Compact"/>
        <w:numPr>
          <w:ilvl w:val="0"/>
          <w:numId w:val="1020"/>
        </w:numPr>
      </w:pPr>
      <w:r>
        <w:t xml:space="preserve">Feature flags; session interaction recording; heatmaps; exit surveys</w:t>
      </w:r>
    </w:p>
    <w:p>
      <w:pPr>
        <w:pStyle w:val="Compact"/>
        <w:numPr>
          <w:ilvl w:val="0"/>
          <w:numId w:val="1020"/>
        </w:numPr>
      </w:pPr>
      <w:r>
        <w:t xml:space="preserve">Experiments: visualization, transparency, performance (n≈150 total)</w:t>
      </w:r>
    </w:p>
    <w:p>
      <w:r>
        <w:pict>
          <v:rect style="width:0;height:1.5pt" o:hralign="center" o:hrstd="t" o:hr="t"/>
        </w:pict>
      </w:r>
    </w:p>
    <w:bookmarkEnd w:id="41"/>
    <w:bookmarkEnd w:id="42"/>
    <w:bookmarkStart w:id="46" w:name="project-plan-and-risk-management"/>
    <w:p>
      <w:pPr>
        <w:pStyle w:val="Heading2"/>
      </w:pPr>
      <w:r>
        <w:t xml:space="preserve">6. Project Plan and Risk Management</w:t>
      </w:r>
    </w:p>
    <w:bookmarkStart w:id="43" w:name="thesis-proposal-and-structure"/>
    <w:p>
      <w:pPr>
        <w:pStyle w:val="Heading3"/>
      </w:pPr>
      <w:r>
        <w:t xml:space="preserve">6.1 Thesis Proposal and Structure</w:t>
      </w:r>
    </w:p>
    <w:p>
      <w:pPr>
        <w:pStyle w:val="FirstParagraph"/>
      </w:pPr>
      <w:r>
        <w:rPr>
          <w:b/>
          <w:bCs/>
        </w:rPr>
        <w:t xml:space="preserve">Annotated Thesis Structure (Target: 80-100 pages)</w:t>
      </w:r>
    </w:p>
    <w:p>
      <w:pPr>
        <w:pStyle w:val="BodyText"/>
      </w:pPr>
      <w:r>
        <w:rPr>
          <w:b/>
          <w:bCs/>
        </w:rPr>
        <w:t xml:space="preserve">Chapter 1: Introduction</w:t>
      </w:r>
      <w:r>
        <w:t xml:space="preserve"> </w:t>
      </w:r>
      <w:r>
        <w:t xml:space="preserve">(8-10 pages) - Context, problem statement, research objectives, RQ1-5, contributions, organization</w:t>
      </w:r>
    </w:p>
    <w:p>
      <w:pPr>
        <w:pStyle w:val="BodyText"/>
      </w:pPr>
      <w:r>
        <w:rPr>
          <w:b/>
          <w:bCs/>
        </w:rPr>
        <w:t xml:space="preserve">Chapter 2: Literature Review</w:t>
      </w:r>
      <w:r>
        <w:t xml:space="preserve"> </w:t>
      </w:r>
      <w:r>
        <w:t xml:space="preserve">(15-18 pages) - Big Five/Zurich Model foundations, personality-aware AI state-of-art, industrial memory systems, LLM dialogue systems, temporal stability methods, research gaps</w:t>
      </w:r>
    </w:p>
    <w:p>
      <w:pPr>
        <w:pStyle w:val="BodyText"/>
      </w:pPr>
      <w:r>
        <w:rPr>
          <w:b/>
          <w:bCs/>
        </w:rPr>
        <w:t xml:space="preserve">Chapter 3: Methodology</w:t>
      </w:r>
      <w:r>
        <w:t xml:space="preserve"> </w:t>
      </w:r>
      <w:r>
        <w:t xml:space="preserve">(20-25 pages) - Design science approach, system architecture (detect→regulate→generate), EMA smoothing (α=0.3), trait-to-directive mapping, evaluation framework, data management</w:t>
      </w:r>
    </w:p>
    <w:p>
      <w:pPr>
        <w:pStyle w:val="BodyText"/>
      </w:pPr>
      <w:r>
        <w:rPr>
          <w:b/>
          <w:bCs/>
        </w:rPr>
        <w:t xml:space="preserve">Chapter 4: Implementation</w:t>
      </w:r>
      <w:r>
        <w:t xml:space="preserve"> </w:t>
      </w:r>
      <w:r>
        <w:t xml:space="preserve">(15-18 pages) - N8N workflow, EMA parameter tuning, policy pack development, database schema, simulation protocol, evaluation harness, containerization</w:t>
      </w:r>
    </w:p>
    <w:p>
      <w:pPr>
        <w:pStyle w:val="BodyText"/>
      </w:pPr>
      <w:r>
        <w:rPr>
          <w:b/>
          <w:bCs/>
        </w:rPr>
        <w:t xml:space="preserve">Chapter 5: Results</w:t>
      </w:r>
      <w:r>
        <w:t xml:space="preserve"> </w:t>
      </w:r>
      <w:r>
        <w:t xml:space="preserve">(15-20 pages) - Detection accuracy (r≥0.75), EMA convergence (6-8 turns), regulation effectiveness, generation quality, baseline comparison (Cohen’s d≥0.5), human validation (n=30-50), memory-personality hybrid comparison, cross-domain demonstration, system reliability</w:t>
      </w:r>
    </w:p>
    <w:p>
      <w:pPr>
        <w:pStyle w:val="BodyText"/>
      </w:pPr>
      <w:r>
        <w:rPr>
          <w:b/>
          <w:bCs/>
        </w:rPr>
        <w:t xml:space="preserve">Chapter 6: Discussion</w:t>
      </w:r>
      <w:r>
        <w:t xml:space="preserve"> </w:t>
      </w:r>
      <w:r>
        <w:t xml:space="preserve">(12-15 pages) - Findings interpretation, theoretical contributions (Zurich operationalization, memory-motivation integration), practical contributions (production architecture, reusability), comparison with Devdas (2025) and industrial systems, validity threats, ethical considerations, generalization potential</w:t>
      </w:r>
    </w:p>
    <w:p>
      <w:pPr>
        <w:pStyle w:val="BodyText"/>
      </w:pPr>
      <w:r>
        <w:rPr>
          <w:b/>
          <w:bCs/>
        </w:rPr>
        <w:t xml:space="preserve">Chapter 7: Conclusion</w:t>
      </w:r>
      <w:r>
        <w:t xml:space="preserve"> </w:t>
      </w:r>
      <w:r>
        <w:t xml:space="preserve">(5-8 pages) - Summary, RQ1-5 answers, limitations (EMA parameters, sample size, cultural bias), future work (multimodal input, cross-cultural validation, long-term adaptation, clinical applications)</w:t>
      </w:r>
    </w:p>
    <w:p>
      <w:pPr>
        <w:pStyle w:val="BodyText"/>
      </w:pPr>
      <w:r>
        <w:rPr>
          <w:b/>
          <w:bCs/>
        </w:rPr>
        <w:t xml:space="preserve">Three Core Thesis Extensions:</w:t>
      </w:r>
      <w:r>
        <w:t xml:space="preserve"> </w:t>
      </w:r>
      <w:r>
        <w:t xml:space="preserve">1. Human Validation (Weeks 15-16): n=30-50 human participants with BFI-44 ground truth; target r≥0.75 detection correlation, κ≥0.80 inter-rater reliability</w:t>
      </w:r>
      <w:r>
        <w:t xml:space="preserve"> </w:t>
      </w:r>
      <w:r>
        <w:t xml:space="preserve">2. Large-Scale Simulation (Weeks 11-14): N≥250 simulated conversations for A/B testing vs. mem0/LangChain baseline; target ≥20% improvement on emotional tone and needs satisfaction</w:t>
      </w:r>
      <w:r>
        <w:t xml:space="preserve"> </w:t>
      </w:r>
      <w:r>
        <w:t xml:space="preserve">3. Cross-Domain Demonstration (Weeks 8-10): Education and customer service policy pack swaps; target &lt;30 min transfer time, zero breaking changes</w:t>
      </w:r>
    </w:p>
    <w:bookmarkEnd w:id="43"/>
    <w:bookmarkStart w:id="44" w:name="twenty-week-work-plan"/>
    <w:p>
      <w:pPr>
        <w:pStyle w:val="Heading3"/>
      </w:pPr>
      <w:r>
        <w:t xml:space="preserve">6.2 Twenty-Week Work Plan</w:t>
      </w:r>
    </w:p>
    <w:p>
      <w:pPr>
        <w:pStyle w:val="FirstParagraph"/>
      </w:pPr>
      <w:r>
        <w:rPr>
          <w:b/>
          <w:bCs/>
        </w:rPr>
        <w:t xml:space="preserve">Timeline:</w:t>
      </w:r>
      <w:r>
        <w:t xml:space="preserve"> </w:t>
      </w:r>
      <w:r>
        <w:t xml:space="preserve">Foundation (weeks 1-3) → Design &amp; Architecture (4-6) → Implementation Phase 1 (7-10) → Evaluation &amp; Iteration (11-14) → Human Validation (15-16) → Analysis &amp; Writing (17-19) → Finalization (20).</w:t>
      </w:r>
    </w:p>
    <w:p>
      <w:pPr>
        <w:pStyle w:val="BodyText"/>
      </w:pPr>
      <w:r>
        <w:rPr>
          <w:b/>
          <w:bCs/>
        </w:rPr>
        <w:t xml:space="preserve">Table 8. Twenty-Week Work Plan with Milestones</w:t>
      </w:r>
    </w:p>
    <w:tbl>
      <w:tblPr>
        <w:tblStyle w:val="Table"/>
        <w:tblW w:type="pct" w:w="5000"/>
        <w:tblLayout w:type="fixed"/>
        <w:tblLook w:firstRow="1" w:lastRow="0" w:firstColumn="0" w:lastColumn="0" w:noHBand="0" w:noVBand="0" w:val="0020"/>
      </w:tblPr>
      <w:tblGrid>
        <w:gridCol w:w="780"/>
        <w:gridCol w:w="1003"/>
        <w:gridCol w:w="2119"/>
        <w:gridCol w:w="2007"/>
        <w:gridCol w:w="2007"/>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r>
      <w:tr>
        <w:tc>
          <w:tcPr/>
          <w:p>
            <w:pPr>
              <w:pStyle w:val="Compact"/>
            </w:pPr>
            <w:r>
              <w:rPr>
                <w:b/>
                <w:bCs/>
              </w:rPr>
              <w:t xml:space="preserve">Phase 1: Foundation</w:t>
            </w:r>
          </w:p>
        </w:tc>
        <w:tc>
          <w:tcPr/>
          <w:p>
            <w:pPr>
              <w:pStyle w:val="Compact"/>
            </w:pPr>
            <w:r>
              <w:t xml:space="preserve">1-3</w:t>
            </w:r>
          </w:p>
        </w:tc>
        <w:tc>
          <w:tcPr/>
          <w:p>
            <w:pPr>
              <w:pStyle w:val="Compact"/>
            </w:pPr>
            <w:r>
              <w:t xml:space="preserve">Comprehensive literature review; theoretical framework development; RQ refinement; environment setup</w:t>
            </w:r>
          </w:p>
        </w:tc>
        <w:tc>
          <w:tcPr/>
          <w:p>
            <w:pPr>
              <w:pStyle w:val="Compact"/>
            </w:pPr>
            <w:r>
              <w:t xml:space="preserve">Annotated bibliography; theoretical framework document; finalized RQs; functional dev environment</w:t>
            </w:r>
          </w:p>
        </w:tc>
        <w:tc>
          <w:tcPr/>
          <w:p>
            <w:pPr>
              <w:pStyle w:val="Compact"/>
            </w:pPr>
            <w:r>
              <w:t xml:space="preserve">30+ papers reviewed; clear theoretical grounding; testable RQs; working N8N + Docker setup</w:t>
            </w:r>
          </w:p>
        </w:tc>
      </w:tr>
      <w:tr>
        <w:tc>
          <w:tcPr/>
          <w:p>
            <w:pPr>
              <w:pStyle w:val="Compact"/>
            </w:pPr>
            <w:r>
              <w:rPr>
                <w:b/>
                <w:bCs/>
              </w:rPr>
              <w:t xml:space="preserve">Phase 2: Design &amp; Architecture</w:t>
            </w:r>
          </w:p>
        </w:tc>
        <w:tc>
          <w:tcPr/>
          <w:p>
            <w:pPr>
              <w:pStyle w:val="Compact"/>
            </w:pPr>
            <w:r>
              <w:t xml:space="preserve">4-6</w:t>
            </w:r>
          </w:p>
        </w:tc>
        <w:tc>
          <w:tcPr/>
          <w:p>
            <w:pPr>
              <w:pStyle w:val="Compact"/>
            </w:pPr>
            <w:r>
              <w:t xml:space="preserve">System architecture design; module specification; contract definition; pilot testing</w:t>
            </w:r>
          </w:p>
        </w:tc>
        <w:tc>
          <w:tcPr/>
          <w:p>
            <w:pPr>
              <w:pStyle w:val="Compact"/>
            </w:pPr>
            <w:r>
              <w:t xml:space="preserve">Architecture diagrams; JSON contracts; design documentation; pilot results</w:t>
            </w:r>
          </w:p>
        </w:tc>
        <w:tc>
          <w:tcPr/>
          <w:p>
            <w:pPr>
              <w:pStyle w:val="Compact"/>
            </w:pPr>
            <w:r>
              <w:t xml:space="preserve">Modular design validated; stable contracts; successful pilot conversations</w:t>
            </w:r>
          </w:p>
        </w:tc>
      </w:tr>
      <w:tr>
        <w:tc>
          <w:tcPr/>
          <w:p>
            <w:pPr>
              <w:pStyle w:val="Compact"/>
            </w:pPr>
            <w:r>
              <w:rPr>
                <w:b/>
                <w:bCs/>
              </w:rPr>
              <w:t xml:space="preserve">Phase 3: Implementation (Core)</w:t>
            </w:r>
          </w:p>
        </w:tc>
        <w:tc>
          <w:tcPr/>
          <w:p>
            <w:pPr>
              <w:pStyle w:val="Compact"/>
            </w:pPr>
            <w:r>
              <w:t xml:space="preserve">7-10</w:t>
            </w:r>
          </w:p>
        </w:tc>
        <w:tc>
          <w:tcPr/>
          <w:p>
            <w:pPr>
              <w:pStyle w:val="Compact"/>
            </w:pPr>
            <w:r>
              <w:t xml:space="preserve">Detection module development; regulation logic; generation pipeline; EMA integration; PostgreSQL setup</w:t>
            </w:r>
          </w:p>
        </w:tc>
        <w:tc>
          <w:tcPr/>
          <w:p>
            <w:pPr>
              <w:pStyle w:val="Compact"/>
            </w:pPr>
            <w:r>
              <w:t xml:space="preserve">Working personality detection; regulation engine; response generation; persistence layer</w:t>
            </w:r>
          </w:p>
        </w:tc>
        <w:tc>
          <w:tcPr/>
          <w:p>
            <w:pPr>
              <w:pStyle w:val="Compact"/>
            </w:pPr>
            <w:r>
              <w:t xml:space="preserve">Detection accuracy ≥70%; stable trait convergence; grounded responses; persistent state</w:t>
            </w:r>
          </w:p>
        </w:tc>
      </w:tr>
      <w:tr>
        <w:tc>
          <w:tcPr/>
          <w:p>
            <w:pPr>
              <w:pStyle w:val="Compact"/>
            </w:pPr>
            <w:r>
              <w:rPr>
                <w:b/>
                <w:bCs/>
              </w:rPr>
              <w:t xml:space="preserve">Phase 4: Evaluation &amp; Iteration</w:t>
            </w:r>
          </w:p>
        </w:tc>
        <w:tc>
          <w:tcPr/>
          <w:p>
            <w:pPr>
              <w:pStyle w:val="Compact"/>
            </w:pPr>
            <w:r>
              <w:t xml:space="preserve">11-14</w:t>
            </w:r>
          </w:p>
        </w:tc>
        <w:tc>
          <w:tcPr/>
          <w:p>
            <w:pPr>
              <w:pStyle w:val="Compact"/>
            </w:pPr>
            <w:r>
              <w:t xml:space="preserve">Automated evaluation framework; simulation execution (N≥250); A/B testing; prompt optimization; bug fixes</w:t>
            </w:r>
          </w:p>
        </w:tc>
        <w:tc>
          <w:tcPr/>
          <w:p>
            <w:pPr>
              <w:pStyle w:val="Compact"/>
            </w:pPr>
            <w:r>
              <w:t xml:space="preserve">Evaluation harness; simulation dataset; performance metrics; refined prompts</w:t>
            </w:r>
          </w:p>
        </w:tc>
        <w:tc>
          <w:tcPr/>
          <w:p>
            <w:pPr>
              <w:pStyle w:val="Compact"/>
            </w:pPr>
            <w:r>
              <w:t xml:space="preserve">Inter-run reliability ≥0.85; statistically significant improvements; reproducible results</w:t>
            </w:r>
          </w:p>
        </w:tc>
      </w:tr>
      <w:tr>
        <w:tc>
          <w:tcPr/>
          <w:p>
            <w:pPr>
              <w:pStyle w:val="Compact"/>
            </w:pPr>
            <w:r>
              <w:rPr>
                <w:b/>
                <w:bCs/>
              </w:rPr>
              <w:t xml:space="preserve">Phase 5: Human Validation</w:t>
            </w:r>
          </w:p>
        </w:tc>
        <w:tc>
          <w:tcPr/>
          <w:p>
            <w:pPr>
              <w:pStyle w:val="Compact"/>
            </w:pPr>
            <w:r>
              <w:t xml:space="preserve">15-16</w:t>
            </w:r>
          </w:p>
        </w:tc>
        <w:tc>
          <w:tcPr/>
          <w:p>
            <w:pPr>
              <w:pStyle w:val="Compact"/>
            </w:pPr>
            <w:r>
              <w:t xml:space="preserve">Ethics approval; participant recruitment (n=30-50); human studies; BFI-44 ground truth; qualitative feedback</w:t>
            </w:r>
          </w:p>
        </w:tc>
        <w:tc>
          <w:tcPr/>
          <w:p>
            <w:pPr>
              <w:pStyle w:val="Compact"/>
            </w:pPr>
            <w:r>
              <w:t xml:space="preserve">IRB approval; participant data; validation results; user feedback</w:t>
            </w:r>
          </w:p>
        </w:tc>
        <w:tc>
          <w:tcPr/>
          <w:p>
            <w:pPr>
              <w:pStyle w:val="Compact"/>
            </w:pPr>
            <w:r>
              <w:t xml:space="preserve">Ethical compliance; detection correlation r≥0.75; positive user reception</w:t>
            </w:r>
          </w:p>
        </w:tc>
      </w:tr>
      <w:tr>
        <w:tc>
          <w:tcPr/>
          <w:p>
            <w:pPr>
              <w:pStyle w:val="Compact"/>
            </w:pPr>
            <w:r>
              <w:rPr>
                <w:b/>
                <w:bCs/>
              </w:rPr>
              <w:t xml:space="preserve">Phase 6: Analysis &amp; Writing</w:t>
            </w:r>
          </w:p>
        </w:tc>
        <w:tc>
          <w:tcPr/>
          <w:p>
            <w:pPr>
              <w:pStyle w:val="Compact"/>
            </w:pPr>
            <w:r>
              <w:t xml:space="preserve">17-19</w:t>
            </w:r>
          </w:p>
        </w:tc>
        <w:tc>
          <w:tcPr/>
          <w:p>
            <w:pPr>
              <w:pStyle w:val="Compact"/>
            </w:pPr>
            <w:r>
              <w:t xml:space="preserve">Statistical analysis; visualization; preliminary study writing; limitation analysis; thesis outline</w:t>
            </w:r>
          </w:p>
        </w:tc>
        <w:tc>
          <w:tcPr/>
          <w:p>
            <w:pPr>
              <w:pStyle w:val="Compact"/>
            </w:pPr>
            <w:r>
              <w:t xml:space="preserve">Complete preliminary study document; publication-quality figures; thesis proposal</w:t>
            </w:r>
          </w:p>
        </w:tc>
        <w:tc>
          <w:tcPr/>
          <w:p>
            <w:pPr>
              <w:pStyle w:val="Compact"/>
            </w:pPr>
            <w:r>
              <w:t xml:space="preserve">Comprehensive analysis; clear contributions; honest limitations; thesis roadmap</w:t>
            </w:r>
          </w:p>
        </w:tc>
      </w:tr>
      <w:tr>
        <w:tc>
          <w:tcPr/>
          <w:p>
            <w:pPr>
              <w:pStyle w:val="Compact"/>
            </w:pPr>
            <w:r>
              <w:rPr>
                <w:b/>
                <w:bCs/>
              </w:rPr>
              <w:t xml:space="preserve">Phase 7: Finalization</w:t>
            </w:r>
          </w:p>
        </w:tc>
        <w:tc>
          <w:tcPr/>
          <w:p>
            <w:pPr>
              <w:pStyle w:val="Compact"/>
            </w:pPr>
            <w:r>
              <w:t xml:space="preserve">20</w:t>
            </w:r>
          </w:p>
        </w:tc>
        <w:tc>
          <w:tcPr/>
          <w:p>
            <w:pPr>
              <w:pStyle w:val="Compact"/>
            </w:pPr>
            <w:r>
              <w:t xml:space="preserve">Supervisor feedback integration; peer review; final QA; presentation preparation; handover documentation</w:t>
            </w:r>
          </w:p>
        </w:tc>
        <w:tc>
          <w:tcPr/>
          <w:p>
            <w:pPr>
              <w:pStyle w:val="Compact"/>
            </w:pPr>
            <w:r>
              <w:t xml:space="preserve">Final preliminary study v2.0; presentation slides; code repository; handover docs</w:t>
            </w:r>
          </w:p>
        </w:tc>
        <w:tc>
          <w:tcPr/>
          <w:p>
            <w:pPr>
              <w:pStyle w:val="Compact"/>
            </w:pPr>
            <w:r>
              <w:t xml:space="preserve">Publication-ready document; clear presentation; reproducible artifacts; smooth handover</w:t>
            </w:r>
          </w:p>
        </w:tc>
      </w:tr>
    </w:tbl>
    <w:p>
      <w:pPr>
        <w:pStyle w:val="BodyText"/>
      </w:pPr>
      <w:r>
        <w:rPr>
          <w:b/>
          <w:bCs/>
        </w:rPr>
        <w:t xml:space="preserve">Resources:</w:t>
      </w:r>
      <w:r>
        <w:t xml:space="preserve"> </w:t>
      </w:r>
      <w:r>
        <w:t xml:space="preserve">LLM API credits (~$200-500), N8N/Docker infrastructure, R/Python statistical tools, supervisor meetings (2hr/week), peer reviewers, psychology expert, ethics board consultation.</w:t>
      </w:r>
    </w:p>
    <w:bookmarkEnd w:id="44"/>
    <w:bookmarkStart w:id="45" w:name="risk-management"/>
    <w:p>
      <w:pPr>
        <w:pStyle w:val="Heading3"/>
      </w:pPr>
      <w:r>
        <w:t xml:space="preserve">6.3 Risk Management</w:t>
      </w:r>
    </w:p>
    <w:p>
      <w:pPr>
        <w:pStyle w:val="FirstParagraph"/>
      </w:pPr>
      <w:r>
        <w:rPr>
          <w:b/>
          <w:bCs/>
        </w:rPr>
        <w:t xml:space="preserve">Risk Matrix:</w:t>
      </w:r>
      <w:r>
        <w:t xml:space="preserve"> </w:t>
      </w:r>
      <w:r>
        <w:t xml:space="preserve">Assesses likelihood/impact (Low/Medium/High). Key risks:</w:t>
      </w:r>
      <w:r>
        <w:t xml:space="preserve"> </w:t>
      </w:r>
      <w:r>
        <w:rPr>
          <w:b/>
          <w:bCs/>
        </w:rPr>
        <w:t xml:space="preserve">Evaluation</w:t>
      </w:r>
      <w:r>
        <w:t xml:space="preserve"> </w:t>
      </w:r>
      <w:r>
        <w:t xml:space="preserve">(LLM evaluator bias/drift, Medium/High) mitigated by fixed prompts, 3× runs, human spot-checks;</w:t>
      </w:r>
      <w:r>
        <w:t xml:space="preserve"> </w:t>
      </w:r>
      <w:r>
        <w:rPr>
          <w:b/>
          <w:bCs/>
        </w:rPr>
        <w:t xml:space="preserve">Reproducibility</w:t>
      </w:r>
      <w:r>
        <w:t xml:space="preserve"> </w:t>
      </w:r>
      <w:r>
        <w:t xml:space="preserve">(non-determinism, Medium/High) addressed by pinned model versions, fixed seeds, config logging;</w:t>
      </w:r>
      <w:r>
        <w:t xml:space="preserve"> </w:t>
      </w:r>
      <w:r>
        <w:rPr>
          <w:b/>
          <w:bCs/>
        </w:rPr>
        <w:t xml:space="preserve">Data Quality</w:t>
      </w:r>
      <w:r>
        <w:t xml:space="preserve"> </w:t>
      </w:r>
      <w:r>
        <w:t xml:space="preserve">(simulated profiles, Medium/Medium) managed by expert validation, mid-range profiles, pilot human validation;</w:t>
      </w:r>
      <w:r>
        <w:t xml:space="preserve"> </w:t>
      </w:r>
      <w:r>
        <w:rPr>
          <w:b/>
          <w:bCs/>
        </w:rPr>
        <w:t xml:space="preserve">Technical</w:t>
      </w:r>
      <w:r>
        <w:t xml:space="preserve"> </w:t>
      </w:r>
      <w:r>
        <w:t xml:space="preserve">(prompt sensitivity, Medium/Medium) controlled by versioning, A/B tests, directive auditing;</w:t>
      </w:r>
      <w:r>
        <w:t xml:space="preserve"> </w:t>
      </w:r>
      <w:r>
        <w:rPr>
          <w:b/>
          <w:bCs/>
        </w:rPr>
        <w:t xml:space="preserve">Infrastructure</w:t>
      </w:r>
      <w:r>
        <w:t xml:space="preserve"> </w:t>
      </w:r>
      <w:r>
        <w:t xml:space="preserve">(vendor interruptions, Medium/Medium) handled by provider abstraction, alternates, retries;</w:t>
      </w:r>
      <w:r>
        <w:t xml:space="preserve"> </w:t>
      </w:r>
      <w:r>
        <w:rPr>
          <w:b/>
          <w:bCs/>
        </w:rPr>
        <w:t xml:space="preserve">Ethics/Privacy</w:t>
      </w:r>
      <w:r>
        <w:t xml:space="preserve"> </w:t>
      </w:r>
      <w:r>
        <w:t xml:space="preserve">(data protection, Low/High) ensured by anonymization, encryption, IRB compliance;</w:t>
      </w:r>
      <w:r>
        <w:t xml:space="preserve"> </w:t>
      </w:r>
      <w:r>
        <w:rPr>
          <w:b/>
          <w:bCs/>
        </w:rPr>
        <w:t xml:space="preserve">Scope</w:t>
      </w:r>
      <w:r>
        <w:t xml:space="preserve"> </w:t>
      </w:r>
      <w:r>
        <w:t xml:space="preserve">(feature creep, Medium/Medium) prevented by guardrails, change control, thesis deferral.</w:t>
      </w:r>
    </w:p>
    <w:p>
      <w:pPr>
        <w:pStyle w:val="BodyText"/>
      </w:pPr>
      <w:r>
        <w:rPr>
          <w:b/>
          <w:bCs/>
        </w:rPr>
        <w:t xml:space="preserve">Mitigation Playbooks:</w:t>
      </w:r>
      <w:r>
        <w:t xml:space="preserve"> </w:t>
      </w:r>
      <w:r>
        <w:t xml:space="preserve">Evaluator drift (consistency &lt;0.85) → freeze prompts, compare providers; JSON failures (&gt;0.5%) → schema validation, temperature reduction; Latency (p95 &gt;2s) → reduce tokens, cache responses; Privacy incident → rotate keys, audit logs.</w:t>
      </w:r>
    </w:p>
    <w:p>
      <w:pPr>
        <w:pStyle w:val="BodyText"/>
      </w:pPr>
      <w:r>
        <w:rPr>
          <w:b/>
          <w:bCs/>
        </w:rPr>
        <w:t xml:space="preserve">Contingency:</w:t>
      </w:r>
      <w:r>
        <w:t xml:space="preserve"> </w:t>
      </w:r>
      <w:r>
        <w:t xml:space="preserve">Alternative providers (GPT-4, Claude) ready; thesis phase human evaluation fallback (n=30-50); scope adjustment gates (e.g., evaluator &lt;0.75 → switch to human sample).</w:t>
      </w:r>
    </w:p>
    <w:p>
      <w:pPr>
        <w:pStyle w:val="BodyText"/>
      </w:pPr>
      <w:r>
        <w:rPr>
          <w:b/>
          <w:bCs/>
        </w:rPr>
        <w:t xml:space="preserve">Monitoring (Planned):</w:t>
      </w:r>
      <w:r>
        <w:t xml:space="preserve"> </w:t>
      </w:r>
      <w:r>
        <w:t xml:space="preserve">Weekly KPI tracking targets: JSON compliance ≥99.5%, EMA stabilization ≥80%, evaluator consistency ≥0.85, p95 latency &lt;2.0s, zero privacy incidents.</w:t>
      </w:r>
    </w:p>
    <w:p>
      <w:r>
        <w:pict>
          <v:rect style="width:0;height:1.5pt" o:hralign="center" o:hrstd="t" o:hr="t"/>
        </w:pict>
      </w:r>
    </w:p>
    <w:bookmarkEnd w:id="45"/>
    <w:bookmarkEnd w:id="46"/>
    <w:bookmarkStart w:id="48" w:name="future-work"/>
    <w:p>
      <w:pPr>
        <w:pStyle w:val="Heading2"/>
      </w:pPr>
      <w:r>
        <w:t xml:space="preserve">7. Future Work</w:t>
      </w:r>
    </w:p>
    <w:bookmarkStart w:id="47" w:name="future-research-directions"/>
    <w:p>
      <w:pPr>
        <w:pStyle w:val="Heading3"/>
      </w:pPr>
      <w:r>
        <w:t xml:space="preserve">7.1 Future Research Directions</w:t>
      </w:r>
    </w:p>
    <w:p>
      <w:pPr>
        <w:pStyle w:val="FirstParagraph"/>
      </w:pPr>
      <w:r>
        <w:t xml:space="preserve">Future work includes human validation (n=150), cross-cultural adaptation, multimodal personality detection (voice, facial expression), longitudinal trait evolution tracking, and clinical application with IRB oversight. The thesis phase addresses immediate limitations through stratified sampling, expert directive review, and memory-personality hybrid comparison studies.</w:t>
      </w:r>
    </w:p>
    <w:p>
      <w:r>
        <w:pict>
          <v:rect style="width:0;height:1.5pt" o:hralign="center" o:hrstd="t" o:hr="t"/>
        </w:pict>
      </w:r>
    </w:p>
    <w:bookmarkEnd w:id="47"/>
    <w:bookmarkEnd w:id="48"/>
    <w:bookmarkStart w:id="49" w:name="references"/>
    <w:p>
      <w:pPr>
        <w:pStyle w:val="Heading2"/>
      </w:pPr>
      <w:r>
        <w:t xml:space="preserve">8.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 https://doi.org/10.48550/arXiv.2310.02374</w:t>
      </w:r>
    </w:p>
    <w:p>
      <w:pPr>
        <w:pStyle w:val="BodyText"/>
      </w:pPr>
      <w:r>
        <w:t xml:space="preserve">Adamopoulou, E., &amp; Moussiades, L. (2020). An overview of chatbot technology. In</w:t>
      </w:r>
      <w:r>
        <w:t xml:space="preserve"> </w:t>
      </w:r>
      <w:r>
        <w:rPr>
          <w:i/>
          <w:iCs/>
        </w:rPr>
        <w:t xml:space="preserve">IFIP International Conference on Artificial Intelligence Applications and Innovations</w:t>
      </w:r>
      <w:r>
        <w:t xml:space="preserve"> </w:t>
      </w:r>
      <w:r>
        <w:t xml:space="preserve">(pp. 373-383). Springer. https://doi.org/10.1007/978-3-030-49186-4_31</w:t>
      </w:r>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38(4), 12-21. https://doi.org/10.1109/MSP.2021.3106890</w:t>
      </w:r>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 https://doi.org/10.1007/s11205-020-02304-z</w:t>
      </w:r>
    </w:p>
    <w:p>
      <w:pPr>
        <w:pStyle w:val="BodyText"/>
      </w:pPr>
      <w:r>
        <w:t xml:space="preserve">Quirin, M., Kruglanski, A. W., Higgins, E. T., Kuhl, J., de Jong-Meyer, R., Kämpfe-Hargrave, N., Eggerman, C., Baumann, N., &amp; Kazén, M. (2023). Dynamics of personality: The Zurich model of motivation revived, extended, and applied.</w:t>
      </w:r>
      <w:r>
        <w:t xml:space="preserve"> </w:t>
      </w:r>
      <w:r>
        <w:rPr>
          <w:i/>
          <w:iCs/>
        </w:rPr>
        <w:t xml:space="preserve">Journal of Personality</w:t>
      </w:r>
      <w:r>
        <w:t xml:space="preserve">, 91(5), 1097-1122. https://doi.org/10.1111/jopy.12797</w:t>
      </w:r>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 https://doi.org/10.1111/1467-6494.00112</w:t>
      </w:r>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 https://doi.org/10.1037/1040-3590.4.1.5</w:t>
      </w:r>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Journal of Aging Research &amp; Lifestyle</w:t>
      </w:r>
      <w:r>
        <w:t xml:space="preserve">, 13, 22-28. https://doi.org/10.14283/jarlife.2024.2</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 https://doi.org/10.1109/ICCBD-AI59465.2023.00064</w:t>
      </w:r>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 https://doi.org/10.1016/j.socscimed.2011.11.028</w:t>
      </w:r>
    </w:p>
    <w:p>
      <w:pPr>
        <w:pStyle w:val="BodyText"/>
      </w:pPr>
      <w:r>
        <w:t xml:space="preserve">De Freitas, J., Huang, S.-C., Pradelski, B. S. R., &amp; Suskind, D. (2024). AI companions reduce loneliness (Working Paper No. 24-078). The Wharton School. https://doi.org/10.48550/arXiv.2407.19096</w:t>
      </w:r>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 HSLU Institutional Repository.</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 https://doi.org/10.1007/978-3-031-53302-0_25</w:t>
      </w:r>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 https://doi.org/10.1145/3613905.3650964</w:t>
      </w:r>
    </w:p>
    <w:p>
      <w:pPr>
        <w:pStyle w:val="BodyText"/>
      </w:pPr>
      <w:r>
        <w:t xml:space="preserve">Følstad, A., &amp; Brandtzæg, P. B. (2020). Users’ experiences with chatbots: Findings from a questionnaire study.</w:t>
      </w:r>
      <w:r>
        <w:t xml:space="preserve"> </w:t>
      </w:r>
      <w:r>
        <w:rPr>
          <w:i/>
          <w:iCs/>
        </w:rPr>
        <w:t xml:space="preserve">Quality and User Experience</w:t>
      </w:r>
      <w:r>
        <w:t xml:space="preserve">, 5, Article 3. https://doi.org/10.1007/s41233-020-00033-2</w:t>
      </w:r>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 https://doi.org/10.1371/journal.pone.0219663</w:t>
      </w:r>
    </w:p>
    <w:p>
      <w:pPr>
        <w:pStyle w:val="BodyText"/>
      </w:pPr>
      <w:r>
        <w:t xml:space="preserve">Jian, J.-Y., Bisantz, A. M., &amp; Drury, C. G. (2000). Foundations for an empirically determined scale of trust in automated systems.</w:t>
      </w:r>
      <w:r>
        <w:t xml:space="preserve"> </w:t>
      </w:r>
      <w:r>
        <w:rPr>
          <w:i/>
          <w:iCs/>
        </w:rPr>
        <w:t xml:space="preserve">International Journal of Cognitive Ergonomics</w:t>
      </w:r>
      <w:r>
        <w:t xml:space="preserve">, 4(1), 53-71. https://doi.org/10.1207/S15327566IJCE0401_04</w:t>
      </w:r>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 https://doi.org/10.1177/0898264317704533</w:t>
      </w:r>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 https://doi.org/10.1111/j.1467-6494.1992.tb00970.x</w:t>
      </w:r>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 https://doi.org/10.1037/0022-3514.88.3.547</w:t>
      </w:r>
    </w:p>
    <w:p>
      <w:pPr>
        <w:pStyle w:val="BodyText"/>
      </w:pPr>
      <w:r>
        <w:t xml:space="preserve">mem0ai. (2024).</w:t>
      </w:r>
      <w:r>
        <w:t xml:space="preserve"> </w:t>
      </w:r>
      <w:r>
        <w:rPr>
          <w:i/>
          <w:iCs/>
        </w:rPr>
        <w:t xml:space="preserve">mem0: The memory layer for personalized AI</w:t>
      </w:r>
      <w:r>
        <w:t xml:space="preserve"> </w:t>
      </w:r>
      <w:r>
        <w:t xml:space="preserve">[Computer software]. GitHub. Retrieved October 20, 2025, from https://github.com/mem0ai/mem0</w:t>
      </w:r>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 https://doi.org/10.48550/arXiv.2209.14338</w:t>
      </w:r>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&amp; Geriatric Medicine</w:t>
      </w:r>
      <w:r>
        <w:t xml:space="preserve">, 1, e2333721415582119. https://doi.org/10.1177/2333721415582119</w:t>
      </w:r>
    </w:p>
    <w:p>
      <w:pPr>
        <w:pStyle w:val="BodyText"/>
      </w:pPr>
      <w:r>
        <w:t xml:space="preserve">OpenAI. (2024).</w:t>
      </w:r>
      <w:r>
        <w:t xml:space="preserve"> </w:t>
      </w:r>
      <w:r>
        <w:rPr>
          <w:i/>
          <w:iCs/>
        </w:rPr>
        <w:t xml:space="preserve">ChatGPT memory and personalization</w:t>
      </w:r>
      <w:r>
        <w:t xml:space="preserve">. OpenAI. Retrieved October 10, 2024, from https://openai.com/blog/memory-and-new-controls-for-chatgpt</w:t>
      </w:r>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 https://doi.org/10.1037/pspp0000020</w:t>
      </w:r>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 https://doi.org/10.1111/jopy.12805</w:t>
      </w:r>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 https://doi.org/10.1101/19000414</w:t>
      </w:r>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 https://doi.org/10.2196/24712</w:t>
      </w:r>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 https://doi.org/10.1145/3631700.3665185</w:t>
      </w:r>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 https://doi.org/10.2196/16235</w:t>
      </w:r>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 https://doi.org/10.24251/HICSS.2022.200</w:t>
      </w:r>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 https://doi.org/10.1016/j.jrp.2010.04.001</w:t>
      </w:r>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 https://doi.org/10.48550/arXiv.2403.15699</w:t>
      </w:r>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 https://doi.org/10.48550/arXiv.2308.11584</w:t>
      </w:r>
    </w:p>
    <w:p>
      <w:r>
        <w:pict>
          <v:rect style="width:0;height:1.5pt" o:hralign="center" o:hrstd="t" o:hr="t"/>
        </w:pict>
      </w:r>
    </w:p>
    <w:bookmarkEnd w:id="49"/>
    <w:bookmarkStart w:id="54" w:name="appendix"/>
    <w:p>
      <w:pPr>
        <w:pStyle w:val="Heading2"/>
      </w:pPr>
      <w:r>
        <w:t xml:space="preserve">9.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50" w:name="Xef797ace03b62a4c22f0f45df7bf3507c56e251"/>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["caregiver_burden"|"benefit_navigation"|"self_care_neglect"|"role_strain"|"financial_stress"|"other"...],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"emotional_support"|"resource_navigation"|"self_care_planning",</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emotional_support (validation of caregiver burden), resource_navigation (benefit system guidance), self_care_planning (respite and coping strategies).</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4.6,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**NOTE ON AMBIGUOUS CASES:** In cases of ambiguity or insufficient evidence, default to "Partial" for conservative scoring. This ensures reliability and prevents overestimation of system performance.</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p>
      <w:pPr>
        <w:pStyle w:val="FirstParagraph"/>
      </w:pPr>
      <w:r>
        <w:rPr>
          <w:b/>
          <w:bCs/>
        </w:rPr>
        <w:t xml:space="preserve">Execution Notes for Reproducibility:</w:t>
      </w:r>
      <w:r>
        <w:t xml:space="preserve"> </w:t>
      </w:r>
      <w:r>
        <w:t xml:space="preserve">- This prompt is executed by the Verification Node in the N8N workflow (see Section 4.1, Table 3)</w:t>
      </w:r>
      <w:r>
        <w:t xml:space="preserve"> </w:t>
      </w:r>
      <w:r>
        <w:t xml:space="preserve">- Model: GPT-4 or Gemini-1.5-Pro with temperature=0 for consistency</w:t>
      </w:r>
      <w:r>
        <w:t xml:space="preserve"> </w:t>
      </w:r>
      <w:r>
        <w:t xml:space="preserve">- Variables</w:t>
      </w:r>
      <w:r>
        <w:t xml:space="preserve"> </w:t>
      </w: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{ocean_disc}</w:t>
      </w:r>
      <w:r>
        <w:t xml:space="preserve">, and</w:t>
      </w:r>
      <w:r>
        <w:t xml:space="preserve"> </w:t>
      </w:r>
      <w:r>
        <w:rPr>
          <w:rStyle w:val="VerbatimChar"/>
        </w:rPr>
        <w:t xml:space="preserve">{directives}</w:t>
      </w:r>
      <w:r>
        <w:t xml:space="preserve"> </w:t>
      </w:r>
      <w:r>
        <w:t xml:space="preserve">are populated from workflow context</w:t>
      </w:r>
      <w:r>
        <w:t xml:space="preserve"> </w:t>
      </w:r>
      <w:r>
        <w:t xml:space="preserve">- Output is parsed using regex pattern to extract five criterion scores</w:t>
      </w:r>
      <w:r>
        <w:t xml:space="preserve"> </w:t>
      </w:r>
      <w:r>
        <w:t xml:space="preserve">- Failed parses default to neutral baseline scores (all</w:t>
      </w:r>
      <w:r>
        <w:t xml:space="preserve"> </w:t>
      </w:r>
      <w:r>
        <w:t xml:space="preserve">“Partial”</w:t>
      </w:r>
      <w:r>
        <w:t xml:space="preserve">) to maintain workflow stability</w:t>
      </w:r>
    </w:p>
    <w:bookmarkEnd w:id="50"/>
    <w:bookmarkStart w:id="51" w:name="X2b4c8eb625b16064858bc4b3c8f9c6790c1a192"/>
    <w:p>
      <w:pPr>
        <w:pStyle w:val="Heading3"/>
      </w:pPr>
      <w:r>
        <w:t xml:space="preserve">Appendix B. Evaluation Rubric and Scoring Guidelines</w:t>
      </w:r>
    </w:p>
    <w:p>
      <w:pPr>
        <w:pStyle w:val="FirstParagraph"/>
      </w:pPr>
      <w:r>
        <w:rPr>
          <w:b/>
          <w:bCs/>
        </w:rPr>
        <w:t xml:space="preserve">Table B.1. Evaluation Criteria</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Criterion</w:t>
            </w:r>
          </w:p>
        </w:tc>
        <w:tc>
          <w:tcPr/>
          <w:p>
            <w:pPr>
              <w:pStyle w:val="Compact"/>
            </w:pPr>
            <w:r>
              <w:t xml:space="preserve">Scoring Guide</w:t>
            </w:r>
          </w:p>
        </w:tc>
      </w:tr>
      <w:tr>
        <w:tc>
          <w:tcPr/>
          <w:p>
            <w:pPr>
              <w:pStyle w:val="Compact"/>
            </w:pPr>
            <w:r>
              <w:rPr>
                <w:b/>
                <w:bCs/>
              </w:rPr>
              <w:t xml:space="preserve">Detection Accuracy</w:t>
            </w:r>
          </w:p>
        </w:tc>
        <w:tc>
          <w:tcPr/>
          <w:p>
            <w:pPr>
              <w:pStyle w:val="Compact"/>
            </w:pPr>
            <w:r>
              <w:t xml:space="preserve">Yes (2): Clear trait indicators match detected values. Partial (1): Some alignment. No (0): Poor alignment.</w:t>
            </w:r>
          </w:p>
        </w:tc>
      </w:tr>
      <w:tr>
        <w:tc>
          <w:tcPr/>
          <w:p>
            <w:pPr>
              <w:pStyle w:val="Compact"/>
            </w:pPr>
            <w:r>
              <w:rPr>
                <w:b/>
                <w:bCs/>
              </w:rPr>
              <w:t xml:space="preserve">Regulation Effectiveness</w:t>
            </w:r>
          </w:p>
        </w:tc>
        <w:tc>
          <w:tcPr/>
          <w:p>
            <w:pPr>
              <w:pStyle w:val="Compact"/>
            </w:pPr>
            <w:r>
              <w:t xml:space="preserve">Yes: All directives correctly applied. Partial: Minor inconsistencies. No: Directives ignored.</w:t>
            </w:r>
          </w:p>
        </w:tc>
      </w:tr>
      <w:tr>
        <w:tc>
          <w:tcPr/>
          <w:p>
            <w:pPr>
              <w:pStyle w:val="Compact"/>
            </w:pPr>
            <w:r>
              <w:rPr>
                <w:b/>
                <w:bCs/>
              </w:rPr>
              <w:t xml:space="preserve">Emotional Tone</w:t>
            </w:r>
          </w:p>
        </w:tc>
        <w:tc>
          <w:tcPr/>
          <w:p>
            <w:pPr>
              <w:pStyle w:val="Compact"/>
            </w:pPr>
            <w:r>
              <w:t xml:space="preserve">Yes: Tone perfectly suited to state/personality. Partial: Generally appropriate. No: Inappropriate.</w:t>
            </w:r>
          </w:p>
        </w:tc>
      </w:tr>
      <w:tr>
        <w:tc>
          <w:tcPr/>
          <w:p>
            <w:pPr>
              <w:pStyle w:val="Compact"/>
            </w:pPr>
            <w:r>
              <w:rPr>
                <w:b/>
                <w:bCs/>
              </w:rPr>
              <w:t xml:space="preserve">Relevance &amp; Coherence</w:t>
            </w:r>
          </w:p>
        </w:tc>
        <w:tc>
          <w:tcPr/>
          <w:p>
            <w:pPr>
              <w:pStyle w:val="Compact"/>
            </w:pPr>
            <w:r>
              <w:t xml:space="preserve">Yes: Highly relevant, coherent response. Partial: Generally relevant. No: Off-topic/incoherent.</w:t>
            </w:r>
          </w:p>
        </w:tc>
      </w:tr>
      <w:tr>
        <w:tc>
          <w:tcPr/>
          <w:p>
            <w:pPr>
              <w:pStyle w:val="Compact"/>
            </w:pPr>
            <w:r>
              <w:rPr>
                <w:b/>
                <w:bCs/>
              </w:rPr>
              <w:t xml:space="preserve">Personality Needs</w:t>
            </w:r>
          </w:p>
        </w:tc>
        <w:tc>
          <w:tcPr/>
          <w:p>
            <w:pPr>
              <w:pStyle w:val="Compact"/>
            </w:pPr>
            <w:r>
              <w:t xml:space="preserve">Yes: Clearly addresses personality-driven needs. Partial: Generic support. No: Fails to address.</w:t>
            </w:r>
          </w:p>
        </w:tc>
      </w:tr>
    </w:tbl>
    <w:p>
      <w:pPr>
        <w:pStyle w:val="BodyText"/>
      </w:pPr>
      <w:r>
        <w:t xml:space="preserve">Scoring: Sum criterion scores per interaction; average across sessions for condition-level comparison. Statistical analysis via paired t-tests with effect sizes and 95% CIs.</w:t>
      </w:r>
    </w:p>
    <w:bookmarkEnd w:id="51"/>
    <w:bookmarkStart w:id="52" w:name="appendix-c.-data-management-and-ethics"/>
    <w:p>
      <w:pPr>
        <w:pStyle w:val="Heading3"/>
      </w:pPr>
      <w:r>
        <w:t xml:space="preserve">Appendix C. Data Management and Ethics</w:t>
      </w:r>
    </w:p>
    <w:p>
      <w:pPr>
        <w:pStyle w:val="FirstParagraph"/>
      </w:pPr>
      <w:r>
        <w:t xml:space="preserve">This study adheres to GDPR principles with AES-256 encryption, role-based access (PI and supervisor only), and 5-year retention. Preliminary study uses synthetic data (no IRB required). Thesis phase requires ethics approval before human recruitment (n=150).</w:t>
      </w:r>
    </w:p>
    <w:p>
      <w:pPr>
        <w:pStyle w:val="BodyText"/>
      </w:pPr>
      <w:r>
        <w:rPr>
          <w:b/>
          <w:bCs/>
        </w:rPr>
        <w:t xml:space="preserve">Informed Consent:</w:t>
      </w:r>
      <w:r>
        <w:t xml:space="preserve"> </w:t>
      </w:r>
      <w:r>
        <w:t xml:space="preserve">Standard template obtains voluntary participation agreement, withdrawal rights, and anonymized data use consent (full form in supplementary materials).</w:t>
      </w:r>
    </w:p>
    <w:p>
      <w:pPr>
        <w:pStyle w:val="BodyText"/>
      </w:pPr>
      <w:r>
        <w:rPr>
          <w:b/>
          <w:bCs/>
        </w:rPr>
        <w:t xml:space="preserve">Crisis Protocol:</w:t>
      </w:r>
      <w:r>
        <w:t xml:space="preserve"> </w:t>
      </w:r>
      <w:r>
        <w:t xml:space="preserve">Automated keyword detection (suicide, self-harm, violence) triggers immediate crisis resource provision and researcher notification within 1 hour (detailed escalation procedures in supplementary materials).</w:t>
      </w:r>
    </w:p>
    <w:p>
      <w:pPr>
        <w:pStyle w:val="BodyText"/>
      </w:pPr>
      <w:r>
        <w:rPr>
          <w:b/>
          <w:bCs/>
        </w:rPr>
        <w:t xml:space="preserve">Bias Mitigation:</w:t>
      </w:r>
      <w:r>
        <w:t xml:space="preserve"> </w:t>
      </w:r>
      <w:r>
        <w:t xml:space="preserve">Detection module blind to demographics; directive mappings reviewed by diversity experts; monthly audit of directive distribution across demographic groups. Thesis will report intersectional fairness analysis (gender × OCEAN, age × OCEAN)</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Appendix D. Glossary of Key Terms</w:t>
            </w:r>
          </w:p>
        </w:tc>
      </w:tr>
      <w:tr>
        <w:tc>
          <w:tcPr/>
          <w:p>
            <w:pPr>
              <w:pStyle w:val="Compact"/>
            </w:pPr>
            <w:r>
              <w:rPr>
                <w:b/>
                <w:bCs/>
              </w:rPr>
              <w:t xml:space="preserve">OCEAN:</w:t>
            </w:r>
            <w:r>
              <w:t xml:space="preserve"> </w:t>
            </w:r>
            <w:r>
              <w:t xml:space="preserve">Acronym for the Big Five personality dimensions: Openness, Conscientiousness, Extraversion, Agreeableness, Neuroticism. Each trait is assessed on a continuous scale from -1.0 (low) to +1.0 (high).</w:t>
            </w:r>
          </w:p>
        </w:tc>
      </w:tr>
      <w:tr>
        <w:tc>
          <w:tcPr/>
          <w:p>
            <w:pPr>
              <w:pStyle w:val="Compact"/>
            </w:pPr>
            <w:r>
              <w:rPr>
                <w:b/>
                <w:bCs/>
              </w:rPr>
              <w:t xml:space="preserve">Type A/B/C Personality Profiles (Simulation Reference):</w:t>
            </w:r>
          </w:p>
        </w:tc>
      </w:tr>
      <w:tr>
        <w:tc>
          <w:tcPr/>
          <w:p>
            <w:pPr>
              <w:pStyle w:val="Compact"/>
            </w:pPr>
            <w:r>
              <w:t xml:space="preserve">| Profile Type | O | C | E | A | N | Behavioral Characteristics | Use in Study |</w:t>
            </w:r>
            <w:r>
              <w:t xml:space="preserve"> </w:t>
            </w:r>
            <w:r>
              <w:t xml:space="preserve">|————–|—|—|—|—|—|—————————|————–|</w:t>
            </w:r>
            <w:r>
              <w:t xml:space="preserve"> </w:t>
            </w:r>
            <w:r>
              <w:t xml:space="preserve">|</w:t>
            </w:r>
            <w:r>
              <w:t xml:space="preserve"> </w:t>
            </w:r>
            <w:r>
              <w:rPr>
                <w:b/>
                <w:bCs/>
              </w:rPr>
              <w:t xml:space="preserve">Type A: High OCEAN</w:t>
            </w:r>
            <w:r>
              <w:t xml:space="preserve"> </w:t>
            </w:r>
            <w:r>
              <w:t xml:space="preserve">| +0.8 | +0.8 | +0.8 | +0.8 |</w:t>
            </w:r>
            <w:r>
              <w:t xml:space="preserve"> </w:t>
            </w:r>
            <w:r>
              <w:rPr>
                <w:b/>
                <w:bCs/>
              </w:rPr>
              <w:t xml:space="preserve">-0.8</w:t>
            </w:r>
            <w:r>
              <w:t xml:space="preserve"> </w:t>
            </w:r>
            <w:r>
              <w:t xml:space="preserve">(low) | Curious, organized, sociable, cooperative, emotionally stable. Responds well to novelty, structure, collaborative tone, and confident guidance. | Tests system adaptation to highly functional, proactive users |</w:t>
            </w:r>
            <w:r>
              <w:t xml:space="preserve"> </w:t>
            </w:r>
            <w:r>
              <w:t xml:space="preserve">|</w:t>
            </w:r>
            <w:r>
              <w:t xml:space="preserve"> </w:t>
            </w:r>
            <w:r>
              <w:rPr>
                <w:b/>
                <w:bCs/>
              </w:rPr>
              <w:t xml:space="preserve">Type B: Low OCEAN</w:t>
            </w:r>
            <w:r>
              <w:t xml:space="preserve"> </w:t>
            </w:r>
            <w:r>
              <w:t xml:space="preserve">| -0.8 | -0.8 | -0.8 | -0.8 |</w:t>
            </w:r>
            <w:r>
              <w:t xml:space="preserve"> </w:t>
            </w:r>
            <w:r>
              <w:rPr>
                <w:b/>
                <w:bCs/>
              </w:rPr>
              <w:t xml:space="preserve">+0.8</w:t>
            </w:r>
            <w:r>
              <w:t xml:space="preserve"> </w:t>
            </w:r>
            <w:r>
              <w:t xml:space="preserve">(high) | Prefers familiarity, flexible plans, solitary work, autonomy, and reassurance. Needs calm tone, familiar examples, and extra emotional support. | Tests system adaptation to anxious, cautious users requiring sensitivity |</w:t>
            </w:r>
            <w:r>
              <w:t xml:space="preserve"> </w:t>
            </w:r>
            <w:r>
              <w:t xml:space="preserve">|</w:t>
            </w:r>
            <w:r>
              <w:t xml:space="preserve"> </w:t>
            </w:r>
            <w:r>
              <w:rPr>
                <w:b/>
                <w:bCs/>
              </w:rPr>
              <w:t xml:space="preserve">Type C: Mixed/Balanced</w:t>
            </w:r>
            <w:r>
              <w:t xml:space="preserve"> </w:t>
            </w:r>
            <w:r>
              <w:t xml:space="preserve">| +0.3 | -0.4 | +0.6 | +0.2 | -0.5 | Moderate curiosity, low structure preference, high sociability, moderate cooperation, moderate stability. Requires nuanced, multi-dimensional adaptation. | Tests system’s ability to handle realistic, complex personality profiles |</w:t>
            </w:r>
          </w:p>
        </w:tc>
      </w:tr>
      <w:tr>
        <w:tc>
          <w:tcPr/>
          <w:p>
            <w:pPr>
              <w:pStyle w:val="Compact"/>
            </w:pPr>
            <w:r>
              <w:rPr>
                <w:i/>
                <w:iCs/>
              </w:rPr>
              <w:t xml:space="preserve">Notes:</w:t>
            </w:r>
            <w:r>
              <w:t xml:space="preserve"> </w:t>
            </w:r>
            <w:r>
              <w:t xml:space="preserve">- Type A/B represent</w:t>
            </w:r>
            <w:r>
              <w:t xml:space="preserve"> </w:t>
            </w:r>
            <w:r>
              <w:rPr>
                <w:b/>
                <w:bCs/>
              </w:rPr>
              <w:t xml:space="preserve">extreme profiles</w:t>
            </w:r>
            <w:r>
              <w:t xml:space="preserve"> </w:t>
            </w:r>
            <w:r>
              <w:t xml:space="preserve">for stress-testing directive mappings; Type C represents</w:t>
            </w:r>
            <w:r>
              <w:t xml:space="preserve"> </w:t>
            </w:r>
            <w:r>
              <w:rPr>
                <w:b/>
                <w:bCs/>
              </w:rPr>
              <w:t xml:space="preserve">realistic mixed profiles</w:t>
            </w:r>
            <w:r>
              <w:t xml:space="preserve"> </w:t>
            </w:r>
            <w:r>
              <w:t xml:space="preserve">common in actual populations.</w:t>
            </w:r>
            <w:r>
              <w:t xml:space="preserve"> </w:t>
            </w:r>
            <w:r>
              <w:t xml:space="preserve">- Simulation uses these archetypes to ensure system handles full spectrum of personality variation.</w:t>
            </w:r>
            <w:r>
              <w:t xml:space="preserve"> </w:t>
            </w:r>
            <w:r>
              <w:t xml:space="preserve">- Thesis phase includes additional profiles (e.g., High N + High C, Low E + High O) to test specific trait interactions.</w:t>
            </w:r>
          </w:p>
        </w:tc>
      </w:tr>
      <w:tr>
        <w:tc>
          <w:tcPr/>
          <w:p>
            <w:pPr>
              <w:pStyle w:val="Compact"/>
            </w:pPr>
            <w:r>
              <w:rPr>
                <w:b/>
                <w:bCs/>
              </w:rPr>
              <w:t xml:space="preserve">EMA (Exponential Moving Average):</w:t>
            </w:r>
            <w:r>
              <w:t xml:space="preserve"> </w:t>
            </w:r>
            <w:r>
              <w:t xml:space="preserve">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tc>
      </w:tr>
      <w:tr>
        <w:tc>
          <w:tcPr/>
          <w:p>
            <w:pPr>
              <w:pStyle w:val="Compact"/>
            </w:pPr>
            <w:r>
              <w:rPr>
                <w:b/>
                <w:bCs/>
              </w:rPr>
              <w:t xml:space="preserve">α (Alpha):</w:t>
            </w:r>
            <w:r>
              <w:t xml:space="preserve"> </w:t>
            </w:r>
            <w:r>
              <w:t xml:space="preserve">The smoothing factor in EMA calculations, set to 0.3 in this implementation. Determines the balance between responsiveness to new observations (higher α) and stability from historical data (lower α).</w:t>
            </w:r>
          </w:p>
        </w:tc>
      </w:tr>
      <w:tr>
        <w:tc>
          <w:tcPr/>
          <w:p>
            <w:pPr>
              <w:pStyle w:val="Compact"/>
            </w:pPr>
            <w:r>
              <w:rPr>
                <w:b/>
                <w:bCs/>
              </w:rPr>
              <w:t xml:space="preserve">JSON Contracts:</w:t>
            </w:r>
            <w:r>
              <w:t xml:space="preserve"> </w:t>
            </w:r>
            <w:r>
              <w:t xml:space="preserve">Standardized data formats (JSON) defining exact structure of inputs/outputs for each system module, ensuring interoperability and systematic testing.</w:t>
            </w:r>
          </w:p>
        </w:tc>
      </w:tr>
      <w:tr>
        <w:tc>
          <w:tcPr/>
          <w:p>
            <w:pPr>
              <w:pStyle w:val="Compact"/>
            </w:pPr>
            <w:r>
              <w:rPr>
                <w:b/>
                <w:bCs/>
              </w:rPr>
              <w:t xml:space="preserve">Policy Packs:</w:t>
            </w:r>
            <w:r>
              <w:t xml:space="preserve"> </w:t>
            </w:r>
            <w:r>
              <w:t xml:space="preserve">Modular configuration files (YAML or JSON) encapsulating domain-specific behavioral rules, coaching modes, and regulation directives. Enable rapid domain transfer without code modification.</w:t>
            </w:r>
          </w:p>
        </w:tc>
      </w:tr>
      <w:tr>
        <w:tc>
          <w:tcPr/>
          <w:p>
            <w:pPr>
              <w:pStyle w:val="Compact"/>
            </w:pPr>
            <w:r>
              <w:rPr>
                <w:b/>
                <w:bCs/>
              </w:rPr>
              <w:t xml:space="preserve">Zurich Model:</w:t>
            </w:r>
            <w:r>
              <w:t xml:space="preserve"> </w:t>
            </w:r>
            <w:r>
              <w:t xml:space="preserve">A psychological framework conceptualizing human motivation through three fundamental systems: security (safety/comfort needs), arousal (novelty/stimulation needs), and affiliation (social connection needs). Used to map personality traits to behavioral adaptations.</w:t>
            </w:r>
          </w:p>
        </w:tc>
      </w:tr>
      <w:tr>
        <w:tc>
          <w:tcPr/>
          <w:p>
            <w:pPr>
              <w:pStyle w:val="Compact"/>
            </w:pPr>
            <w:r>
              <w:rPr>
                <w:b/>
                <w:bCs/>
              </w:rPr>
              <w:t xml:space="preserve">Dialog Grounding:</w:t>
            </w:r>
            <w:r>
              <w:t xml:space="preserve"> </w:t>
            </w:r>
            <w:r>
              <w:t xml:space="preserve">The constraint that all system responses must be strictly entailed by the user’s conversational input, preventing fabrication of external information or facts not present in the dialogue.</w:t>
            </w:r>
          </w:p>
        </w:tc>
      </w:tr>
      <w:tr>
        <w:tc>
          <w:tcPr/>
          <w:p>
            <w:pPr>
              <w:pStyle w:val="Compact"/>
            </w:pPr>
            <w:r>
              <w:rPr>
                <w:b/>
                <w:bCs/>
              </w:rPr>
              <w:t xml:space="preserve">Quote-and-Bound:</w:t>
            </w:r>
            <w:r>
              <w:t xml:space="preserve"> </w:t>
            </w:r>
            <w:r>
              <w:t xml:space="preserve">A generation approach ensuring every assertion in responses is directly grounded in quoted user statements, critical for preventing hallucination in human-centered applications.</w:t>
            </w:r>
          </w:p>
        </w:tc>
      </w:tr>
      <w:tr>
        <w:tc>
          <w:tcPr/>
          <w:p>
            <w:pPr>
              <w:pStyle w:val="Compact"/>
            </w:pPr>
            <w:r>
              <w:rPr>
                <w:b/>
                <w:bCs/>
              </w:rPr>
              <w:t xml:space="preserve">Grounding vs. Hallucination (Detailed):</w:t>
            </w:r>
            <w:r>
              <w:t xml:space="preserve"> </w:t>
            </w:r>
            <w:r>
              <w:t xml:space="preserve">-</w:t>
            </w:r>
            <w:r>
              <w:t xml:space="preserve"> </w:t>
            </w:r>
            <w:r>
              <w:rPr>
                <w:b/>
                <w:bCs/>
              </w:rPr>
              <w:t xml:space="preserve">Grounded response:</w:t>
            </w:r>
            <w:r>
              <w:t xml:space="preserve"> </w:t>
            </w:r>
            <w:r>
              <w:t xml:space="preserve">“You mentioned feeling exhausted from caring for your mother 24/7. Let’s explore respite care options.”</w:t>
            </w:r>
            <w:r>
              <w:t xml:space="preserve"> </w:t>
            </w:r>
            <w:r>
              <w:t xml:space="preserve">→ Directly references user’s stated concern</w:t>
            </w:r>
            <w:r>
              <w:t xml:space="preserve"> </w:t>
            </w:r>
            <w:r>
              <w:t xml:space="preserve">-</w:t>
            </w:r>
            <w:r>
              <w:t xml:space="preserve"> </w:t>
            </w:r>
            <w:r>
              <w:rPr>
                <w:b/>
                <w:bCs/>
              </w:rPr>
              <w:t xml:space="preserve">Hallucinated response:</w:t>
            </w:r>
            <w:r>
              <w:t xml:space="preserve"> </w:t>
            </w:r>
            <w:r>
              <w:t xml:space="preserve">“I see you’re caring for your mother who has advanced dementia and lives in Zurich.”</w:t>
            </w:r>
            <w:r>
              <w:t xml:space="preserve"> </w:t>
            </w:r>
            <w:r>
              <w:t xml:space="preserve">→ Fabricates specific medical/location details not mentioned by user</w:t>
            </w:r>
            <w:r>
              <w:t xml:space="preserve"> </w:t>
            </w:r>
            <w:r>
              <w:t xml:space="preserve">-</w:t>
            </w:r>
            <w:r>
              <w:t xml:space="preserve"> </w:t>
            </w:r>
            <w:r>
              <w:rPr>
                <w:b/>
                <w:bCs/>
              </w:rPr>
              <w:t xml:space="preserve">Why it matters:</w:t>
            </w:r>
            <w:r>
              <w:t xml:space="preserve"> </w:t>
            </w:r>
            <w:r>
              <w:t xml:space="preserve">In personality-adaptive systems, hallucination risks are heightened because the system infers psychological states. Strict grounding prevents the system from making unwarranted assumptions about user situations, maintaining trust and safety. Our system enforces grounding through: (1) prompt constraints (</w:t>
            </w:r>
            <w:r>
              <w:t xml:space="preserve">“Base responses ONLY on user input”</w:t>
            </w:r>
            <w:r>
              <w:t xml:space="preserve">), (2) verification module checking for external claims, and (3) neutral fallbacks when context is insufficient.</w:t>
            </w:r>
          </w:p>
        </w:tc>
      </w:tr>
      <w:tr>
        <w:tc>
          <w:tcPr/>
          <w:p>
            <w:pPr>
              <w:pStyle w:val="Compact"/>
            </w:pPr>
            <w:r>
              <w:rPr>
                <w:b/>
                <w:bCs/>
              </w:rPr>
              <w:t xml:space="preserve">Confidence-Aware Filtering:</w:t>
            </w:r>
            <w:r>
              <w:t xml:space="preserve"> </w:t>
            </w:r>
            <w:r>
              <w:t xml:space="preserve">A mechanism that only updates personality estimates when detection confidence exceeds a minimum threshold (≥0.4), preventing noise from low-quality inferences.</w:t>
            </w:r>
          </w:p>
        </w:tc>
      </w:tr>
      <w:tr>
        <w:tc>
          <w:tcPr/>
          <w:p>
            <w:pPr>
              <w:pStyle w:val="Compact"/>
            </w:pPr>
            <w:r>
              <w:rPr>
                <w:b/>
                <w:bCs/>
              </w:rPr>
              <w:t xml:space="preserve">Confidence Calibration (Detailed):</w:t>
            </w:r>
            <w:r>
              <w:t xml:space="preserve"> </w:t>
            </w:r>
            <w:r>
              <w:t xml:space="preserve">A confidence score is</w:t>
            </w:r>
            <w:r>
              <w:t xml:space="preserve"> </w:t>
            </w:r>
            <w:r>
              <w:rPr>
                <w:b/>
                <w:bCs/>
              </w:rPr>
              <w:t xml:space="preserve">well-calibrated</w:t>
            </w:r>
            <w:r>
              <w:t xml:space="preserve"> </w:t>
            </w:r>
            <w:r>
              <w:t xml:space="preserve">when it accurately reflects the reliability of a prediction. For personality detection:</w:t>
            </w:r>
            <w:r>
              <w:t xml:space="preserve"> </w:t>
            </w:r>
            <w:r>
              <w:t xml:space="preserve">-</w:t>
            </w:r>
            <w:r>
              <w:t xml:space="preserve"> </w:t>
            </w:r>
            <w:r>
              <w:rPr>
                <w:b/>
                <w:bCs/>
              </w:rPr>
              <w:t xml:space="preserve">Well-calibrated:</w:t>
            </w:r>
            <w:r>
              <w:t xml:space="preserve"> </w:t>
            </w:r>
            <w:r>
              <w:t xml:space="preserve">If the system assigns confidence=0.8 to Extraversion=+0.6, then 80% of such predictions should be accurate (within ±0.2 of ground truth)</w:t>
            </w:r>
            <w:r>
              <w:t xml:space="preserve"> </w:t>
            </w:r>
            <w:r>
              <w:t xml:space="preserve">-</w:t>
            </w:r>
            <w:r>
              <w:t xml:space="preserve"> </w:t>
            </w:r>
            <w:r>
              <w:rPr>
                <w:b/>
                <w:bCs/>
              </w:rPr>
              <w:t xml:space="preserve">Overconfident (poorly calibrated):</w:t>
            </w:r>
            <w:r>
              <w:t xml:space="preserve"> </w:t>
            </w:r>
            <w:r>
              <w:t xml:space="preserve">System assigns confidence=0.9 but only 60% of predictions are accurate → unreliable, may trigger inappropriate adaptations</w:t>
            </w:r>
            <w:r>
              <w:t xml:space="preserve"> </w:t>
            </w:r>
            <w:r>
              <w:t xml:space="preserve">-</w:t>
            </w:r>
            <w:r>
              <w:t xml:space="preserve"> </w:t>
            </w:r>
            <w:r>
              <w:rPr>
                <w:b/>
                <w:bCs/>
              </w:rPr>
              <w:t xml:space="preserve">Underconfident:</w:t>
            </w:r>
            <w:r>
              <w:t xml:space="preserve"> </w:t>
            </w:r>
            <w:r>
              <w:t xml:space="preserve">System assigns confidence=0.5 but 85% of predictions are accurate → missed opportunities for personality adaptation</w:t>
            </w:r>
            <w:r>
              <w:t xml:space="preserve"> </w:t>
            </w:r>
            <w:r>
              <w:t xml:space="preserve">-</w:t>
            </w:r>
            <w:r>
              <w:t xml:space="preserve"> </w:t>
            </w:r>
            <w:r>
              <w:rPr>
                <w:b/>
                <w:bCs/>
              </w:rPr>
              <w:t xml:space="preserve">Our approach:</w:t>
            </w:r>
            <w:r>
              <w:t xml:space="preserve"> </w:t>
            </w:r>
            <w:r>
              <w:t xml:space="preserve">Threshold ≥0.4 for trait updates balances false positives (acting on noise) vs. false negatives (missing genuine signals). Thesis phase will empirically validate calibration by comparing confidence scores to ground-truth accuracy (BFI-44 correlation) across confidence bins (0.0-0.4, 0.4-0.7, 0.7-1.0). Target: ≥85% accuracy for confidence ≥0.7.</w:t>
            </w:r>
          </w:p>
        </w:tc>
      </w:tr>
      <w:tr>
        <w:tc>
          <w:tcPr/>
          <w:p>
            <w:pPr>
              <w:pStyle w:val="Compact"/>
            </w:pPr>
            <w:r>
              <w:rPr>
                <w:b/>
                <w:bCs/>
              </w:rPr>
              <w:t xml:space="preserve">N8N:</w:t>
            </w:r>
            <w:r>
              <w:t xml:space="preserve"> </w:t>
            </w:r>
            <w:r>
              <w:t xml:space="preserve">An open-source workflow automation platform enabling visual design of data pipelines. Used for orchestrating the detection→regulation→generation→verification process with transparent node-based architecture.</w:t>
            </w:r>
          </w:p>
        </w:tc>
      </w:tr>
      <w:tr>
        <w:tc>
          <w:tcPr/>
          <w:p>
            <w:pPr>
              <w:pStyle w:val="Compact"/>
            </w:pPr>
            <w:r>
              <w:rPr>
                <w:b/>
                <w:bCs/>
              </w:rPr>
              <w:t xml:space="preserve">PostgreSQL:</w:t>
            </w:r>
            <w:r>
              <w:t xml:space="preserve"> </w:t>
            </w:r>
            <w:r>
              <w:t xml:space="preserve">An open-source relational database system used for persistent storage of conversation sessions, personality states, and performance metrics, enabling longitudinal analysis.</w:t>
            </w:r>
          </w:p>
        </w:tc>
      </w:tr>
      <w:tr>
        <w:tc>
          <w:tcPr/>
          <w:p>
            <w:pPr>
              <w:pStyle w:val="Compact"/>
            </w:pPr>
            <w:r>
              <w:rPr>
                <w:b/>
                <w:bCs/>
              </w:rPr>
              <w:t xml:space="preserve">Vector Embeddings:</w:t>
            </w:r>
            <w:r>
              <w:t xml:space="preserve"> </w:t>
            </w:r>
            <w:r>
              <w:t xml:space="preserve">Numerical representations of text in high-dimensional space (typically 768-1536 dimensions for modern LLMs), enabling semantic similarity comparisons. Used by memory-based systems like mem0 and LangChain Memory.</w:t>
            </w:r>
          </w:p>
        </w:tc>
      </w:tr>
      <w:tr>
        <w:tc>
          <w:tcPr/>
          <w:p>
            <w:pPr>
              <w:pStyle w:val="Compact"/>
            </w:pPr>
            <w:r>
              <w:rPr>
                <w:b/>
                <w:bCs/>
              </w:rPr>
              <w:t xml:space="preserve">mem0:</w:t>
            </w:r>
            <w:r>
              <w:t xml:space="preserve"> </w:t>
            </w:r>
            <w:r>
              <w:t xml:space="preserve">An open-source memory layer for AI applications that stores user interactions as vector embeddings, enabling factual recall across sessions without explicit personality modeling.</w:t>
            </w:r>
          </w:p>
        </w:tc>
      </w:tr>
      <w:tr>
        <w:tc>
          <w:tcPr/>
          <w:p>
            <w:pPr>
              <w:pStyle w:val="Compact"/>
            </w:pPr>
            <w:r>
              <w:rPr>
                <w:b/>
                <w:bCs/>
              </w:rPr>
              <w:t xml:space="preserve">LangChain Memory:</w:t>
            </w:r>
            <w:r>
              <w:t xml:space="preserve"> </w:t>
            </w:r>
            <w:r>
              <w:t xml:space="preserve">A framework component for managing conversational context and history in LLM applications, supporting various memory strategies (buffer, summary, entity extraction).</w:t>
            </w:r>
          </w:p>
        </w:tc>
      </w:tr>
      <w:tr>
        <w:tc>
          <w:tcPr/>
          <w:p>
            <w:pPr>
              <w:pStyle w:val="Compact"/>
            </w:pPr>
            <w:r>
              <w:rPr>
                <w:b/>
                <w:bCs/>
              </w:rPr>
              <w:t xml:space="preserve">Graceful Fallback:</w:t>
            </w:r>
            <w:r>
              <w:t xml:space="preserve"> </w:t>
            </w:r>
            <w:r>
              <w:t xml:space="preserve">Error handling mechanism that ensures system failures produce neutral, supportive responses rather than crashes, maintaining user experience even during technical failures.</w:t>
            </w:r>
          </w:p>
        </w:tc>
      </w:tr>
    </w:tbl>
    <w:bookmarkEnd w:id="52"/>
    <w:bookmarkStart w:id="53" w:name="X8600f5f6a97ce3bbf6fced0039b895ec78d238d"/>
    <w:p>
      <w:pPr>
        <w:pStyle w:val="Heading3"/>
      </w:pPr>
      <w:r>
        <w:t xml:space="preserve">Appendix E. Vendor-Specific Assumptions (For Planning Purposes)</w:t>
      </w:r>
    </w:p>
    <w:p>
      <w:pPr>
        <w:pStyle w:val="FirstParagraph"/>
      </w:pPr>
      <w:r>
        <w:rPr>
          <w:b/>
          <w:bCs/>
        </w:rPr>
        <w:t xml:space="preserve">Table E.1. LLM Provider Specs &amp; Cost Assumptions (Online/Interactive mode)</w:t>
      </w:r>
    </w:p>
    <w:tbl>
      <w:tblPr>
        <w:tblStyle w:val="Table"/>
        <w:tblW w:type="pct" w:w="5000"/>
        <w:tblLayout w:type="fixed"/>
        <w:tblLook w:firstRow="1" w:lastRow="0" w:firstColumn="0" w:lastColumn="0" w:noHBand="0" w:noVBand="0" w:val="0020"/>
      </w:tblPr>
      <w:tblGrid>
        <w:gridCol w:w="754"/>
        <w:gridCol w:w="1357"/>
        <w:gridCol w:w="1357"/>
        <w:gridCol w:w="1734"/>
        <w:gridCol w:w="2187"/>
        <w:gridCol w:w="528"/>
      </w:tblGrid>
      <w:tr>
        <w:trPr>
          <w:tblHeader w:val="on"/>
        </w:trPr>
        <w:tc>
          <w:tcPr/>
          <w:p>
            <w:pPr>
              <w:pStyle w:val="Compact"/>
            </w:pPr>
            <w:r>
              <w:t xml:space="preserve">Provider</w:t>
            </w:r>
          </w:p>
        </w:tc>
        <w:tc>
          <w:tcPr/>
          <w:p>
            <w:pPr>
              <w:pStyle w:val="Compact"/>
            </w:pPr>
            <w:r>
              <w:t xml:space="preserve">Model (planning)</w:t>
            </w:r>
          </w:p>
        </w:tc>
        <w:tc>
          <w:tcPr/>
          <w:p>
            <w:pPr>
              <w:pStyle w:val="Compact"/>
            </w:pPr>
            <w:r>
              <w:t xml:space="preserve">Availability/SLA</w:t>
            </w:r>
          </w:p>
        </w:tc>
        <w:tc>
          <w:tcPr/>
          <w:p>
            <w:pPr>
              <w:pStyle w:val="Compact"/>
            </w:pPr>
            <w:r>
              <w:t xml:space="preserve">List price (Standard)</w:t>
            </w:r>
          </w:p>
        </w:tc>
        <w:tc>
          <w:tcPr/>
          <w:p>
            <w:pPr>
              <w:pStyle w:val="Compact"/>
            </w:pPr>
            <w:r>
              <w:t xml:space="preserve">Your per-turn token budget*</w:t>
            </w:r>
          </w:p>
        </w:tc>
        <w:tc>
          <w:tcPr/>
          <w:p>
            <w:pPr>
              <w:pStyle w:val="Compact"/>
            </w:pPr>
            <w:r>
              <w:t xml:space="preserve">Notes</w:t>
            </w:r>
          </w:p>
        </w:tc>
      </w:tr>
      <w:tr>
        <w:tc>
          <w:tcPr/>
          <w:p>
            <w:pPr>
              <w:pStyle w:val="Compact"/>
            </w:pPr>
            <w:r>
              <w:t xml:space="preserve">OpenAI</w:t>
            </w:r>
          </w:p>
        </w:tc>
        <w:tc>
          <w:tcPr/>
          <w:p>
            <w:pPr>
              <w:pStyle w:val="Compact"/>
            </w:pPr>
            <w:r>
              <w:t xml:space="preserve">GPT-4.1</w:t>
            </w:r>
          </w:p>
        </w:tc>
        <w:tc>
          <w:tcPr/>
          <w:p>
            <w:pPr>
              <w:pStyle w:val="Compact"/>
            </w:pPr>
            <w:r>
              <w:t xml:space="preserve">Standard PAYG (no uptime SLA); 99.9% if on Scale Tier/Enterprise</w:t>
            </w:r>
          </w:p>
        </w:tc>
        <w:tc>
          <w:tcPr/>
          <w:p>
            <w:pPr>
              <w:pStyle w:val="Compact"/>
            </w:pPr>
            <w:r>
              <w:t xml:space="preserve">$0.003 /1K input, $0.012 /1K output</w:t>
            </w:r>
          </w:p>
        </w:tc>
        <w:tc>
          <w:tcPr/>
          <w:p>
            <w:pPr>
              <w:pStyle w:val="Compact"/>
            </w:pPr>
            <w:r>
              <w:t xml:space="preserve">Input: 300, Output: 220</w:t>
            </w:r>
          </w:p>
        </w:tc>
        <w:tc>
          <w:tcPr/>
          <w:p>
            <w:pPr>
              <w:pStyle w:val="Compact"/>
            </w:pPr>
            <w:r>
              <w:t xml:space="preserve">Replace legacy gpt-4-0613. Cite OpenAI pricing; call out Scale Tier/Enterprise if claiming 99.9%.</w:t>
            </w:r>
          </w:p>
        </w:tc>
      </w:tr>
      <w:tr>
        <w:tc>
          <w:tcPr/>
          <w:p>
            <w:pPr>
              <w:pStyle w:val="Compact"/>
            </w:pPr>
            <w:r>
              <w:t xml:space="preserve">Google</w:t>
            </w:r>
          </w:p>
        </w:tc>
        <w:tc>
          <w:tcPr/>
          <w:p>
            <w:pPr>
              <w:pStyle w:val="Compact"/>
            </w:pPr>
            <w:r>
              <w:t xml:space="preserve">Gemini 2.5 Pro</w:t>
            </w:r>
          </w:p>
        </w:tc>
        <w:tc>
          <w:tcPr/>
          <w:p>
            <w:pPr>
              <w:pStyle w:val="Compact"/>
            </w:pPr>
            <w:r>
              <w:t xml:space="preserve">Vertex AI SLO 99.9% (Gemini for Google Cloud); Provisioned Throughput 99.5% SLO option</w:t>
            </w:r>
          </w:p>
        </w:tc>
        <w:tc>
          <w:tcPr/>
          <w:p>
            <w:pPr>
              <w:pStyle w:val="Compact"/>
            </w:pPr>
            <w:r>
              <w:t xml:space="preserve">$0.00125 /1K input, $0.01 /1K output (Standard); Batch: $0.000625 /1K in, $0.005 /1K out</w:t>
            </w:r>
          </w:p>
        </w:tc>
        <w:tc>
          <w:tcPr/>
          <w:p>
            <w:pPr>
              <w:pStyle w:val="Compact"/>
            </w:pPr>
            <w:r>
              <w:t xml:space="preserve">Similar (Input: 300, Output: 220)</w:t>
            </w:r>
          </w:p>
        </w:tc>
        <w:tc>
          <w:tcPr/>
          <w:p>
            <w:pPr>
              <w:pStyle w:val="Compact"/>
            </w:pPr>
            <w:r>
              <w:t xml:space="preserve">For low latency, use Standard in projections; Batch is cheaper but async.</w:t>
            </w:r>
          </w:p>
        </w:tc>
      </w:tr>
    </w:tbl>
    <w:p>
      <w:pPr>
        <w:pStyle w:val="BodyText"/>
      </w:pPr>
      <w:r>
        <w:rPr>
          <w:i/>
          <w:iCs/>
        </w:rPr>
        <w:t xml:space="preserve">Per-turn budgets are architectural assumptions for the pipeline, not vendor limits.</w:t>
      </w:r>
    </w:p>
    <w:p>
      <w:pPr>
        <w:pStyle w:val="BodyText"/>
      </w:pPr>
      <w:r>
        <w:rPr>
          <w:b/>
          <w:bCs/>
        </w:rPr>
        <w:t xml:space="preserve">Recomputed cost projections (using 300 in / 220 out per turn; 520 tokens total):</w:t>
      </w:r>
      <w:r>
        <w:t xml:space="preserve"> </w:t>
      </w:r>
      <w:r>
        <w:t xml:space="preserve">- Per turn:</w:t>
      </w:r>
      <w:r>
        <w:t xml:space="preserve"> </w:t>
      </w:r>
      <w:r>
        <w:t xml:space="preserve">- OpenAI GPT-4.1 (Standard): 300×$0.003/1K + 220×$0.012/1K ≈</w:t>
      </w:r>
      <w:r>
        <w:t xml:space="preserve"> </w:t>
      </w:r>
      <w:r>
        <w:rPr>
          <w:b/>
          <w:bCs/>
        </w:rPr>
        <w:t xml:space="preserve">$0.00354</w:t>
      </w:r>
      <w:r>
        <w:t xml:space="preserve"> </w:t>
      </w:r>
      <w:r>
        <w:t xml:space="preserve">- Gemini 2.5 Pro (Standard): 300×$0.00125/1K + 220×$0.01/1K ≈</w:t>
      </w:r>
      <w:r>
        <w:t xml:space="preserve"> </w:t>
      </w:r>
      <w:r>
        <w:rPr>
          <w:b/>
          <w:bCs/>
        </w:rPr>
        <w:t xml:space="preserve">$0.00258</w:t>
      </w:r>
      <w:r>
        <w:t xml:space="preserve"> </w:t>
      </w:r>
      <w:r>
        <w:t xml:space="preserve">- Gemini 2.5 Pro (Batch, async): 300×$0.000625/1K + 220×$0.005/1K ≈</w:t>
      </w:r>
      <w:r>
        <w:t xml:space="preserve"> </w:t>
      </w:r>
      <w:r>
        <w:rPr>
          <w:b/>
          <w:bCs/>
        </w:rPr>
        <w:t xml:space="preserve">$0.00129</w:t>
      </w:r>
      <w:r>
        <w:t xml:space="preserve"> </w:t>
      </w:r>
      <w:r>
        <w:t xml:space="preserve">- Projected totals (Standard, online):</w:t>
      </w:r>
      <w:r>
        <w:t xml:space="preserve"> </w:t>
      </w:r>
      <w:r>
        <w:t xml:space="preserve">- 8-turn conversation: GPT-4.1 ≈</w:t>
      </w:r>
      <w:r>
        <w:t xml:space="preserve"> </w:t>
      </w:r>
      <w:r>
        <w:rPr>
          <w:b/>
          <w:bCs/>
        </w:rPr>
        <w:t xml:space="preserve">$0.028</w:t>
      </w:r>
      <w:r>
        <w:t xml:space="preserve">; Gemini Pro ≈</w:t>
      </w:r>
      <w:r>
        <w:t xml:space="preserve"> </w:t>
      </w:r>
      <w:r>
        <w:rPr>
          <w:b/>
          <w:bCs/>
        </w:rPr>
        <w:t xml:space="preserve">$0.021</w:t>
      </w:r>
      <w:r>
        <w:t xml:space="preserve"> </w:t>
      </w:r>
      <w:r>
        <w:t xml:space="preserve">- 1,000 conversations/month: GPT-4.1 ≈</w:t>
      </w:r>
      <w:r>
        <w:t xml:space="preserve"> </w:t>
      </w:r>
      <w:r>
        <w:rPr>
          <w:b/>
          <w:bCs/>
        </w:rPr>
        <w:t xml:space="preserve">$28</w:t>
      </w:r>
      <w:r>
        <w:t xml:space="preserve">; Gemini Pro ≈</w:t>
      </w:r>
      <w:r>
        <w:t xml:space="preserve"> </w:t>
      </w:r>
      <w:r>
        <w:rPr>
          <w:b/>
          <w:bCs/>
        </w:rPr>
        <w:t xml:space="preserve">$21</w:t>
      </w:r>
      <w:r>
        <w:t xml:space="preserve"> </w:t>
      </w:r>
      <w:r>
        <w:t xml:space="preserve">- 10k users × 10 convos/month (100k convos): GPT-4.1 ≈</w:t>
      </w:r>
      <w:r>
        <w:t xml:space="preserve"> </w:t>
      </w:r>
      <w:r>
        <w:rPr>
          <w:b/>
          <w:bCs/>
        </w:rPr>
        <w:t xml:space="preserve">$2,830</w:t>
      </w:r>
      <w:r>
        <w:t xml:space="preserve">; Gemini Pro ≈</w:t>
      </w:r>
      <w:r>
        <w:t xml:space="preserve"> </w:t>
      </w:r>
      <w:r>
        <w:rPr>
          <w:b/>
          <w:bCs/>
        </w:rPr>
        <w:t xml:space="preserve">$2,060</w:t>
      </w:r>
    </w:p>
    <w:p>
      <w:pPr>
        <w:pStyle w:val="BodyText"/>
      </w:pPr>
      <w:r>
        <w:rPr>
          <w:b/>
          <w:bCs/>
        </w:rPr>
        <w:t xml:space="preserve">Latency targets (internal SLOs):</w:t>
      </w:r>
      <w:r>
        <w:t xml:space="preserve"> </w:t>
      </w:r>
      <w:r>
        <w:t xml:space="preserve">- Detection latency: Target &lt;1.5s (p95)</w:t>
      </w:r>
      <w:r>
        <w:t xml:space="preserve"> </w:t>
      </w:r>
      <w:r>
        <w:t xml:space="preserve">- Generation latency: Target &lt;1.5s (p95)</w:t>
      </w:r>
      <w:r>
        <w:t xml:space="preserve"> </w:t>
      </w:r>
      <w:r>
        <w:t xml:space="preserve">- End-to-end: Target &lt;2.5s (p95)</w:t>
      </w:r>
      <w:r>
        <w:t xml:space="preserve"> </w:t>
      </w:r>
      <w:r>
        <w:t xml:space="preserve">- Database operations: Target &lt;100ms (p95)</w:t>
      </w:r>
    </w:p>
    <w:p>
      <w:pPr>
        <w:pStyle w:val="BodyText"/>
      </w:pPr>
      <w:r>
        <w:rPr>
          <w:i/>
          <w:iCs/>
        </w:rPr>
        <w:t xml:space="preserve">Planning assumptions reflect 2025 list pricing; verify during thesis phase. Actual performance and pricing may vary by tier, region, and updates.</w:t>
      </w:r>
    </w:p>
    <w:p>
      <w:r>
        <w:pict>
          <v:rect style="width:0;height:1.5pt" o:hralign="center" o:hrstd="t" o:hr="t"/>
        </w:pic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2025-10-20T12:02:48Z</dcterms:created>
  <dcterms:modified xsi:type="dcterms:W3CDTF">2025-10-20T12:02:48Z</dcterms:modified>
</cp:coreProperties>
</file>

<file path=docProps/custom.xml><?xml version="1.0" encoding="utf-8"?>
<Properties xmlns="http://schemas.openxmlformats.org/officeDocument/2006/custom-properties" xmlns:vt="http://schemas.openxmlformats.org/officeDocument/2006/docPropsVTypes"/>
</file>