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15, 2025</w:t>
      </w:r>
      <w:r>
        <w:br/>
      </w:r>
      <w:r>
        <w:rPr>
          <w:b/>
          <w:bCs/>
        </w:rPr>
        <w:t xml:space="preserve">Version:</w:t>
      </w:r>
      <w:r>
        <w:t xml:space="preserve"> </w:t>
      </w:r>
      <w:r>
        <w:t xml:space="preserve">2.3.2 (Preliminary Study -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 and confidence-aware filtering stabilizes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transfer (stress coaching, customer service, education) through configuration rather than code changes.</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absence of personality-aware adaptation:</w:t>
      </w:r>
      <w:r>
        <w:t xml:space="preserve"> </w:t>
      </w:r>
      <w:r>
        <w:t xml:space="preserve">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industry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see Appendix C for technical definitions)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through four key innovations beyond prior work:</w:t>
      </w:r>
    </w:p>
    <w:p>
      <w:pPr>
        <w:numPr>
          <w:ilvl w:val="0"/>
          <w:numId w:val="1004"/>
        </w:numPr>
      </w:pPr>
      <w:r>
        <w:rPr>
          <w:b/>
          <w:bCs/>
        </w:rPr>
        <w:t xml:space="preserve">Temporal stability mechanisms (vs. Devdas' static detection):</w:t>
      </w:r>
      <w:r>
        <w:t xml:space="preserve"> </w:t>
      </w:r>
      <w:r>
        <w:t xml:space="preserve">Devdas (2025) performed single-turn personality detection without temporal smoothing, resulting in trait volatility across multi-turn conversations. We introduce EMA-based trait stabilization (α=0.3) with confidence-aware filtering (threshold ≥0.4), achieving convergence within 6-8 turns (Section 4.1). This prevents erratic behavioral shifts from linguistic noise.</w:t>
      </w:r>
    </w:p>
    <w:p>
      <w:pPr>
        <w:numPr>
          <w:ilvl w:val="0"/>
          <w:numId w:val="1004"/>
        </w:numPr>
      </w:pPr>
      <w:r>
        <w:rPr>
          <w:b/>
          <w:bCs/>
        </w:rPr>
        <w:t xml:space="preserve">Production-ready system architecture (vs. research prototype):</w:t>
      </w:r>
      <w:r>
        <w:t xml:space="preserve"> </w:t>
      </w:r>
      <w:r>
        <w:t xml:space="preserve">Devdas validated personality regulation conceptually but did not address deployment infrastructure. We architect a containerized, workflow-orchestrated system (N8N + PostgreSQL + Redis) with RESTful APIs, enabling real-world deployment and longitudinal analysis (Section 4.2, Figure 3).</w:t>
      </w:r>
    </w:p>
    <w:p>
      <w:pPr>
        <w:numPr>
          <w:ilvl w:val="0"/>
          <w:numId w:val="1004"/>
        </w:numPr>
      </w:pPr>
      <w:r>
        <w:rPr>
          <w:b/>
          <w:bCs/>
        </w:rPr>
        <w:t xml:space="preserve">Cross-domain reusability (vs. single-domain focus):</w:t>
      </w:r>
      <w:r>
        <w:t xml:space="preserve"> </w:t>
      </w:r>
      <w:r>
        <w:t xml:space="preserve">Prior work focused on stress coaching. We implement configurable policy packs (YAML/JSON) that encode domain-specific behavioral rules, enabling transfer to customer service, education, or healthcare without code changes (Section 2.2). This generalizes the approach from proof-of-concept to research infrastructure.</w:t>
      </w:r>
    </w:p>
    <w:p>
      <w:pPr>
        <w:numPr>
          <w:ilvl w:val="0"/>
          <w:numId w:val="1004"/>
        </w:numPr>
      </w:pPr>
      <w:r>
        <w:rPr>
          <w:b/>
          <w:bCs/>
        </w:rPr>
        <w:t xml:space="preserve">Convergence with industrial memory systems:</w:t>
      </w:r>
      <w:r>
        <w:t xml:space="preserve"> </w:t>
      </w:r>
      <w:r>
        <w:t xml:space="preserve">We position personality-aware regulation as complementary to memory-based personalization (ChatGPT Memory, mem0, LangChain). Industrial platforms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modeling. This enables affective alignment that memory retrieval alone cannot provide, defining a hybrid research frontier (Section 1.2).</w:t>
      </w:r>
    </w:p>
    <w:p>
      <w:pPr>
        <w:pStyle w:val="FirstParagraph"/>
      </w:pPr>
      <w:r>
        <w:t xml:space="preserve">These contributions transform Devdas' empirical validation into a reproducible, deployable, and generalizable system architecture suitable for rigorous scientific investigation and practical human-centered applications.</w:t>
      </w:r>
    </w:p>
    <w:p>
      <w:pPr>
        <w:pStyle w:val="BodyText"/>
      </w:pPr>
      <w:r>
        <w:t xml:space="preserve">We optimize the architecture for three core objectives:</w:t>
      </w:r>
    </w:p>
    <w:p>
      <w:pPr>
        <w:pStyle w:val="Compact"/>
        <w:numPr>
          <w:ilvl w:val="0"/>
          <w:numId w:val="1005"/>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5"/>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5"/>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Limitations of Current Systems vs. Architectural Contributions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System Limitations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stabilizes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p>
      <w:pPr>
        <w:pStyle w:val="FirstParagraph"/>
      </w:pPr>
      <w:r>
        <w:rPr>
          <w:b/>
          <w:bCs/>
        </w:rPr>
        <w:t xml:space="preserve">Figure 1. System Architecture Pipeline</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Architecture Overview: The modular pipeline processes user input through continuous personality detection, temporal smoothing via EMA (α=0.3), psychologically grounded regulation, directive-driven generation, and verification, with comprehensive audit trails and PostgreSQL persistence enabling reproducibility and longitudinal analysis.</w:t>
      </w:r>
    </w:p>
    <w:p>
      <w:pPr>
        <w:pStyle w:val="BodyText"/>
      </w:pPr>
      <w:r>
        <w:rPr>
          <w:b/>
          <w:bCs/>
        </w:rPr>
        <w:t xml:space="preserve">Ethical considerations.</w:t>
      </w:r>
      <w:r>
        <w:t xml:space="preserve"> </w:t>
      </w: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Potential failure modes and limitations.</w:t>
      </w:r>
      <w:r>
        <w:t xml:space="preserve"> </w:t>
      </w:r>
      <w:r>
        <w:t xml:space="preserve">Despite these safeguards, several risks require explicit acknowledgment and ongoing validation:</w:t>
      </w:r>
    </w:p>
    <w:p>
      <w:pPr>
        <w:numPr>
          <w:ilvl w:val="0"/>
          <w:numId w:val="1006"/>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6"/>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6"/>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numPr>
          <w:ilvl w:val="0"/>
          <w:numId w:val="1006"/>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pPr>
        <w:pStyle w:val="BodyText"/>
      </w:pPr>
      <w:r>
        <w:rPr>
          <w:b/>
          <w:bCs/>
        </w:rPr>
        <w:t xml:space="preserve">Validation roadmap for responsible deployment.</w:t>
      </w:r>
      <w:r>
        <w:t xml:space="preserve"> </w:t>
      </w:r>
      <w:r>
        <w:t xml:space="preserve">The thesis phase will address these limitations through systematic empirical validation:</w:t>
      </w:r>
    </w:p>
    <w:p>
      <w:pPr>
        <w:pStyle w:val="Compact"/>
        <w:numPr>
          <w:ilvl w:val="0"/>
          <w:numId w:val="1007"/>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7"/>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7"/>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7"/>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7"/>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8"/>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8"/>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8"/>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8"/>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9"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as the primary model for personality detection and response generation, with</w:t>
      </w:r>
      <w:r>
        <w:t xml:space="preserve"> </w:t>
      </w:r>
      <w:r>
        <w:rPr>
          <w:b/>
          <w:bCs/>
        </w:rPr>
        <w:t xml:space="preserve">Gemini-1.5-Pro</w:t>
      </w:r>
      <w:r>
        <w:t xml:space="preserve"> </w:t>
      </w:r>
      <w:r>
        <w:t xml:space="preserve">(via Juguang API gateway) as a cost-effective alternative for high-volume deployment. Model selection criteria included:</w:t>
      </w:r>
    </w:p>
    <w:p>
      <w:pPr>
        <w:pStyle w:val="BodyText"/>
      </w:pPr>
      <w:r>
        <w:rPr>
          <w:b/>
          <w:bCs/>
        </w:rPr>
        <w:t xml:space="preserve">Table 2a. LLM Model Comparison for Personality-Aware Systems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GPT-4 (OpenAI)</w:t>
            </w:r>
          </w:p>
        </w:tc>
        <w:tc>
          <w:tcPr/>
          <w:p>
            <w:pPr>
              <w:pStyle w:val="Compact"/>
            </w:pPr>
            <w:r>
              <w:t xml:space="preserve">Gemini-1.5-Pro</w:t>
            </w:r>
          </w:p>
        </w:tc>
        <w:tc>
          <w:tcPr/>
          <w:p>
            <w:pPr>
              <w:pStyle w:val="Compact"/>
            </w:pPr>
            <w:r>
              <w:t xml:space="preserve">Llama 3.1-70B</w:t>
            </w:r>
          </w:p>
        </w:tc>
        <w:tc>
          <w:tcPr/>
          <w:p>
            <w:pPr>
              <w:pStyle w:val="Compact"/>
            </w:pPr>
            <w:r>
              <w:t xml:space="preserve">Claude 3 Sonnet</w:t>
            </w:r>
          </w:p>
        </w:tc>
      </w:tr>
      <w:tr>
        <w:tc>
          <w:tcPr/>
          <w:p>
            <w:pPr>
              <w:pStyle w:val="Compact"/>
            </w:pPr>
            <w:r>
              <w:rPr>
                <w:b/>
                <w:bCs/>
              </w:rPr>
              <w:t xml:space="preserve">Structured JSON Output</w:t>
            </w:r>
          </w:p>
        </w:tc>
        <w:tc>
          <w:tcPr/>
          <w:p>
            <w:pPr>
              <w:pStyle w:val="Compact"/>
            </w:pPr>
            <w:r>
              <w:t xml:space="preserve">Excellent (native function calling)</w:t>
            </w:r>
          </w:p>
        </w:tc>
        <w:tc>
          <w:tcPr/>
          <w:p>
            <w:pPr>
              <w:pStyle w:val="Compact"/>
            </w:pPr>
            <w:r>
              <w:t xml:space="preserve">Excellent (schema mode)</w:t>
            </w:r>
          </w:p>
        </w:tc>
        <w:tc>
          <w:tcPr/>
          <w:p>
            <w:pPr>
              <w:pStyle w:val="Compact"/>
            </w:pPr>
            <w:r>
              <w:t xml:space="preserve">Good (requires parsing)</w:t>
            </w:r>
          </w:p>
        </w:tc>
        <w:tc>
          <w:tcPr/>
          <w:p>
            <w:pPr>
              <w:pStyle w:val="Compact"/>
            </w:pPr>
            <w:r>
              <w:t xml:space="preserve">Excellent (tools API)</w:t>
            </w:r>
          </w:p>
        </w:tc>
      </w:tr>
      <w:tr>
        <w:tc>
          <w:tcPr/>
          <w:p>
            <w:pPr>
              <w:pStyle w:val="Compact"/>
            </w:pPr>
            <w:r>
              <w:rPr>
                <w:b/>
                <w:bCs/>
              </w:rPr>
              <w:t xml:space="preserve">Personality Inference</w:t>
            </w:r>
          </w:p>
        </w:tc>
        <w:tc>
          <w:tcPr/>
          <w:p>
            <w:pPr>
              <w:pStyle w:val="Compact"/>
            </w:pPr>
            <w:r>
              <w:t xml:space="preserve">Strong (validated in Miotto et al., 2022)</w:t>
            </w:r>
          </w:p>
        </w:tc>
        <w:tc>
          <w:tcPr/>
          <w:p>
            <w:pPr>
              <w:pStyle w:val="Compact"/>
            </w:pPr>
            <w:r>
              <w:t xml:space="preserve">Strong (comparable performance)</w:t>
            </w:r>
          </w:p>
        </w:tc>
        <w:tc>
          <w:tcPr/>
          <w:p>
            <w:pPr>
              <w:pStyle w:val="Compact"/>
            </w:pPr>
            <w:r>
              <w:t xml:space="preserve">Moderate (limited validation)</w:t>
            </w:r>
          </w:p>
        </w:tc>
        <w:tc>
          <w:tcPr/>
          <w:p>
            <w:pPr>
              <w:pStyle w:val="Compact"/>
            </w:pPr>
            <w:r>
              <w:t xml:space="preserve">Strong (nuanced understanding)</w:t>
            </w:r>
          </w:p>
        </w:tc>
      </w:tr>
      <w:tr>
        <w:tc>
          <w:tcPr/>
          <w:p>
            <w:pPr>
              <w:pStyle w:val="Compact"/>
            </w:pPr>
            <w:r>
              <w:rPr>
                <w:b/>
                <w:bCs/>
              </w:rPr>
              <w:t xml:space="preserve">API Stability</w:t>
            </w:r>
          </w:p>
        </w:tc>
        <w:tc>
          <w:tcPr/>
          <w:p>
            <w:pPr>
              <w:pStyle w:val="Compact"/>
            </w:pPr>
            <w:r>
              <w:t xml:space="preserve">High (99.9% uptime SLA)</w:t>
            </w:r>
          </w:p>
        </w:tc>
        <w:tc>
          <w:tcPr/>
          <w:p>
            <w:pPr>
              <w:pStyle w:val="Compact"/>
            </w:pPr>
            <w:r>
              <w:t xml:space="preserve">High (enterprise tier)</w:t>
            </w:r>
          </w:p>
        </w:tc>
        <w:tc>
          <w:tcPr/>
          <w:p>
            <w:pPr>
              <w:pStyle w:val="Compact"/>
            </w:pPr>
            <w:r>
              <w:t xml:space="preserve">Variable (self-hosted)</w:t>
            </w:r>
          </w:p>
        </w:tc>
        <w:tc>
          <w:tcPr/>
          <w:p>
            <w:pPr>
              <w:pStyle w:val="Compact"/>
            </w:pPr>
            <w:r>
              <w:t xml:space="preserve">High (Anthropic SLA)</w:t>
            </w:r>
          </w:p>
        </w:tc>
      </w:tr>
      <w:tr>
        <w:tc>
          <w:tcPr/>
          <w:p>
            <w:pPr>
              <w:pStyle w:val="Compact"/>
            </w:pPr>
            <w:r>
              <w:rPr>
                <w:b/>
                <w:bCs/>
              </w:rPr>
              <w:t xml:space="preserve">Cost Efficiency</w:t>
            </w:r>
          </w:p>
        </w:tc>
        <w:tc>
          <w:tcPr/>
          <w:p>
            <w:pPr>
              <w:pStyle w:val="Compact"/>
            </w:pPr>
            <w:r>
              <w:t xml:space="preserve">$0.03/1K tokens (input)</w:t>
            </w:r>
          </w:p>
        </w:tc>
        <w:tc>
          <w:tcPr/>
          <w:p>
            <w:pPr>
              <w:pStyle w:val="Compact"/>
            </w:pPr>
            <w:r>
              <w:t xml:space="preserve">$0.0025/1K tokens (Juguang)</w:t>
            </w:r>
          </w:p>
        </w:tc>
        <w:tc>
          <w:tcPr/>
          <w:p>
            <w:pPr>
              <w:pStyle w:val="Compact"/>
            </w:pPr>
            <w:r>
              <w:t xml:space="preserve">Free (self-hosted)</w:t>
            </w:r>
          </w:p>
        </w:tc>
        <w:tc>
          <w:tcPr/>
          <w:p>
            <w:pPr>
              <w:pStyle w:val="Compact"/>
            </w:pPr>
            <w:r>
              <w:t xml:space="preserve">$0.015/1K tokens</w:t>
            </w:r>
          </w:p>
        </w:tc>
      </w:tr>
      <w:tr>
        <w:tc>
          <w:tcPr/>
          <w:p>
            <w:pPr>
              <w:pStyle w:val="Compact"/>
            </w:pPr>
            <w:r>
              <w:rPr>
                <w:b/>
                <w:bCs/>
              </w:rPr>
              <w:t xml:space="preserve">Multilingual Support</w:t>
            </w:r>
          </w:p>
        </w:tc>
        <w:tc>
          <w:tcPr/>
          <w:p>
            <w:pPr>
              <w:pStyle w:val="Compact"/>
            </w:pPr>
            <w:r>
              <w:t xml:space="preserve">Excellent (100+ languages)</w:t>
            </w:r>
          </w:p>
        </w:tc>
        <w:tc>
          <w:tcPr/>
          <w:p>
            <w:pPr>
              <w:pStyle w:val="Compact"/>
            </w:pPr>
            <w:r>
              <w:t xml:space="preserve">Excellent (native multilingual)</w:t>
            </w:r>
          </w:p>
        </w:tc>
        <w:tc>
          <w:tcPr/>
          <w:p>
            <w:pPr>
              <w:pStyle w:val="Compact"/>
            </w:pPr>
            <w:r>
              <w:t xml:space="preserve">Good (requires tuning)</w:t>
            </w:r>
          </w:p>
        </w:tc>
        <w:tc>
          <w:tcPr/>
          <w:p>
            <w:pPr>
              <w:pStyle w:val="Compact"/>
            </w:pPr>
            <w:r>
              <w:t xml:space="preserve">Good (Western languages)</w:t>
            </w:r>
          </w:p>
        </w:tc>
      </w:tr>
      <w:tr>
        <w:tc>
          <w:tcPr/>
          <w:p>
            <w:pPr>
              <w:pStyle w:val="Compact"/>
            </w:pPr>
            <w:r>
              <w:rPr>
                <w:b/>
                <w:bCs/>
              </w:rPr>
              <w:t xml:space="preserve">Selected for</w:t>
            </w:r>
          </w:p>
        </w:tc>
        <w:tc>
          <w:tcPr/>
          <w:p>
            <w:pPr>
              <w:pStyle w:val="Compact"/>
            </w:pPr>
            <w:r>
              <w:t xml:space="preserve">Detection + Generation (Phase 1)</w:t>
            </w:r>
          </w:p>
        </w:tc>
        <w:tc>
          <w:tcPr/>
          <w:p>
            <w:pPr>
              <w:pStyle w:val="Compact"/>
            </w:pPr>
            <w:r>
              <w:t xml:space="preserve">High-volume deployment (Phase 2)</w:t>
            </w:r>
          </w:p>
        </w:tc>
        <w:tc>
          <w:tcPr/>
          <w:p>
            <w:pPr>
              <w:pStyle w:val="Compact"/>
            </w:pPr>
            <w:r>
              <w:t xml:space="preserve">Future comparison</w:t>
            </w:r>
          </w:p>
        </w:tc>
        <w:tc>
          <w:tcPr/>
          <w:p>
            <w:pPr>
              <w:pStyle w:val="Compact"/>
            </w:pPr>
            <w:r>
              <w:t xml:space="preserve">Experimental validation</w:t>
            </w:r>
          </w:p>
        </w:tc>
      </w:tr>
    </w:tbl>
    <w:p>
      <w:pPr>
        <w:pStyle w:val="BodyText"/>
      </w:pPr>
      <w:r>
        <w:t xml:space="preserve">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17"/>
    <w:bookmarkStart w:id="18"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9"/>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9"/>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9"/>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8"/>
    <w:bookmarkEnd w:id="19"/>
    <w:bookmarkStart w:id="24" w:name="Xf5a973038885d26b34c79a0213677e66fb9e0dd"/>
    <w:p>
      <w:pPr>
        <w:pStyle w:val="Heading2"/>
      </w:pPr>
      <w:r>
        <w:t xml:space="preserve">3. Research Questions</w:t>
      </w:r>
    </w:p>
    <w:bookmarkStart w:id="20"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psychologically grounded behavior regulation (Section 2.1)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encompassing both the technical challenge of reliable personality inference from limited conversational data and the psychological challenge of translating personality insights into effective behavioral modifications.</w:t>
      </w:r>
    </w:p>
    <w:bookmarkEnd w:id="20"/>
    <w:bookmarkStart w:id="21"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achieve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i/>
          <w:iCs/>
        </w:rPr>
        <w:t xml:space="preserve">Measurement Method:</w:t>
      </w:r>
      <w:r>
        <w:t xml:space="preserve"> </w:t>
      </w:r>
      <w:r>
        <w:t xml:space="preserve">Trait variance calculated as moving standard deviation over 5-turn windows: (\sigma_T = \sqrt{\frac{1}{5}\sum_{i=n-4}^{n}(T_i - \bar{T})^2}). Convergence achieved when (\sigma_T &lt; 0.15) for all five OCEAN traits. Detection accuracy validated against ground-truth synthetic profiles using mean absolute error (MAE) and Pearson correlation (target r ≥ 0.75).</w:t>
      </w:r>
    </w:p>
    <w:p>
      <w:pPr>
        <w:pStyle w:val="BodyText"/>
      </w:pPr>
      <w:r>
        <w:rPr>
          <w:b/>
          <w:bCs/>
        </w:rPr>
        <w:t xml:space="preserve">RQ2 - Regulation Strategies:</w:t>
      </w:r>
      <w:r>
        <w:t xml:space="preserve"> </w:t>
      </w:r>
      <w:r>
        <w:t xml:space="preserve">Do intensity-scaled behavioral directives (Section 2.1)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i/>
          <w:iCs/>
        </w:rPr>
        <w:t xml:space="preserve">Measurement Method:</w:t>
      </w:r>
      <w:r>
        <w:t xml:space="preserve"> </w:t>
      </w:r>
      <w:r>
        <w:t xml:space="preserve">Rubric-based scoring (Appendix B) across five criteria: Detection Accuracy, Regulation Effectiveness, Emotional Tone, Relevance &amp; Coherence, Personality Needs Addressed. Each criterion scored as Yes (2), Partial (1), No (0). Primary metric: average score improvement (regulated vs. baseline) tested via paired t-test with target effect size d ≥ 0.5 (medium). Intent classification accuracy measured via confusion matrix against ground-truth mode labels.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i/>
          <w:iCs/>
        </w:rPr>
        <w:t xml:space="preserve">Measurement Method:</w:t>
      </w:r>
      <w:r>
        <w:t xml:space="preserve"> </w:t>
      </w:r>
      <w:r>
        <w:t xml:space="preserve">Inter-run reliability calculated via Pearson correlation between three independent evaluation runs on identical conversation set (n=50 interactions). Human validation subset (n=20 interactions, rated by 2 annotators) compared against LLM evaluator using Cohen's kappa for categorical agreement (target κ ≥ 0.70). Statistical power analysis conducted for target 20% improvement with alpha=0.05, power=0.80.</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1"/>
    <w:bookmarkStart w:id="22"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10"/>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10"/>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10"/>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10"/>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1"/>
        </w:numPr>
      </w:pPr>
      <w:r>
        <w:rPr>
          <w:b/>
          <w:bCs/>
        </w:rPr>
        <w:t xml:space="preserve">JSON Contract Compliance:</w:t>
      </w:r>
      <w:r>
        <w:t xml:space="preserve"> </w:t>
      </w:r>
      <w:r>
        <w:t xml:space="preserve">≥ 99.5% valid structured outputs from detection and generation modules</w:t>
      </w:r>
    </w:p>
    <w:p>
      <w:pPr>
        <w:pStyle w:val="Compact"/>
        <w:numPr>
          <w:ilvl w:val="0"/>
          <w:numId w:val="1011"/>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11"/>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1"/>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12"/>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12"/>
        </w:numPr>
      </w:pPr>
      <w:r>
        <w:rPr>
          <w:b/>
          <w:bCs/>
        </w:rPr>
        <w:t xml:space="preserve">Secondary Outcomes:</w:t>
      </w:r>
    </w:p>
    <w:p>
      <w:pPr>
        <w:pStyle w:val="Compact"/>
        <w:numPr>
          <w:ilvl w:val="1"/>
          <w:numId w:val="1013"/>
        </w:numPr>
      </w:pPr>
      <w:r>
        <w:t xml:space="preserve">Intent classification accuracy ≥ 85% for three coaching modes</w:t>
      </w:r>
    </w:p>
    <w:p>
      <w:pPr>
        <w:pStyle w:val="Compact"/>
        <w:numPr>
          <w:ilvl w:val="1"/>
          <w:numId w:val="1013"/>
        </w:numPr>
      </w:pPr>
      <w:r>
        <w:t xml:space="preserve">Directive-outcome alignment ≥ 80% (evaluator-assessed)</w:t>
      </w:r>
    </w:p>
    <w:p>
      <w:pPr>
        <w:pStyle w:val="Compact"/>
        <w:numPr>
          <w:ilvl w:val="1"/>
          <w:numId w:val="1013"/>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4"/>
        </w:numPr>
      </w:pPr>
      <w:r>
        <w:t xml:space="preserve">Complete per-turn JSONL traces with OCEAN evolution, directives applied, confidence scores, and response metadata</w:t>
      </w:r>
    </w:p>
    <w:p>
      <w:pPr>
        <w:pStyle w:val="Compact"/>
        <w:numPr>
          <w:ilvl w:val="0"/>
          <w:numId w:val="1014"/>
        </w:numPr>
      </w:pPr>
      <w:r>
        <w:t xml:space="preserve">Reproducible seeds, version-locked models/prompts, and configuration snapshots for all experimental runs</w:t>
      </w:r>
    </w:p>
    <w:p>
      <w:pPr>
        <w:pStyle w:val="Compact"/>
        <w:numPr>
          <w:ilvl w:val="0"/>
          <w:numId w:val="1014"/>
        </w:numPr>
      </w:pPr>
      <w:r>
        <w:t xml:space="preserve">Automated testing suite covering contract validation, EMA convergence, and evaluator determinism</w:t>
      </w:r>
    </w:p>
    <w:bookmarkEnd w:id="22"/>
    <w:bookmarkStart w:id="23"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3"/>
    <w:bookmarkEnd w:id="24"/>
    <w:bookmarkStart w:id="35" w:name="X4e0404407b2823f6ed5ea6a6c1651c2e996b033"/>
    <w:p>
      <w:pPr>
        <w:pStyle w:val="Heading2"/>
      </w:pPr>
      <w:r>
        <w:t xml:space="preserve">4. Methodology</w:t>
      </w:r>
    </w:p>
    <w:bookmarkStart w:id="25"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Features: (i) EMA smoothing (α=0.3) for trait stability; (ii) PostgreSQL persistence for longitudinal analysis; (iii) confidence-weighted updates (threshold ≥0.4); (iv) psychologically grounded regulation (Section 2.1) mapping traits to behavioral directives; (v) comprehensive audit trails.</w:t>
      </w:r>
    </w:p>
    <w:p>
      <w:pPr>
        <w:pStyle w:val="BodyText"/>
      </w:pPr>
      <w:r>
        <w:rPr>
          <w:b/>
          <w:bCs/>
        </w:rPr>
        <w:t xml:space="preserve">Core Algorithm: EMA-Based Trait Stabilization</w:t>
      </w:r>
    </w:p>
    <w:p>
      <w:pPr>
        <w:pStyle w:val="BodyText"/>
      </w:pPr>
      <w:r>
        <w:t xml:space="preserve">To prevent erratic personality shifts from single noisy detections, we apply exponential moving average (EMA) smoothing at each conversation turn. This balances responsiveness to genuine trait changes with stability against transient linguistic variations.</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 Full implementation code available in Appendix B.3 technical documentation references.</w:t>
      </w:r>
    </w:p>
    <w:bookmarkEnd w:id="25"/>
    <w:bookmarkStart w:id="26"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Figure 3.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r>
        <w:br/>
      </w:r>
      <w:r>
        <w:br/>
      </w:r>
      <w:r>
        <w:rPr>
          <w:rStyle w:val="VerbatimChar"/>
        </w:rPr>
        <w:t xml:space="preserve">External Services:</w:t>
      </w:r>
      <w:r>
        <w:br/>
      </w:r>
      <w:r>
        <w:rPr>
          <w:rStyle w:val="VerbatimChar"/>
        </w:rPr>
        <w:t xml:space="preserve">  • Gemini API (via Juguang Gateway): https://ai.juguang.chat/v1/</w:t>
      </w:r>
      <w:r>
        <w:br/>
      </w:r>
      <w:r>
        <w:rPr>
          <w:rStyle w:val="VerbatimChar"/>
        </w:rPr>
        <w:t xml:space="preserve">  • OpenAI API (Fallback): https://api.openai.com/v1/</w:t>
      </w:r>
    </w:p>
    <w:p>
      <w:pPr>
        <w:pStyle w:val="FirstParagraph"/>
      </w:pPr>
      <w:r>
        <w:rPr>
          <w:i/>
          <w:iCs/>
        </w:rPr>
        <w:t xml:space="preserve">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6"/>
    <w:bookmarkStart w:id="27"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Achieves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7"/>
    <w:bookmarkStart w:id="28"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28"/>
    <w:bookmarkStart w:id="29"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5"/>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5"/>
        </w:numPr>
      </w:pPr>
      <w:r>
        <w:rPr>
          <w:b/>
          <w:bCs/>
        </w:rPr>
        <w:t xml:space="preserve">Length:</w:t>
      </w:r>
      <w:r>
        <w:t xml:space="preserve"> </w:t>
      </w:r>
      <w:r>
        <w:t xml:space="preserve">70-150 words to ensure substantive but focused responses</w:t>
      </w:r>
    </w:p>
    <w:p>
      <w:pPr>
        <w:pStyle w:val="Compact"/>
        <w:numPr>
          <w:ilvl w:val="0"/>
          <w:numId w:val="1015"/>
        </w:numPr>
      </w:pPr>
      <w:r>
        <w:rPr>
          <w:b/>
          <w:bCs/>
        </w:rPr>
        <w:t xml:space="preserve">Interaction:</w:t>
      </w:r>
      <w:r>
        <w:t xml:space="preserve"> </w:t>
      </w:r>
      <w:r>
        <w:t xml:space="preserve">Maximum 2 questions per response to maintain conversational flow</w:t>
      </w:r>
    </w:p>
    <w:p>
      <w:pPr>
        <w:pStyle w:val="Compact"/>
        <w:numPr>
          <w:ilvl w:val="0"/>
          <w:numId w:val="1015"/>
        </w:numPr>
      </w:pPr>
      <w:r>
        <w:rPr>
          <w:b/>
          <w:bCs/>
        </w:rPr>
        <w:t xml:space="preserve">Parameters:</w:t>
      </w:r>
      <w:r>
        <w:t xml:space="preserve"> </w:t>
      </w:r>
      <w:r>
        <w:t xml:space="preserve">Temperature 0.7, max_tokens 220, 20-second timeout</w:t>
      </w:r>
    </w:p>
    <w:p>
      <w:pPr>
        <w:pStyle w:val="Compact"/>
        <w:numPr>
          <w:ilvl w:val="0"/>
          <w:numId w:val="1015"/>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29"/>
    <w:bookmarkStart w:id="30"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6"/>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6"/>
        </w:numPr>
      </w:pPr>
      <w:r>
        <w:rPr>
          <w:b/>
          <w:bCs/>
        </w:rPr>
        <w:t xml:space="preserve">Detection:</w:t>
      </w:r>
      <w:r>
        <w:t xml:space="preserve"> </w:t>
      </w:r>
      <w:r>
        <w:t xml:space="preserve">GPT-4 analyzes conversation → produces raw OCEAN + confidence</w:t>
      </w:r>
    </w:p>
    <w:p>
      <w:pPr>
        <w:pStyle w:val="Compact"/>
        <w:numPr>
          <w:ilvl w:val="0"/>
          <w:numId w:val="1016"/>
        </w:numPr>
      </w:pPr>
      <w:r>
        <w:rPr>
          <w:b/>
          <w:bCs/>
        </w:rPr>
        <w:t xml:space="preserve">EMA Smoothing:</w:t>
      </w:r>
      <w:r>
        <w:t xml:space="preserve"> </w:t>
      </w:r>
      <w:r>
        <w:t xml:space="preserve">Blend current with previous state (α=0.3)</w:t>
      </w:r>
    </w:p>
    <w:p>
      <w:pPr>
        <w:pStyle w:val="Compact"/>
        <w:numPr>
          <w:ilvl w:val="0"/>
          <w:numId w:val="1016"/>
        </w:numPr>
      </w:pPr>
      <w:r>
        <w:rPr>
          <w:b/>
          <w:bCs/>
        </w:rPr>
        <w:t xml:space="preserve">Persistence:</w:t>
      </w:r>
      <w:r>
        <w:t xml:space="preserve"> </w:t>
      </w:r>
      <w:r>
        <w:t xml:space="preserve">Save smoothed state, conversation turn, session metadata to PostgreSQL</w:t>
      </w:r>
    </w:p>
    <w:p>
      <w:pPr>
        <w:pStyle w:val="Compact"/>
        <w:numPr>
          <w:ilvl w:val="0"/>
          <w:numId w:val="1016"/>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0"/>
    <w:bookmarkStart w:id="31"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7"/>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7"/>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7"/>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7"/>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8"/>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8"/>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8"/>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9"/>
        </w:numPr>
      </w:pPr>
      <w:r>
        <w:rPr>
          <w:b/>
          <w:bCs/>
        </w:rPr>
        <w:t xml:space="preserve">Length:</w:t>
      </w:r>
      <w:r>
        <w:t xml:space="preserve"> </w:t>
      </w:r>
      <w:r>
        <w:t xml:space="preserve">8-10 turns per conversation to allow EMA convergence and stability assessment</w:t>
      </w:r>
    </w:p>
    <w:p>
      <w:pPr>
        <w:pStyle w:val="Compact"/>
        <w:numPr>
          <w:ilvl w:val="0"/>
          <w:numId w:val="1019"/>
        </w:numPr>
      </w:pPr>
      <w:r>
        <w:rPr>
          <w:b/>
          <w:bCs/>
        </w:rPr>
        <w:t xml:space="preserve">Replication:</w:t>
      </w:r>
      <w:r>
        <w:t xml:space="preserve"> </w:t>
      </w:r>
      <w:r>
        <w:t xml:space="preserve">10-15 sessions per personality profile × 3 scenarios = 90-135 total conversations</w:t>
      </w:r>
    </w:p>
    <w:p>
      <w:pPr>
        <w:pStyle w:val="Compact"/>
        <w:numPr>
          <w:ilvl w:val="0"/>
          <w:numId w:val="1019"/>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9"/>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1"/>
    <w:bookmarkStart w:id="32"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20"/>
        </w:numPr>
      </w:pPr>
      <w:r>
        <w:rPr>
          <w:b/>
          <w:bCs/>
        </w:rPr>
        <w:t xml:space="preserve">Detection Accuracy:</w:t>
      </w:r>
      <w:r>
        <w:t xml:space="preserve"> </w:t>
      </w:r>
      <w:r>
        <w:t xml:space="preserve">Alignment between continuous OCEAN inference and simulated personality cues</w:t>
      </w:r>
    </w:p>
    <w:p>
      <w:pPr>
        <w:pStyle w:val="Compact"/>
        <w:numPr>
          <w:ilvl w:val="0"/>
          <w:numId w:val="1020"/>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20"/>
        </w:numPr>
      </w:pPr>
      <w:r>
        <w:rPr>
          <w:b/>
          <w:bCs/>
        </w:rPr>
        <w:t xml:space="preserve">Confidence Calibration:</w:t>
      </w:r>
      <w:r>
        <w:t xml:space="preserve"> </w:t>
      </w:r>
      <w:r>
        <w:t xml:space="preserve">Appropriate confidence scores matching evidence strength</w:t>
      </w:r>
    </w:p>
    <w:p>
      <w:pPr>
        <w:pStyle w:val="Compact"/>
        <w:numPr>
          <w:ilvl w:val="0"/>
          <w:numId w:val="1020"/>
        </w:numPr>
      </w:pPr>
      <w:r>
        <w:rPr>
          <w:b/>
          <w:bCs/>
        </w:rPr>
        <w:t xml:space="preserve">Regulation Effectiveness:</w:t>
      </w:r>
      <w:r>
        <w:t xml:space="preserve"> </w:t>
      </w:r>
      <w:r>
        <w:t xml:space="preserve">Appropriate application of intensity-scaled behavioral strategies</w:t>
      </w:r>
    </w:p>
    <w:p>
      <w:pPr>
        <w:pStyle w:val="Compact"/>
        <w:numPr>
          <w:ilvl w:val="0"/>
          <w:numId w:val="1020"/>
        </w:numPr>
      </w:pPr>
      <w:r>
        <w:rPr>
          <w:b/>
          <w:bCs/>
        </w:rPr>
        <w:t xml:space="preserve">Emotional Tone Appropriateness:</w:t>
      </w:r>
      <w:r>
        <w:t xml:space="preserve"> </w:t>
      </w:r>
      <w:r>
        <w:t xml:space="preserve">Match between response tone and user emotional state/personality</w:t>
      </w:r>
    </w:p>
    <w:p>
      <w:pPr>
        <w:pStyle w:val="Compact"/>
        <w:numPr>
          <w:ilvl w:val="0"/>
          <w:numId w:val="1020"/>
        </w:numPr>
      </w:pPr>
      <w:r>
        <w:rPr>
          <w:b/>
          <w:bCs/>
        </w:rPr>
        <w:t xml:space="preserve">Relevance &amp; Coherence:</w:t>
      </w:r>
      <w:r>
        <w:t xml:space="preserve"> </w:t>
      </w:r>
      <w:r>
        <w:t xml:space="preserve">Contextual appropriateness and logical consistency</w:t>
      </w:r>
    </w:p>
    <w:p>
      <w:pPr>
        <w:pStyle w:val="Compact"/>
        <w:numPr>
          <w:ilvl w:val="0"/>
          <w:numId w:val="1020"/>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21"/>
        </w:numPr>
      </w:pPr>
      <w:r>
        <w:rPr>
          <w:b/>
          <w:bCs/>
        </w:rPr>
        <w:t xml:space="preserve">Emotional Tone Appropriateness</w:t>
      </w:r>
    </w:p>
    <w:p>
      <w:pPr>
        <w:pStyle w:val="Compact"/>
        <w:numPr>
          <w:ilvl w:val="0"/>
          <w:numId w:val="1021"/>
        </w:numPr>
      </w:pPr>
      <w:r>
        <w:rPr>
          <w:b/>
          <w:bCs/>
        </w:rPr>
        <w:t xml:space="preserve">Relevance &amp; Coherence</w:t>
      </w:r>
    </w:p>
    <w:p>
      <w:pPr>
        <w:pStyle w:val="Compact"/>
        <w:numPr>
          <w:ilvl w:val="0"/>
          <w:numId w:val="1021"/>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22"/>
        </w:numPr>
      </w:pPr>
      <w:r>
        <w:rPr>
          <w:b/>
          <w:bCs/>
        </w:rPr>
        <w:t xml:space="preserve">Row ID:</w:t>
      </w:r>
      <w:r>
        <w:t xml:space="preserve"> </w:t>
      </w:r>
      <w:r>
        <w:t xml:space="preserve">Unique identifier for tracking individual assessments</w:t>
      </w:r>
    </w:p>
    <w:p>
      <w:pPr>
        <w:pStyle w:val="Compact"/>
        <w:numPr>
          <w:ilvl w:val="0"/>
          <w:numId w:val="1022"/>
        </w:numPr>
      </w:pPr>
      <w:r>
        <w:rPr>
          <w:b/>
          <w:bCs/>
        </w:rPr>
        <w:t xml:space="preserve">Profile Type:</w:t>
      </w:r>
      <w:r>
        <w:t xml:space="preserve"> </w:t>
      </w:r>
      <w:r>
        <w:t xml:space="preserve">Simulated personality profile (Type A: high OCEAN; Type B: low OCEAN; Type C: mixed)</w:t>
      </w:r>
    </w:p>
    <w:p>
      <w:pPr>
        <w:pStyle w:val="Compact"/>
        <w:numPr>
          <w:ilvl w:val="0"/>
          <w:numId w:val="1022"/>
        </w:numPr>
      </w:pPr>
      <w:r>
        <w:rPr>
          <w:b/>
          <w:bCs/>
        </w:rPr>
        <w:t xml:space="preserve">Turn Number:</w:t>
      </w:r>
      <w:r>
        <w:t xml:space="preserve"> </w:t>
      </w:r>
      <w:r>
        <w:t xml:space="preserve">Position within conversation sequence (1-10)</w:t>
      </w:r>
    </w:p>
    <w:p>
      <w:pPr>
        <w:pStyle w:val="Compact"/>
        <w:numPr>
          <w:ilvl w:val="0"/>
          <w:numId w:val="1022"/>
        </w:numPr>
      </w:pPr>
      <w:r>
        <w:rPr>
          <w:b/>
          <w:bCs/>
        </w:rPr>
        <w:t xml:space="preserve">User Message:</w:t>
      </w:r>
      <w:r>
        <w:t xml:space="preserve"> </w:t>
      </w:r>
      <w:r>
        <w:t xml:space="preserve">Original user input text</w:t>
      </w:r>
    </w:p>
    <w:p>
      <w:pPr>
        <w:pStyle w:val="Compact"/>
        <w:numPr>
          <w:ilvl w:val="0"/>
          <w:numId w:val="1022"/>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23"/>
        </w:numPr>
      </w:pPr>
      <w:r>
        <w:rPr>
          <w:b/>
          <w:bCs/>
        </w:rPr>
        <w:t xml:space="preserve">OCEAN Values (Smoothed):</w:t>
      </w:r>
      <w:r>
        <w:t xml:space="preserve"> </w:t>
      </w:r>
      <w:r>
        <w:t xml:space="preserve">EMA-smoothed continuous trait estimates (e.g., O:0.78, C:0.65, E:0.82, A:0.71, N:-0.68)</w:t>
      </w:r>
    </w:p>
    <w:p>
      <w:pPr>
        <w:pStyle w:val="Compact"/>
        <w:numPr>
          <w:ilvl w:val="0"/>
          <w:numId w:val="1023"/>
        </w:numPr>
      </w:pPr>
      <w:r>
        <w:rPr>
          <w:b/>
          <w:bCs/>
        </w:rPr>
        <w:t xml:space="preserve">Confidence Scores:</w:t>
      </w:r>
      <w:r>
        <w:t xml:space="preserve"> </w:t>
      </w:r>
      <w:r>
        <w:t xml:space="preserve">Per-trait confidence assessments (range 0.0-1.0)</w:t>
      </w:r>
    </w:p>
    <w:p>
      <w:pPr>
        <w:pStyle w:val="Compact"/>
        <w:numPr>
          <w:ilvl w:val="0"/>
          <w:numId w:val="1023"/>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23"/>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24"/>
        </w:numPr>
      </w:pPr>
      <w:r>
        <w:rPr>
          <w:b/>
          <w:bCs/>
        </w:rPr>
        <w:t xml:space="preserve">Detection Accuracy (Det.Acc):</w:t>
      </w:r>
      <w:r>
        <w:t xml:space="preserve"> </w:t>
      </w:r>
      <w:r>
        <w:t xml:space="preserve">Alignment between inferred OCEAN and personality cues</w:t>
      </w:r>
    </w:p>
    <w:p>
      <w:pPr>
        <w:pStyle w:val="Compact"/>
        <w:numPr>
          <w:ilvl w:val="0"/>
          <w:numId w:val="1024"/>
        </w:numPr>
      </w:pPr>
      <w:r>
        <w:rPr>
          <w:b/>
          <w:bCs/>
        </w:rPr>
        <w:t xml:space="preserve">EMA Convergence (EMA.Conv):</w:t>
      </w:r>
      <w:r>
        <w:t xml:space="preserve"> </w:t>
      </w:r>
      <w:r>
        <w:t xml:space="preserve">Quality of temporal smoothing and stability progression</w:t>
      </w:r>
    </w:p>
    <w:p>
      <w:pPr>
        <w:pStyle w:val="Compact"/>
        <w:numPr>
          <w:ilvl w:val="0"/>
          <w:numId w:val="1024"/>
        </w:numPr>
      </w:pPr>
      <w:r>
        <w:rPr>
          <w:b/>
          <w:bCs/>
        </w:rPr>
        <w:t xml:space="preserve">Confidence Calibration (Conf.Cal):</w:t>
      </w:r>
      <w:r>
        <w:t xml:space="preserve"> </w:t>
      </w:r>
      <w:r>
        <w:t xml:space="preserve">Appropriateness of confidence scores relative to evidence</w:t>
      </w:r>
    </w:p>
    <w:p>
      <w:pPr>
        <w:pStyle w:val="Compact"/>
        <w:numPr>
          <w:ilvl w:val="0"/>
          <w:numId w:val="1024"/>
        </w:numPr>
      </w:pPr>
      <w:r>
        <w:rPr>
          <w:b/>
          <w:bCs/>
        </w:rPr>
        <w:t xml:space="preserve">Regulation Effectiveness (Reg.Eff):</w:t>
      </w:r>
      <w:r>
        <w:t xml:space="preserve"> </w:t>
      </w:r>
      <w:r>
        <w:t xml:space="preserve">Correct application of behavioral directives</w:t>
      </w:r>
    </w:p>
    <w:p>
      <w:pPr>
        <w:pStyle w:val="Compact"/>
        <w:numPr>
          <w:ilvl w:val="0"/>
          <w:numId w:val="1024"/>
        </w:numPr>
      </w:pPr>
      <w:r>
        <w:rPr>
          <w:b/>
          <w:bCs/>
        </w:rPr>
        <w:t xml:space="preserve">Emotional Tone (Tone):</w:t>
      </w:r>
      <w:r>
        <w:t xml:space="preserve"> </w:t>
      </w:r>
      <w:r>
        <w:t xml:space="preserve">Match between response tone and user state/personality</w:t>
      </w:r>
    </w:p>
    <w:p>
      <w:pPr>
        <w:pStyle w:val="Compact"/>
        <w:numPr>
          <w:ilvl w:val="0"/>
          <w:numId w:val="1024"/>
        </w:numPr>
      </w:pPr>
      <w:r>
        <w:rPr>
          <w:b/>
          <w:bCs/>
        </w:rPr>
        <w:t xml:space="preserve">Relevance &amp; Coherence (Rel&amp;Coh):</w:t>
      </w:r>
      <w:r>
        <w:t xml:space="preserve"> </w:t>
      </w:r>
      <w:r>
        <w:t xml:space="preserve">Contextual appropriateness and logical consistency</w:t>
      </w:r>
    </w:p>
    <w:p>
      <w:pPr>
        <w:pStyle w:val="Compact"/>
        <w:numPr>
          <w:ilvl w:val="0"/>
          <w:numId w:val="1024"/>
        </w:numPr>
      </w:pPr>
      <w:r>
        <w:rPr>
          <w:b/>
          <w:bCs/>
        </w:rPr>
        <w:t xml:space="preserve">Personality Needs (Needs):</w:t>
      </w:r>
      <w:r>
        <w:t xml:space="preserve"> </w:t>
      </w:r>
      <w:r>
        <w:t xml:space="preserve">Satisfaction of trait-specific requirements</w:t>
      </w:r>
    </w:p>
    <w:p>
      <w:pPr>
        <w:pStyle w:val="Compact"/>
        <w:numPr>
          <w:ilvl w:val="0"/>
          <w:numId w:val="1024"/>
        </w:numPr>
      </w:pPr>
      <w:r>
        <w:rPr>
          <w:b/>
          <w:bCs/>
        </w:rPr>
        <w:t xml:space="preserve">Total Score:</w:t>
      </w:r>
      <w:r>
        <w:t xml:space="preserve"> </w:t>
      </w:r>
      <w:r>
        <w:t xml:space="preserve">Sum of all criterion scores (0-14 for regulated; 0-6 for baseline)</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25"/>
        </w:numPr>
      </w:pPr>
      <w:r>
        <w:t xml:space="preserve">User: "I'm excited to try new approaches..."</w:t>
      </w:r>
    </w:p>
    <w:p>
      <w:pPr>
        <w:pStyle w:val="Compact"/>
        <w:numPr>
          <w:ilvl w:val="0"/>
          <w:numId w:val="1025"/>
        </w:numPr>
      </w:pPr>
      <w:r>
        <w:t xml:space="preserve">Assistant: "That's wonderful! Let's explore some creative strategies..."</w:t>
      </w:r>
    </w:p>
    <w:p>
      <w:pPr>
        <w:pStyle w:val="Compact"/>
        <w:numPr>
          <w:ilvl w:val="0"/>
          <w:numId w:val="1025"/>
        </w:numPr>
      </w:pPr>
      <w:r>
        <w:t xml:space="preserve">OCEAN: O:0.78, C:0.65, E:0.82, A:0.71, N:-0.68 (Stable: TRUE)</w:t>
      </w:r>
    </w:p>
    <w:p>
      <w:pPr>
        <w:pStyle w:val="Compact"/>
        <w:numPr>
          <w:ilvl w:val="0"/>
          <w:numId w:val="1025"/>
        </w:numPr>
      </w:pPr>
      <w:r>
        <w:t xml:space="preserve">Directives: Introduce novel ideas, Energetic tone, Structured steps</w:t>
      </w:r>
    </w:p>
    <w:p>
      <w:pPr>
        <w:pStyle w:val="Compact"/>
        <w:numPr>
          <w:ilvl w:val="0"/>
          <w:numId w:val="1025"/>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26"/>
        </w:numPr>
      </w:pPr>
      <w:r>
        <w:t xml:space="preserve">User: "Everything feels uncertain..."</w:t>
      </w:r>
    </w:p>
    <w:p>
      <w:pPr>
        <w:pStyle w:val="Compact"/>
        <w:numPr>
          <w:ilvl w:val="0"/>
          <w:numId w:val="1026"/>
        </w:numPr>
      </w:pPr>
      <w:r>
        <w:t xml:space="preserve">Assistant: "I understand uncertainty is difficult. Let's focus on what you can control..."</w:t>
      </w:r>
    </w:p>
    <w:p>
      <w:pPr>
        <w:pStyle w:val="Compact"/>
        <w:numPr>
          <w:ilvl w:val="0"/>
          <w:numId w:val="1026"/>
        </w:numPr>
      </w:pPr>
      <w:r>
        <w:t xml:space="preserve">OCEAN: O:-0.72, C:-0.68, E:-0.75, A:-0.61, N:0.79 (Stable: TRUE)</w:t>
      </w:r>
    </w:p>
    <w:p>
      <w:pPr>
        <w:pStyle w:val="Compact"/>
        <w:numPr>
          <w:ilvl w:val="0"/>
          <w:numId w:val="1026"/>
        </w:numPr>
      </w:pPr>
      <w:r>
        <w:t xml:space="preserve">Directives: Familiar examples, Calm tone, Flexible guidance, Extra comfort</w:t>
      </w:r>
    </w:p>
    <w:p>
      <w:pPr>
        <w:pStyle w:val="Compact"/>
        <w:numPr>
          <w:ilvl w:val="0"/>
          <w:numId w:val="1026"/>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bookmarkEnd w:id="32"/>
    <w:bookmarkStart w:id="33"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3"/>
    <w:bookmarkStart w:id="34"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4"/>
    <w:bookmarkEnd w:id="35"/>
    <w:bookmarkStart w:id="41" w:name="Xe67829e61c10b4974b1d93707511b7a857ae86e"/>
    <w:p>
      <w:pPr>
        <w:pStyle w:val="Heading2"/>
      </w:pPr>
      <w:r>
        <w:t xml:space="preserve">5. Technology, Software, and Applications</w:t>
      </w:r>
    </w:p>
    <w:bookmarkStart w:id="36"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6"/>
    <w:bookmarkStart w:id="37"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37"/>
    <w:bookmarkStart w:id="38"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38"/>
    <w:bookmarkStart w:id="39"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39"/>
    <w:bookmarkStart w:id="40"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0"/>
    <w:bookmarkEnd w:id="41"/>
    <w:bookmarkStart w:id="45" w:name="Xf39cdd8e9631b1040b68b9fd15ae4730d3a4298"/>
    <w:p>
      <w:pPr>
        <w:pStyle w:val="Heading2"/>
      </w:pPr>
      <w:r>
        <w:t xml:space="preserve">6. Project Plan and Risk Management</w:t>
      </w:r>
    </w:p>
    <w:bookmarkStart w:id="42"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27"/>
        </w:numPr>
      </w:pPr>
      <w:r>
        <w:rPr>
          <w:b/>
          <w:bCs/>
        </w:rPr>
        <w:t xml:space="preserve">Chapter 1 (Introduction):</w:t>
      </w:r>
      <w:r>
        <w:t xml:space="preserve"> </w:t>
      </w:r>
      <w:r>
        <w:t xml:space="preserve">Context, problem statement, research objectives</w:t>
      </w:r>
    </w:p>
    <w:p>
      <w:pPr>
        <w:pStyle w:val="Compact"/>
        <w:numPr>
          <w:ilvl w:val="0"/>
          <w:numId w:val="1027"/>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27"/>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27"/>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27"/>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27"/>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27"/>
        </w:numPr>
      </w:pPr>
      <w:r>
        <w:rPr>
          <w:b/>
          <w:bCs/>
        </w:rPr>
        <w:t xml:space="preserve">Chapter 7 (Conclusion):</w:t>
      </w:r>
      <w:r>
        <w:t xml:space="preserve"> </w:t>
      </w:r>
      <w:r>
        <w:t xml:space="preserve">Key contributions, limitations, future research roadmap</w:t>
      </w:r>
    </w:p>
    <w:p>
      <w:pPr>
        <w:pStyle w:val="Compact"/>
        <w:numPr>
          <w:ilvl w:val="0"/>
          <w:numId w:val="1027"/>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w:t>
      </w:r>
    </w:p>
    <w:p>
      <w:pPr>
        <w:pStyle w:val="BodyText"/>
      </w:pPr>
      <w:r>
        <w:t xml:space="preserve">The thesis phase will extend this preliminary study through:</w:t>
      </w:r>
    </w:p>
    <w:p>
      <w:pPr>
        <w:pStyle w:val="Compact"/>
        <w:numPr>
          <w:ilvl w:val="0"/>
          <w:numId w:val="1028"/>
        </w:numPr>
      </w:pPr>
      <w:r>
        <w:rPr>
          <w:b/>
          <w:bCs/>
        </w:rPr>
        <w:t xml:space="preserve">Human Validation Studies:</w:t>
      </w:r>
      <w:r>
        <w:t xml:space="preserve"> </w:t>
      </w:r>
      <w:r>
        <w:t xml:space="preserve">Participant studies (n=30-50) with ethical oversight, informed consent, professional supervision; BFI-44 ground-truth comparison</w:t>
      </w:r>
    </w:p>
    <w:p>
      <w:pPr>
        <w:pStyle w:val="Compact"/>
        <w:numPr>
          <w:ilvl w:val="0"/>
          <w:numId w:val="1028"/>
        </w:numPr>
      </w:pPr>
      <w:r>
        <w:rPr>
          <w:b/>
          <w:bCs/>
        </w:rPr>
        <w:t xml:space="preserve">Advanced Evaluation:</w:t>
      </w:r>
      <w:r>
        <w:t xml:space="preserve"> </w:t>
      </w:r>
      <w:r>
        <w:t xml:space="preserve">Combined human + automated scoring; inter-rater reliability (κ ≥ 0.80); longitudinal assessment across extended interactions</w:t>
      </w:r>
    </w:p>
    <w:p>
      <w:pPr>
        <w:pStyle w:val="Compact"/>
        <w:numPr>
          <w:ilvl w:val="0"/>
          <w:numId w:val="1028"/>
        </w:numPr>
      </w:pPr>
      <w:r>
        <w:rPr>
          <w:b/>
          <w:bCs/>
        </w:rPr>
        <w:t xml:space="preserve">Application Integration:</w:t>
      </w:r>
      <w:r>
        <w:t xml:space="preserve"> </w:t>
      </w:r>
      <w:r>
        <w:t xml:space="preserve">System integration across domains (education, customer service); adaptive decision support; escalation protocols to human professionals</w:t>
      </w:r>
    </w:p>
    <w:p>
      <w:pPr>
        <w:pStyle w:val="Compact"/>
        <w:numPr>
          <w:ilvl w:val="0"/>
          <w:numId w:val="1028"/>
        </w:numPr>
      </w:pPr>
      <w:r>
        <w:rPr>
          <w:b/>
          <w:bCs/>
        </w:rPr>
        <w:t xml:space="preserve">Hybrid Memory-Personality Architecture:</w:t>
      </w:r>
      <w:r>
        <w:t xml:space="preserve"> </w:t>
      </w:r>
      <w:r>
        <w:t xml:space="preserve">Integration with mem0/LangChain Memory for combined factual recall + motivational adaptation; coordinated update mechanisms</w:t>
      </w:r>
    </w:p>
    <w:p>
      <w:pPr>
        <w:pStyle w:val="Compact"/>
        <w:numPr>
          <w:ilvl w:val="0"/>
          <w:numId w:val="1028"/>
        </w:numPr>
      </w:pPr>
      <w:r>
        <w:rPr>
          <w:b/>
          <w:bCs/>
        </w:rPr>
        <w:t xml:space="preserve">Multimodal Extensions:</w:t>
      </w:r>
      <w:r>
        <w:t xml:space="preserve"> </w:t>
      </w:r>
      <w:r>
        <w:t xml:space="preserve">Voice analysis, facial expression recognition, physiological monitoring (with privacy evaluation)</w:t>
      </w:r>
    </w:p>
    <w:p>
      <w:pPr>
        <w:pStyle w:val="FirstParagraph"/>
      </w:pPr>
      <w:r>
        <w:rPr>
          <w:b/>
          <w:bCs/>
        </w:rPr>
        <w:t xml:space="preserve">Dissemination Strategy:</w:t>
      </w:r>
    </w:p>
    <w:p>
      <w:pPr>
        <w:pStyle w:val="Compact"/>
        <w:numPr>
          <w:ilvl w:val="0"/>
          <w:numId w:val="1029"/>
        </w:numPr>
      </w:pPr>
      <w:r>
        <w:rPr>
          <w:b/>
          <w:bCs/>
        </w:rPr>
        <w:t xml:space="preserve">Academic Publications:</w:t>
      </w:r>
      <w:r>
        <w:t xml:space="preserve"> </w:t>
      </w:r>
      <w:r>
        <w:t xml:space="preserve">CHI, AAAI, JPSP, TOCHI, CSCW</w:t>
      </w:r>
    </w:p>
    <w:p>
      <w:pPr>
        <w:pStyle w:val="Compact"/>
        <w:numPr>
          <w:ilvl w:val="0"/>
          <w:numId w:val="1029"/>
        </w:numPr>
      </w:pPr>
      <w:r>
        <w:rPr>
          <w:b/>
          <w:bCs/>
        </w:rPr>
        <w:t xml:space="preserve">Open-Source Release:</w:t>
      </w:r>
      <w:r>
        <w:t xml:space="preserve"> </w:t>
      </w:r>
      <w:r>
        <w:t xml:space="preserve">N8N workflow, evaluation framework, analysis tools (GitHub)</w:t>
      </w:r>
    </w:p>
    <w:p>
      <w:pPr>
        <w:pStyle w:val="Compact"/>
        <w:numPr>
          <w:ilvl w:val="0"/>
          <w:numId w:val="1029"/>
        </w:numPr>
      </w:pPr>
      <w:r>
        <w:rPr>
          <w:b/>
          <w:bCs/>
        </w:rPr>
        <w:t xml:space="preserve">Industry Engagement:</w:t>
      </w:r>
      <w:r>
        <w:t xml:space="preserve"> </w:t>
      </w:r>
      <w:r>
        <w:t xml:space="preserve">Technology and education conferences, practitioner workshops</w:t>
      </w:r>
    </w:p>
    <w:p>
      <w:pPr>
        <w:pStyle w:val="Compact"/>
        <w:numPr>
          <w:ilvl w:val="0"/>
          <w:numId w:val="1029"/>
        </w:numPr>
      </w:pPr>
      <w:r>
        <w:rPr>
          <w:b/>
          <w:bCs/>
        </w:rPr>
        <w:t xml:space="preserve">Policy Contributions:</w:t>
      </w:r>
      <w:r>
        <w:t xml:space="preserve"> </w:t>
      </w:r>
      <w:r>
        <w:t xml:space="preserve">Evidence-based guidance for AI regulatory frameworks</w:t>
      </w:r>
    </w:p>
    <w:bookmarkEnd w:id="42"/>
    <w:bookmarkStart w:id="43" w:name="Xf548749ce64e33d43accde97a5711443096df95"/>
    <w:p>
      <w:pPr>
        <w:pStyle w:val="Heading3"/>
      </w:pPr>
      <w:r>
        <w:t xml:space="preserve">6.2 Nine-Week Work Plan</w:t>
      </w:r>
    </w:p>
    <w:p>
      <w:pPr>
        <w:pStyle w:val="FirstParagraph"/>
      </w:pPr>
      <w:r>
        <w:rPr>
          <w:b/>
          <w:bCs/>
        </w:rPr>
        <w:t xml:space="preserve">Timeline:</w:t>
      </w:r>
      <w:r>
        <w:t xml:space="preserve"> </w:t>
      </w:r>
      <w:r>
        <w:t xml:space="preserve">Foundation (weeks 1-2) → Implementation (3-4) → Validation (5-6) → Analysis (7) → Documentation (8) → Finalization (9).</w:t>
      </w:r>
    </w:p>
    <w:p>
      <w:pPr>
        <w:pStyle w:val="BodyText"/>
      </w:pPr>
      <w:r>
        <w:rPr>
          <w:b/>
          <w:bCs/>
        </w:rPr>
        <w:t xml:space="preserve">Table 8. Nine-Week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RQ finalization; N8N setup</w:t>
            </w:r>
          </w:p>
        </w:tc>
        <w:tc>
          <w:tcPr/>
          <w:p>
            <w:pPr>
              <w:pStyle w:val="Compact"/>
            </w:pPr>
            <w:r>
              <w:t xml:space="preserve">Background section; finalized RQs; working environment</w:t>
            </w:r>
          </w:p>
        </w:tc>
        <w:tc>
          <w:tcPr/>
          <w:p>
            <w:pPr>
              <w:pStyle w:val="Compact"/>
            </w:pPr>
            <w:r>
              <w:t xml:space="preserve">Background ≥1.5 pages; testable RQs; functional N8N</w:t>
            </w:r>
          </w:p>
        </w:tc>
      </w:tr>
      <w:tr>
        <w:tc>
          <w:tcPr/>
          <w:p>
            <w:pPr>
              <w:pStyle w:val="Compact"/>
            </w:pPr>
            <w:r>
              <w:rPr>
                <w:b/>
                <w:bCs/>
              </w:rPr>
              <w:t xml:space="preserve">Implementation</w:t>
            </w:r>
          </w:p>
        </w:tc>
        <w:tc>
          <w:tcPr/>
          <w:p>
            <w:pPr>
              <w:pStyle w:val="Compact"/>
            </w:pPr>
            <w:r>
              <w:t xml:space="preserve">3-4</w:t>
            </w:r>
          </w:p>
        </w:tc>
        <w:tc>
          <w:tcPr/>
          <w:p>
            <w:pPr>
              <w:pStyle w:val="Compact"/>
            </w:pPr>
            <w:r>
              <w:t xml:space="preserve">Workflow development; prompt engineering; logging setup</w:t>
            </w:r>
          </w:p>
        </w:tc>
        <w:tc>
          <w:tcPr/>
          <w:p>
            <w:pPr>
              <w:pStyle w:val="Compact"/>
            </w:pPr>
            <w:r>
              <w:t xml:space="preserve">Workflow JSON; prompt library; logging infrastructure</w:t>
            </w:r>
          </w:p>
        </w:tc>
        <w:tc>
          <w:tcPr/>
          <w:p>
            <w:pPr>
              <w:pStyle w:val="Compact"/>
            </w:pPr>
            <w:r>
              <w:t xml:space="preserve">Functional pipeline; consistent JSON; comprehensive logs</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analysis</w:t>
            </w:r>
          </w:p>
        </w:tc>
        <w:tc>
          <w:tcPr/>
          <w:p>
            <w:pPr>
              <w:pStyle w:val="Compact"/>
            </w:pPr>
            <w:r>
              <w:t xml:space="preserve">Evaluation matrices; charts; statistical analysis</w:t>
            </w:r>
          </w:p>
        </w:tc>
        <w:tc>
          <w:tcPr/>
          <w:p>
            <w:pPr>
              <w:pStyle w:val="Compact"/>
            </w:pPr>
            <w:r>
              <w:t xml:space="preserve">Completed simulations; evaluator consistency &gt;0.8</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limitation analysis</w:t>
            </w:r>
          </w:p>
        </w:tc>
        <w:tc>
          <w:tcPr/>
          <w:p>
            <w:pPr>
              <w:pStyle w:val="Compact"/>
            </w:pPr>
            <w:r>
              <w:t xml:space="preserve">Results section; figures; Discussion</w:t>
            </w:r>
          </w:p>
        </w:tc>
        <w:tc>
          <w:tcPr/>
          <w:p>
            <w:pPr>
              <w:pStyle w:val="Compact"/>
            </w:pPr>
            <w:r>
              <w:t xml:space="preserve">Clear differences; professional visuals; honest assessment</w:t>
            </w:r>
          </w:p>
        </w:tc>
      </w:tr>
      <w:tr>
        <w:tc>
          <w:tcPr/>
          <w:p>
            <w:pPr>
              <w:pStyle w:val="Compact"/>
            </w:pPr>
            <w:r>
              <w:rPr>
                <w:b/>
                <w:bCs/>
              </w:rPr>
              <w:t xml:space="preserve">Documentation</w:t>
            </w:r>
          </w:p>
        </w:tc>
        <w:tc>
          <w:tcPr/>
          <w:p>
            <w:pPr>
              <w:pStyle w:val="Compact"/>
            </w:pPr>
            <w:r>
              <w:t xml:space="preserve">8</w:t>
            </w:r>
          </w:p>
        </w:tc>
        <w:tc>
          <w:tcPr/>
          <w:p>
            <w:pPr>
              <w:pStyle w:val="Compact"/>
            </w:pPr>
            <w:r>
              <w:t xml:space="preserve">PMT completion; appendix assembly; peer review</w:t>
            </w:r>
          </w:p>
        </w:tc>
        <w:tc>
          <w:tcPr/>
          <w:p>
            <w:pPr>
              <w:pStyle w:val="Compact"/>
            </w:pPr>
            <w:r>
              <w:t xml:space="preserve">PMT v1.0; appendices; peer feedback</w:t>
            </w:r>
          </w:p>
        </w:tc>
        <w:tc>
          <w:tcPr/>
          <w:p>
            <w:pPr>
              <w:pStyle w:val="Compact"/>
            </w:pPr>
            <w:r>
              <w:t xml:space="preserve">Acceptance criteria met; reproducible artifacts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QA; thesis planning</w:t>
            </w:r>
          </w:p>
        </w:tc>
        <w:tc>
          <w:tcPr/>
          <w:p>
            <w:pPr>
              <w:pStyle w:val="Compact"/>
            </w:pPr>
            <w:r>
              <w:t xml:space="preserve">Final PMT v2.0; thesis outline; presentation</w:t>
            </w:r>
          </w:p>
        </w:tc>
        <w:tc>
          <w:tcPr/>
          <w:p>
            <w:pPr>
              <w:pStyle w:val="Compact"/>
            </w:pPr>
            <w:r>
              <w:t xml:space="preserve">Polished manuscript; clear roadmap</w:t>
            </w:r>
          </w:p>
        </w:tc>
      </w:tr>
    </w:tbl>
    <w:p>
      <w:pPr>
        <w:pStyle w:val="BodyText"/>
      </w:pPr>
      <w:r>
        <w:rPr>
          <w:b/>
          <w:bCs/>
        </w:rPr>
        <w:t xml:space="preserve">Activity Details:</w:t>
      </w:r>
    </w:p>
    <w:p>
      <w:pPr>
        <w:pStyle w:val="BodyText"/>
      </w:pPr>
      <w:r>
        <w:rPr>
          <w:i/>
          <w:iCs/>
        </w:rPr>
        <w:t xml:space="preserve">Weeks 1-2 (Foundation):</w:t>
      </w:r>
    </w:p>
    <w:p>
      <w:pPr>
        <w:pStyle w:val="Compact"/>
        <w:numPr>
          <w:ilvl w:val="0"/>
          <w:numId w:val="1030"/>
        </w:numPr>
      </w:pPr>
      <w:r>
        <w:t xml:space="preserve">Systematic literature review (personality-aware dialogue, psychological frameworks, evaluation methodologies)</w:t>
      </w:r>
    </w:p>
    <w:p>
      <w:pPr>
        <w:pStyle w:val="Compact"/>
        <w:numPr>
          <w:ilvl w:val="0"/>
          <w:numId w:val="1030"/>
        </w:numPr>
      </w:pPr>
      <w:r>
        <w:t xml:space="preserve">RQ refinement with supervisors; scope validation</w:t>
      </w:r>
    </w:p>
    <w:p>
      <w:pPr>
        <w:pStyle w:val="Compact"/>
        <w:numPr>
          <w:ilvl w:val="0"/>
          <w:numId w:val="1030"/>
        </w:numPr>
      </w:pPr>
      <w:r>
        <w:t xml:space="preserve">N8N and Docker environment setup</w:t>
      </w:r>
    </w:p>
    <w:p>
      <w:pPr>
        <w:pStyle w:val="Compact"/>
        <w:numPr>
          <w:ilvl w:val="0"/>
          <w:numId w:val="1030"/>
        </w:numPr>
      </w:pPr>
      <w:r>
        <w:t xml:space="preserve">LLM API access verification and quota establishment</w:t>
      </w:r>
    </w:p>
    <w:p>
      <w:pPr>
        <w:pStyle w:val="Compact"/>
        <w:numPr>
          <w:ilvl w:val="0"/>
          <w:numId w:val="1030"/>
        </w:numPr>
      </w:pPr>
      <w:r>
        <w:t xml:space="preserve">Initial workflow prototyping and feasibility testing</w:t>
      </w:r>
    </w:p>
    <w:p>
      <w:pPr>
        <w:pStyle w:val="FirstParagraph"/>
      </w:pPr>
      <w:r>
        <w:rPr>
          <w:i/>
          <w:iCs/>
        </w:rPr>
        <w:t xml:space="preserve">Weeks 3-4 (Implementation):</w:t>
      </w:r>
    </w:p>
    <w:p>
      <w:pPr>
        <w:pStyle w:val="Compact"/>
        <w:numPr>
          <w:ilvl w:val="0"/>
          <w:numId w:val="1031"/>
        </w:numPr>
      </w:pPr>
      <w:r>
        <w:t xml:space="preserve">N8N workflow nodes implementation with error handling</w:t>
      </w:r>
    </w:p>
    <w:p>
      <w:pPr>
        <w:pStyle w:val="Compact"/>
        <w:numPr>
          <w:ilvl w:val="0"/>
          <w:numId w:val="1031"/>
        </w:numPr>
      </w:pPr>
      <w:r>
        <w:t xml:space="preserve">API integration for personality detection and response generation</w:t>
      </w:r>
    </w:p>
    <w:p>
      <w:pPr>
        <w:pStyle w:val="Compact"/>
        <w:numPr>
          <w:ilvl w:val="0"/>
          <w:numId w:val="1031"/>
        </w:numPr>
      </w:pPr>
      <w:r>
        <w:t xml:space="preserve">Prompt engineering: detection (JSON schema), generation (directive-driven), evaluation (rubric-based)</w:t>
      </w:r>
    </w:p>
    <w:p>
      <w:pPr>
        <w:pStyle w:val="Compact"/>
        <w:numPr>
          <w:ilvl w:val="0"/>
          <w:numId w:val="1031"/>
        </w:numPr>
      </w:pPr>
      <w:r>
        <w:t xml:space="preserve">A/B testing of prompt variations</w:t>
      </w:r>
    </w:p>
    <w:p>
      <w:pPr>
        <w:pStyle w:val="Compact"/>
        <w:numPr>
          <w:ilvl w:val="0"/>
          <w:numId w:val="1031"/>
        </w:numPr>
      </w:pPr>
      <w:r>
        <w:t xml:space="preserve">Comprehensive logging system and automated data export</w:t>
      </w:r>
    </w:p>
    <w:p>
      <w:pPr>
        <w:pStyle w:val="Compact"/>
        <w:numPr>
          <w:ilvl w:val="0"/>
          <w:numId w:val="1031"/>
        </w:numPr>
      </w:pPr>
      <w:r>
        <w:t xml:space="preserve">Version control setup and testing framework</w:t>
      </w:r>
    </w:p>
    <w:p>
      <w:pPr>
        <w:pStyle w:val="FirstParagraph"/>
      </w:pPr>
      <w:r>
        <w:rPr>
          <w:i/>
          <w:iCs/>
        </w:rPr>
        <w:t xml:space="preserve">Weeks 5-6 (Validation):</w:t>
      </w:r>
    </w:p>
    <w:p>
      <w:pPr>
        <w:pStyle w:val="Compact"/>
        <w:numPr>
          <w:ilvl w:val="0"/>
          <w:numId w:val="1032"/>
        </w:numPr>
      </w:pPr>
      <w:r>
        <w:t xml:space="preserve">Type A and Type B simulation execution (90-135 conversations)</w:t>
      </w:r>
    </w:p>
    <w:p>
      <w:pPr>
        <w:pStyle w:val="Compact"/>
        <w:numPr>
          <w:ilvl w:val="0"/>
          <w:numId w:val="1032"/>
        </w:numPr>
      </w:pPr>
      <w:r>
        <w:t xml:space="preserve">Multi-instance data collection for statistical reliability</w:t>
      </w:r>
    </w:p>
    <w:p>
      <w:pPr>
        <w:pStyle w:val="Compact"/>
        <w:numPr>
          <w:ilvl w:val="0"/>
          <w:numId w:val="1032"/>
        </w:numPr>
      </w:pPr>
      <w:r>
        <w:t xml:space="preserve">Real-time performance monitoring and QA checks</w:t>
      </w:r>
    </w:p>
    <w:p>
      <w:pPr>
        <w:pStyle w:val="Compact"/>
        <w:numPr>
          <w:ilvl w:val="0"/>
          <w:numId w:val="1032"/>
        </w:numPr>
      </w:pPr>
      <w:r>
        <w:t xml:space="preserve">LLM evaluator deployment with bias controls (randomization, blinding)</w:t>
      </w:r>
    </w:p>
    <w:p>
      <w:pPr>
        <w:pStyle w:val="Compact"/>
        <w:numPr>
          <w:ilvl w:val="0"/>
          <w:numId w:val="1032"/>
        </w:numPr>
      </w:pPr>
      <w:r>
        <w:t xml:space="preserve">Descriptive statistics and comparative analysis</w:t>
      </w:r>
    </w:p>
    <w:p>
      <w:pPr>
        <w:pStyle w:val="Compact"/>
        <w:numPr>
          <w:ilvl w:val="0"/>
          <w:numId w:val="1032"/>
        </w:numPr>
      </w:pPr>
      <w:r>
        <w:t xml:space="preserve">Effect size calculations and significance testing</w:t>
      </w:r>
    </w:p>
    <w:p>
      <w:pPr>
        <w:pStyle w:val="FirstParagraph"/>
      </w:pPr>
      <w:r>
        <w:rPr>
          <w:i/>
          <w:iCs/>
        </w:rPr>
        <w:t xml:space="preserve">Week 7 (Analysis):</w:t>
      </w:r>
    </w:p>
    <w:p>
      <w:pPr>
        <w:pStyle w:val="Compact"/>
        <w:numPr>
          <w:ilvl w:val="0"/>
          <w:numId w:val="1033"/>
        </w:numPr>
      </w:pPr>
      <w:r>
        <w:t xml:space="preserve">Comprehensive statistical analysis of experimental outcomes</w:t>
      </w:r>
    </w:p>
    <w:p>
      <w:pPr>
        <w:pStyle w:val="Compact"/>
        <w:numPr>
          <w:ilvl w:val="0"/>
          <w:numId w:val="1033"/>
        </w:numPr>
      </w:pPr>
      <w:r>
        <w:t xml:space="preserve">Qualitative analysis of conversation examples</w:t>
      </w:r>
    </w:p>
    <w:p>
      <w:pPr>
        <w:pStyle w:val="Compact"/>
        <w:numPr>
          <w:ilvl w:val="0"/>
          <w:numId w:val="1033"/>
        </w:numPr>
      </w:pPr>
      <w:r>
        <w:t xml:space="preserve">Comparison with Devdas (2025) baseline results</w:t>
      </w:r>
    </w:p>
    <w:p>
      <w:pPr>
        <w:pStyle w:val="Compact"/>
        <w:numPr>
          <w:ilvl w:val="0"/>
          <w:numId w:val="1033"/>
        </w:numPr>
      </w:pPr>
      <w:r>
        <w:t xml:space="preserve">Publication-quality visualization (time-series plots, bar charts with 95% CI)</w:t>
      </w:r>
    </w:p>
    <w:p>
      <w:pPr>
        <w:pStyle w:val="Compact"/>
        <w:numPr>
          <w:ilvl w:val="0"/>
          <w:numId w:val="1033"/>
        </w:numPr>
      </w:pPr>
      <w:r>
        <w:t xml:space="preserve">Limitation and validity threat analysis</w:t>
      </w:r>
    </w:p>
    <w:p>
      <w:pPr>
        <w:pStyle w:val="FirstParagraph"/>
      </w:pPr>
      <w:r>
        <w:rPr>
          <w:i/>
          <w:iCs/>
        </w:rPr>
        <w:t xml:space="preserve">Week 8 (Documentation):</w:t>
      </w:r>
    </w:p>
    <w:p>
      <w:pPr>
        <w:pStyle w:val="Compact"/>
        <w:numPr>
          <w:ilvl w:val="0"/>
          <w:numId w:val="1034"/>
        </w:numPr>
      </w:pPr>
      <w:r>
        <w:t xml:space="preserve">PMT manuscript integration and coherence review</w:t>
      </w:r>
    </w:p>
    <w:p>
      <w:pPr>
        <w:pStyle w:val="Compact"/>
        <w:numPr>
          <w:ilvl w:val="0"/>
          <w:numId w:val="1034"/>
        </w:numPr>
      </w:pPr>
      <w:r>
        <w:t xml:space="preserve">Comprehensive appendix assembly (prompts, schemas, analysis code)</w:t>
      </w:r>
    </w:p>
    <w:p>
      <w:pPr>
        <w:pStyle w:val="Compact"/>
        <w:numPr>
          <w:ilvl w:val="0"/>
          <w:numId w:val="1034"/>
        </w:numPr>
      </w:pPr>
      <w:r>
        <w:t xml:space="preserve">APA reference formatting and validation</w:t>
      </w:r>
    </w:p>
    <w:p>
      <w:pPr>
        <w:pStyle w:val="Compact"/>
        <w:numPr>
          <w:ilvl w:val="0"/>
          <w:numId w:val="1034"/>
        </w:numPr>
      </w:pPr>
      <w:r>
        <w:t xml:space="preserve">Internal QA and peer review submission</w:t>
      </w:r>
    </w:p>
    <w:p>
      <w:pPr>
        <w:pStyle w:val="FirstParagraph"/>
      </w:pPr>
      <w:r>
        <w:rPr>
          <w:i/>
          <w:iCs/>
        </w:rPr>
        <w:t xml:space="preserve">Week 9 (Finalization):</w:t>
      </w:r>
    </w:p>
    <w:p>
      <w:pPr>
        <w:pStyle w:val="Compact"/>
        <w:numPr>
          <w:ilvl w:val="0"/>
          <w:numId w:val="1035"/>
        </w:numPr>
      </w:pPr>
      <w:r>
        <w:t xml:space="preserve">Integration of supervisor and peer reviewer feedback</w:t>
      </w:r>
    </w:p>
    <w:p>
      <w:pPr>
        <w:pStyle w:val="Compact"/>
        <w:numPr>
          <w:ilvl w:val="0"/>
          <w:numId w:val="1035"/>
        </w:numPr>
      </w:pPr>
      <w:r>
        <w:t xml:space="preserve">Final proofreading and formatting consistency checks</w:t>
      </w:r>
    </w:p>
    <w:p>
      <w:pPr>
        <w:pStyle w:val="Compact"/>
        <w:numPr>
          <w:ilvl w:val="0"/>
          <w:numId w:val="1035"/>
        </w:numPr>
      </w:pPr>
      <w:r>
        <w:t xml:space="preserve">Thesis proposal outline development</w:t>
      </w:r>
    </w:p>
    <w:p>
      <w:pPr>
        <w:pStyle w:val="Compact"/>
        <w:numPr>
          <w:ilvl w:val="0"/>
          <w:numId w:val="1035"/>
        </w:numPr>
      </w:pPr>
      <w:r>
        <w:t xml:space="preserve">Ethical approval planning for thesis phase</w:t>
      </w:r>
    </w:p>
    <w:p>
      <w:pPr>
        <w:pStyle w:val="Compact"/>
        <w:numPr>
          <w:ilvl w:val="0"/>
          <w:numId w:val="1035"/>
        </w:numPr>
      </w:pPr>
      <w:r>
        <w:t xml:space="preserve">Conference-style presentation preparation</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36"/>
        </w:numPr>
      </w:pPr>
      <w:r>
        <w:t xml:space="preserve">N8N Pro license (if needed for advanced features)</w:t>
      </w:r>
    </w:p>
    <w:p>
      <w:pPr>
        <w:pStyle w:val="Compact"/>
        <w:numPr>
          <w:ilvl w:val="0"/>
          <w:numId w:val="1036"/>
        </w:numPr>
      </w:pPr>
      <w:r>
        <w:t xml:space="preserve">LLM API credits: ~$200-500 (GPT-4, fallback to Claude)</w:t>
      </w:r>
    </w:p>
    <w:p>
      <w:pPr>
        <w:pStyle w:val="Compact"/>
        <w:numPr>
          <w:ilvl w:val="0"/>
          <w:numId w:val="1036"/>
        </w:numPr>
      </w:pPr>
      <w:r>
        <w:t xml:space="preserve">Cloud computing resources for backup and collaboration</w:t>
      </w:r>
    </w:p>
    <w:p>
      <w:pPr>
        <w:pStyle w:val="Compact"/>
        <w:numPr>
          <w:ilvl w:val="0"/>
          <w:numId w:val="1036"/>
        </w:numPr>
      </w:pPr>
      <w:r>
        <w:t xml:space="preserve">R/Python with statistical libraries (matplotlib, seaborn, scipy)</w:t>
      </w:r>
    </w:p>
    <w:p>
      <w:pPr>
        <w:pStyle w:val="FirstParagraph"/>
      </w:pPr>
      <w:r>
        <w:rPr>
          <w:i/>
          <w:iCs/>
        </w:rPr>
        <w:t xml:space="preserve">Human Resources:</w:t>
      </w:r>
    </w:p>
    <w:p>
      <w:pPr>
        <w:pStyle w:val="Compact"/>
        <w:numPr>
          <w:ilvl w:val="0"/>
          <w:numId w:val="1037"/>
        </w:numPr>
      </w:pPr>
      <w:r>
        <w:t xml:space="preserve">Supervisor meetings: 2 hours weekly for guidance and feedback</w:t>
      </w:r>
    </w:p>
    <w:p>
      <w:pPr>
        <w:pStyle w:val="Compact"/>
        <w:numPr>
          <w:ilvl w:val="0"/>
          <w:numId w:val="1037"/>
        </w:numPr>
      </w:pPr>
      <w:r>
        <w:t xml:space="preserve">Peer reviewers: 2-3 qualified reviewers for manuscript assessment</w:t>
      </w:r>
    </w:p>
    <w:p>
      <w:pPr>
        <w:pStyle w:val="Compact"/>
        <w:numPr>
          <w:ilvl w:val="0"/>
          <w:numId w:val="1037"/>
        </w:numPr>
      </w:pPr>
      <w:r>
        <w:t xml:space="preserve">Psychology domain expert: Personality profile validation</w:t>
      </w:r>
    </w:p>
    <w:p>
      <w:pPr>
        <w:pStyle w:val="Compact"/>
        <w:numPr>
          <w:ilvl w:val="0"/>
          <w:numId w:val="1037"/>
        </w:numPr>
      </w:pPr>
      <w:r>
        <w:t xml:space="preserve">Technical support: N8N and API troubleshooting as needed</w:t>
      </w:r>
    </w:p>
    <w:p>
      <w:pPr>
        <w:pStyle w:val="FirstParagraph"/>
      </w:pPr>
      <w:r>
        <w:rPr>
          <w:i/>
          <w:iCs/>
        </w:rPr>
        <w:t xml:space="preserve">Institutional Support:</w:t>
      </w:r>
    </w:p>
    <w:p>
      <w:pPr>
        <w:pStyle w:val="Compact"/>
        <w:numPr>
          <w:ilvl w:val="0"/>
          <w:numId w:val="1038"/>
        </w:numPr>
      </w:pPr>
      <w:r>
        <w:t xml:space="preserve">Access to academic databases (ACM, IEEE, PsycINFO)</w:t>
      </w:r>
    </w:p>
    <w:p>
      <w:pPr>
        <w:pStyle w:val="Compact"/>
        <w:numPr>
          <w:ilvl w:val="0"/>
          <w:numId w:val="1038"/>
        </w:numPr>
      </w:pPr>
      <w:r>
        <w:t xml:space="preserve">Computational resources for data analysis and visualization</w:t>
      </w:r>
    </w:p>
    <w:p>
      <w:pPr>
        <w:pStyle w:val="Compact"/>
        <w:numPr>
          <w:ilvl w:val="0"/>
          <w:numId w:val="1038"/>
        </w:numPr>
      </w:pPr>
      <w:r>
        <w:t xml:space="preserve">Presentation opportunities for feedback and validation</w:t>
      </w:r>
    </w:p>
    <w:p>
      <w:pPr>
        <w:pStyle w:val="Compact"/>
        <w:numPr>
          <w:ilvl w:val="0"/>
          <w:numId w:val="1038"/>
        </w:numPr>
      </w:pPr>
      <w:r>
        <w:t xml:space="preserve">Ethics board consultation for future human studies</w:t>
      </w:r>
    </w:p>
    <w:bookmarkEnd w:id="43"/>
    <w:bookmarkStart w:id="44"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39"/>
        </w:numPr>
      </w:pPr>
      <w:r>
        <w:t xml:space="preserve">Validate simulated personality profiles with psychology domain experts</w:t>
      </w:r>
    </w:p>
    <w:p>
      <w:pPr>
        <w:pStyle w:val="Compact"/>
        <w:numPr>
          <w:ilvl w:val="0"/>
          <w:numId w:val="1039"/>
        </w:numPr>
      </w:pPr>
      <w:r>
        <w:t xml:space="preserve">Supplement extreme profiles (Type A/B) with mid-range combinations (Type C)</w:t>
      </w:r>
    </w:p>
    <w:p>
      <w:pPr>
        <w:pStyle w:val="Compact"/>
        <w:numPr>
          <w:ilvl w:val="0"/>
          <w:numId w:val="1039"/>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40"/>
        </w:numPr>
      </w:pPr>
      <w:r>
        <w:t xml:space="preserve">Fixed evaluation prompts with cryptographic hashing to prevent drift</w:t>
      </w:r>
    </w:p>
    <w:p>
      <w:pPr>
        <w:pStyle w:val="Compact"/>
        <w:numPr>
          <w:ilvl w:val="0"/>
          <w:numId w:val="1040"/>
        </w:numPr>
      </w:pPr>
      <w:r>
        <w:t xml:space="preserve">Multiple independent evaluation runs (3×) with consistency analysis</w:t>
      </w:r>
    </w:p>
    <w:p>
      <w:pPr>
        <w:pStyle w:val="Compact"/>
        <w:numPr>
          <w:ilvl w:val="0"/>
          <w:numId w:val="1040"/>
        </w:numPr>
      </w:pPr>
      <w:r>
        <w:t xml:space="preserve">Randomized assessment order to prevent systematic biases</w:t>
      </w:r>
    </w:p>
    <w:p>
      <w:pPr>
        <w:pStyle w:val="Compact"/>
        <w:numPr>
          <w:ilvl w:val="0"/>
          <w:numId w:val="1040"/>
        </w:numPr>
      </w:pPr>
      <w:r>
        <w:t xml:space="preserve">Human spot-checking of automated evaluations (10% sample)</w:t>
      </w:r>
    </w:p>
    <w:p>
      <w:pPr>
        <w:pStyle w:val="Compact"/>
        <w:numPr>
          <w:ilvl w:val="0"/>
          <w:numId w:val="1040"/>
        </w:numPr>
      </w:pPr>
      <w:r>
        <w:t xml:space="preserve">Inter-rater reliability testing in thesis phase</w:t>
      </w:r>
    </w:p>
    <w:p>
      <w:pPr>
        <w:pStyle w:val="FirstParagraph"/>
      </w:pPr>
      <w:r>
        <w:rPr>
          <w:i/>
          <w:iCs/>
        </w:rPr>
        <w:t xml:space="preserve">Technical Robustness:</w:t>
      </w:r>
    </w:p>
    <w:p>
      <w:pPr>
        <w:pStyle w:val="Compact"/>
        <w:numPr>
          <w:ilvl w:val="0"/>
          <w:numId w:val="1041"/>
        </w:numPr>
      </w:pPr>
      <w:r>
        <w:t xml:space="preserve">Systematic prompt versioning with semantic version numbers (v1.0.0)</w:t>
      </w:r>
    </w:p>
    <w:p>
      <w:pPr>
        <w:pStyle w:val="Compact"/>
        <w:numPr>
          <w:ilvl w:val="0"/>
          <w:numId w:val="1041"/>
        </w:numPr>
      </w:pPr>
      <w:r>
        <w:t xml:space="preserve">A/B testing of prompt variations to identify optimal formulations</w:t>
      </w:r>
    </w:p>
    <w:p>
      <w:pPr>
        <w:pStyle w:val="Compact"/>
        <w:numPr>
          <w:ilvl w:val="0"/>
          <w:numId w:val="1041"/>
        </w:numPr>
      </w:pPr>
      <w:r>
        <w:t xml:space="preserve">Comprehensive auditing of generated directives</w:t>
      </w:r>
    </w:p>
    <w:p>
      <w:pPr>
        <w:pStyle w:val="Compact"/>
        <w:numPr>
          <w:ilvl w:val="0"/>
          <w:numId w:val="1041"/>
        </w:numPr>
      </w:pPr>
      <w:r>
        <w:t xml:space="preserve">Maintenance of prompt libraries with detailed change logs</w:t>
      </w:r>
    </w:p>
    <w:p>
      <w:pPr>
        <w:pStyle w:val="FirstParagraph"/>
      </w:pPr>
      <w:r>
        <w:rPr>
          <w:i/>
          <w:iCs/>
        </w:rPr>
        <w:t xml:space="preserve">Reproducibility Assurance:</w:t>
      </w:r>
    </w:p>
    <w:p>
      <w:pPr>
        <w:pStyle w:val="Compact"/>
        <w:numPr>
          <w:ilvl w:val="0"/>
          <w:numId w:val="1042"/>
        </w:numPr>
      </w:pPr>
      <w:r>
        <w:t xml:space="preserve">Pin specific model versions with documented API endpoints</w:t>
      </w:r>
    </w:p>
    <w:p>
      <w:pPr>
        <w:pStyle w:val="Compact"/>
        <w:numPr>
          <w:ilvl w:val="0"/>
          <w:numId w:val="1042"/>
        </w:numPr>
      </w:pPr>
      <w:r>
        <w:t xml:space="preserve">Fix random seeds for all stochastic processes</w:t>
      </w:r>
    </w:p>
    <w:p>
      <w:pPr>
        <w:pStyle w:val="Compact"/>
        <w:numPr>
          <w:ilvl w:val="0"/>
          <w:numId w:val="1042"/>
        </w:numPr>
      </w:pPr>
      <w:r>
        <w:t xml:space="preserve">Archive complete configuration snapshots for each experimental run</w:t>
      </w:r>
    </w:p>
    <w:p>
      <w:pPr>
        <w:pStyle w:val="Compact"/>
        <w:numPr>
          <w:ilvl w:val="0"/>
          <w:numId w:val="1042"/>
        </w:numPr>
      </w:pPr>
      <w:r>
        <w:t xml:space="preserve">Comprehensive logging of all system interactions</w:t>
      </w:r>
    </w:p>
    <w:p>
      <w:pPr>
        <w:pStyle w:val="Compact"/>
        <w:numPr>
          <w:ilvl w:val="0"/>
          <w:numId w:val="1042"/>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43"/>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43"/>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43"/>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43"/>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44"/>
        </w:numPr>
      </w:pPr>
      <w:r>
        <w:t xml:space="preserve">Ready access to OpenAI GPT-4, Anthropic Claude with equivalent API interfaces</w:t>
      </w:r>
    </w:p>
    <w:p>
      <w:pPr>
        <w:pStyle w:val="Compact"/>
        <w:numPr>
          <w:ilvl w:val="0"/>
          <w:numId w:val="1044"/>
        </w:numPr>
      </w:pPr>
      <w:r>
        <w:t xml:space="preserve">All prompts and evaluation procedures designed to be provider-agnostic</w:t>
      </w:r>
    </w:p>
    <w:p>
      <w:pPr>
        <w:pStyle w:val="Compact"/>
        <w:numPr>
          <w:ilvl w:val="0"/>
          <w:numId w:val="1044"/>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45"/>
        </w:numPr>
      </w:pPr>
      <w:r>
        <w:t xml:space="preserve">Human evaluation with trained raters (n=30) if automated evaluation proves unreliable</w:t>
      </w:r>
    </w:p>
    <w:p>
      <w:pPr>
        <w:pStyle w:val="Compact"/>
        <w:numPr>
          <w:ilvl w:val="0"/>
          <w:numId w:val="1045"/>
        </w:numPr>
      </w:pPr>
      <w:r>
        <w:t xml:space="preserve">Evaluation rubrics interpretable by both automated and human assessors</w:t>
      </w:r>
    </w:p>
    <w:p>
      <w:pPr>
        <w:pStyle w:val="Compact"/>
        <w:numPr>
          <w:ilvl w:val="0"/>
          <w:numId w:val="1045"/>
        </w:numPr>
      </w:pPr>
      <w:r>
        <w:t xml:space="preserve">Relationships with qualified evaluators for rapid deployment</w:t>
      </w:r>
    </w:p>
    <w:p>
      <w:pPr>
        <w:pStyle w:val="FirstParagraph"/>
      </w:pPr>
      <w:r>
        <w:rPr>
          <w:i/>
          <w:iCs/>
        </w:rPr>
        <w:t xml:space="preserve">Scope Adjustment Gates:</w:t>
      </w:r>
    </w:p>
    <w:p>
      <w:pPr>
        <w:pStyle w:val="Compact"/>
        <w:numPr>
          <w:ilvl w:val="0"/>
          <w:numId w:val="1046"/>
        </w:numPr>
      </w:pPr>
      <w:r>
        <w:rPr>
          <w:b/>
          <w:bCs/>
        </w:rPr>
        <w:t xml:space="preserve">Evaluator consistency &lt; 0.75 after two fixes:</w:t>
      </w:r>
      <w:r>
        <w:t xml:space="preserve"> </w:t>
      </w:r>
      <w:r>
        <w:t xml:space="preserve">Switch to human evaluation sample; freeze prompt changes</w:t>
      </w:r>
    </w:p>
    <w:p>
      <w:pPr>
        <w:pStyle w:val="Compact"/>
        <w:numPr>
          <w:ilvl w:val="0"/>
          <w:numId w:val="1046"/>
        </w:numPr>
      </w:pPr>
      <w:r>
        <w:rPr>
          <w:b/>
          <w:bCs/>
        </w:rPr>
        <w:t xml:space="preserve">JSON compliance &lt; 98.5% for two weeks:</w:t>
      </w:r>
      <w:r>
        <w:t xml:space="preserve"> </w:t>
      </w:r>
      <w:r>
        <w:t xml:space="preserve">Prioritize contract hardening over feature work</w:t>
      </w:r>
    </w:p>
    <w:p>
      <w:pPr>
        <w:pStyle w:val="Compact"/>
        <w:numPr>
          <w:ilvl w:val="0"/>
          <w:numId w:val="1046"/>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47"/>
        </w:numPr>
      </w:pPr>
      <w:r>
        <w:t xml:space="preserve">Built-in buffers for unexpected challenges</w:t>
      </w:r>
    </w:p>
    <w:p>
      <w:pPr>
        <w:pStyle w:val="Compact"/>
        <w:numPr>
          <w:ilvl w:val="0"/>
          <w:numId w:val="1047"/>
        </w:numPr>
      </w:pPr>
      <w:r>
        <w:t xml:space="preserve">Non-critical features identified for potential deferral to thesis phase</w:t>
      </w:r>
    </w:p>
    <w:p>
      <w:pPr>
        <w:pStyle w:val="Compact"/>
        <w:numPr>
          <w:ilvl w:val="0"/>
          <w:numId w:val="1047"/>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48"/>
        </w:numPr>
      </w:pPr>
      <w:r>
        <w:t xml:space="preserve">Progress against planned milestones</w:t>
      </w:r>
    </w:p>
    <w:p>
      <w:pPr>
        <w:pStyle w:val="Compact"/>
        <w:numPr>
          <w:ilvl w:val="0"/>
          <w:numId w:val="1048"/>
        </w:numPr>
      </w:pPr>
      <w:r>
        <w:t xml:space="preserve">Emergence of new risks or changes in existing risk profiles</w:t>
      </w:r>
    </w:p>
    <w:p>
      <w:pPr>
        <w:pStyle w:val="Compact"/>
        <w:numPr>
          <w:ilvl w:val="0"/>
          <w:numId w:val="1048"/>
        </w:numPr>
      </w:pPr>
      <w:r>
        <w:t xml:space="preserve">Effectiveness of current mitigation strategies</w:t>
      </w:r>
    </w:p>
    <w:p>
      <w:pPr>
        <w:pStyle w:val="Compact"/>
        <w:numPr>
          <w:ilvl w:val="0"/>
          <w:numId w:val="1048"/>
        </w:numPr>
      </w:pPr>
      <w:r>
        <w:t xml:space="preserve">Need for additional resources or support</w:t>
      </w:r>
    </w:p>
    <w:p>
      <w:pPr>
        <w:pStyle w:val="FirstParagraph"/>
      </w:pPr>
      <w:r>
        <w:rPr>
          <w:i/>
          <w:iCs/>
        </w:rPr>
        <w:t xml:space="preserve">Stakeholder Communication:</w:t>
      </w:r>
    </w:p>
    <w:p>
      <w:pPr>
        <w:pStyle w:val="Compact"/>
        <w:numPr>
          <w:ilvl w:val="0"/>
          <w:numId w:val="1049"/>
        </w:numPr>
      </w:pPr>
      <w:r>
        <w:t xml:space="preserve">Regular updates to supervisors with explicit risk status reporting</w:t>
      </w:r>
    </w:p>
    <w:p>
      <w:pPr>
        <w:pStyle w:val="Compact"/>
        <w:numPr>
          <w:ilvl w:val="0"/>
          <w:numId w:val="1049"/>
        </w:numPr>
      </w:pPr>
      <w:r>
        <w:t xml:space="preserve">Early escalation of issues requiring additional resources or guidance</w:t>
      </w:r>
    </w:p>
    <w:p>
      <w:pPr>
        <w:pStyle w:val="Compact"/>
        <w:numPr>
          <w:ilvl w:val="0"/>
          <w:numId w:val="1049"/>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4"/>
    <w:bookmarkEnd w:id="45"/>
    <w:bookmarkStart w:id="76"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6">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r>
        <w:t xml:space="preserve"> </w:t>
      </w:r>
      <w:hyperlink r:id="rId47">
        <w:r>
          <w:rPr>
            <w:rStyle w:val="Hyperlink"/>
          </w:rPr>
          <w:t xml:space="preserve">https://doi.org/10.1109/MSP.2021.3106228</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48">
        <w:r>
          <w:rPr>
            <w:rStyle w:val="Hyperlink"/>
          </w:rPr>
          <w:t xml:space="preserve">https://doi.org/10.1007/s11205-020-02320-9</w:t>
        </w:r>
      </w:hyperlink>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49">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0">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1">
        <w:r>
          <w:rPr>
            <w:rStyle w:val="Hyperlink"/>
          </w:rPr>
          <w:t xml:space="preserve">https://doi.org/10.1109/ICCBD-AI59465.2023.00064</w:t>
        </w:r>
      </w:hyperlink>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r>
        <w:t xml:space="preserve"> </w:t>
      </w:r>
      <w:hyperlink r:id="rId52">
        <w:r>
          <w:rPr>
            <w:rStyle w:val="Hyperlink"/>
          </w:rPr>
          <w:t xml:space="preserve">https://doi.org/10.1080/01924788.2012.702309</w:t>
        </w:r>
      </w:hyperlink>
    </w:p>
    <w:p>
      <w:pPr>
        <w:pStyle w:val="BodyText"/>
      </w:pPr>
      <w:r>
        <w:t xml:space="preserve">De Freitas, J., Huang, S.-C., Pradelski, B. S. R., &amp; Suskind, D. (2024). AI companions reduce loneliness (Working Paper No. 24-078). The Wharton School.</w:t>
      </w:r>
      <w:r>
        <w:t xml:space="preserve"> </w:t>
      </w:r>
      <w:hyperlink r:id="rId53">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r>
        <w:t xml:space="preserve"> </w:t>
      </w:r>
      <w:r>
        <w:rPr>
          <w:i/>
          <w:iCs/>
        </w:rPr>
        <w:t xml:space="preserve">Note: Completed December 2024; available from HSLU institutional repository upon request.</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4">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5">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56">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57">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8">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59">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0">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1">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2">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3">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r>
        <w:t xml:space="preserve"> </w:t>
      </w:r>
      <w:hyperlink r:id="rId64">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5">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6">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7">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68">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69">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0">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1">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2">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3">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4">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5">
        <w:r>
          <w:rPr>
            <w:rStyle w:val="Hyperlink"/>
          </w:rPr>
          <w:t xml:space="preserve">https://doi.org/10.48550/arXiv.2308.11584</w:t>
        </w:r>
      </w:hyperlink>
    </w:p>
    <w:p>
      <w:r>
        <w:pict>
          <v:rect style="width:0;height:1.5pt" o:hralign="center" o:hrstd="t" o:hr="t"/>
        </w:pict>
      </w:r>
    </w:p>
    <w:bookmarkEnd w:id="76"/>
    <w:bookmarkStart w:id="80"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77"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50"/>
        </w:numPr>
      </w:pPr>
      <w:r>
        <w:t xml:space="preserve">This prompt is executed by the Verification Node in the N8N workflow (see Section 4.2, Table 3)</w:t>
      </w:r>
    </w:p>
    <w:p>
      <w:pPr>
        <w:pStyle w:val="Compact"/>
        <w:numPr>
          <w:ilvl w:val="0"/>
          <w:numId w:val="1050"/>
        </w:numPr>
      </w:pPr>
      <w:r>
        <w:t xml:space="preserve">Model: GPT-4 or Gemini-1.5-Pro with temperature=0 for consistency</w:t>
      </w:r>
    </w:p>
    <w:p>
      <w:pPr>
        <w:pStyle w:val="Compact"/>
        <w:numPr>
          <w:ilvl w:val="0"/>
          <w:numId w:val="1050"/>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50"/>
        </w:numPr>
      </w:pPr>
      <w:r>
        <w:t xml:space="preserve">Output is parsed using regex pattern to extract five criterion scores</w:t>
      </w:r>
    </w:p>
    <w:p>
      <w:pPr>
        <w:pStyle w:val="Compact"/>
        <w:numPr>
          <w:ilvl w:val="0"/>
          <w:numId w:val="1050"/>
        </w:numPr>
      </w:pPr>
      <w:r>
        <w:t xml:space="preserve">Failed parses default to neutral baseline scores (all "Partial") to maintain workflow stability</w:t>
      </w:r>
    </w:p>
    <w:bookmarkEnd w:id="77"/>
    <w:bookmarkStart w:id="78"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51"/>
        </w:numPr>
      </w:pPr>
      <w:r>
        <w:rPr>
          <w:b/>
          <w:bCs/>
        </w:rPr>
        <w:t xml:space="preserve">Row-level scoring:</w:t>
      </w:r>
      <w:r>
        <w:t xml:space="preserve"> </w:t>
      </w:r>
      <w:r>
        <w:t xml:space="preserve">Sum of all criterion scores for single interaction</w:t>
      </w:r>
    </w:p>
    <w:p>
      <w:pPr>
        <w:pStyle w:val="Compact"/>
        <w:numPr>
          <w:ilvl w:val="0"/>
          <w:numId w:val="1051"/>
        </w:numPr>
      </w:pPr>
      <w:r>
        <w:rPr>
          <w:b/>
          <w:bCs/>
        </w:rPr>
        <w:t xml:space="preserve">Bot-level scoring:</w:t>
      </w:r>
      <w:r>
        <w:t xml:space="preserve"> </w:t>
      </w:r>
      <w:r>
        <w:t xml:space="preserve">Average of all row scores for individual bot instance</w:t>
      </w:r>
    </w:p>
    <w:p>
      <w:pPr>
        <w:pStyle w:val="Compact"/>
        <w:numPr>
          <w:ilvl w:val="0"/>
          <w:numId w:val="1051"/>
        </w:numPr>
      </w:pPr>
      <w:r>
        <w:rPr>
          <w:b/>
          <w:bCs/>
        </w:rPr>
        <w:t xml:space="preserve">Condition-level scoring:</w:t>
      </w:r>
      <w:r>
        <w:t xml:space="preserve"> </w:t>
      </w:r>
      <w:r>
        <w:t xml:space="preserve">Average across all bots in regulated or baseline condition</w:t>
      </w:r>
    </w:p>
    <w:p>
      <w:pPr>
        <w:pStyle w:val="Compact"/>
        <w:numPr>
          <w:ilvl w:val="0"/>
          <w:numId w:val="1051"/>
        </w:numPr>
      </w:pPr>
      <w:r>
        <w:rPr>
          <w:b/>
          <w:bCs/>
        </w:rPr>
        <w:t xml:space="preserve">Statistical analysis:</w:t>
      </w:r>
      <w:r>
        <w:t xml:space="preserve"> </w:t>
      </w:r>
      <w:r>
        <w:t xml:space="preserve">T-tests, effect sizes, confidence intervals for group comparisons</w:t>
      </w:r>
    </w:p>
    <w:p>
      <w:pPr>
        <w:pStyle w:val="FirstParagraph"/>
      </w:pPr>
      <w:r>
        <w:rPr>
          <w:b/>
          <w:bCs/>
        </w:rPr>
        <w:t xml:space="preserve">B.3 Reproducibility and Technical Documentation Access</w:t>
      </w:r>
    </w:p>
    <w:p>
      <w:pPr>
        <w:pStyle w:val="BodyText"/>
      </w:pPr>
      <w:r>
        <w:t xml:space="preserve">For complete technical implementations beyond this preliminary study scope:</w:t>
      </w:r>
    </w:p>
    <w:p>
      <w:pPr>
        <w:pStyle w:val="Compact"/>
        <w:numPr>
          <w:ilvl w:val="0"/>
          <w:numId w:val="1052"/>
        </w:numPr>
      </w:pPr>
      <w:r>
        <w:rPr>
          <w:b/>
          <w:bCs/>
        </w:rPr>
        <w:t xml:space="preserve">Full N8N workflow configurations:</w:t>
      </w:r>
      <w:r>
        <w:t xml:space="preserve"> </w:t>
      </w:r>
      <w:r>
        <w:t xml:space="preserve">See</w:t>
      </w:r>
      <w:r>
        <w:t xml:space="preserve"> </w:t>
      </w:r>
      <w:r>
        <w:rPr>
          <w:rStyle w:val="VerbatimChar"/>
        </w:rPr>
        <w:t xml:space="preserve">preliminary-studies/w9-Technical-Specifications/workflows/webhook-personality-pipeline.json</w:t>
      </w:r>
    </w:p>
    <w:p>
      <w:pPr>
        <w:pStyle w:val="Compact"/>
        <w:numPr>
          <w:ilvl w:val="0"/>
          <w:numId w:val="1052"/>
        </w:numPr>
      </w:pPr>
      <w:r>
        <w:rPr>
          <w:b/>
          <w:bCs/>
        </w:rPr>
        <w:t xml:space="preserve">Database schemas and migration scripts:</w:t>
      </w:r>
      <w:r>
        <w:t xml:space="preserve"> </w:t>
      </w:r>
      <w:r>
        <w:t xml:space="preserve">See</w:t>
      </w:r>
      <w:r>
        <w:t xml:space="preserve"> </w:t>
      </w:r>
      <w:r>
        <w:rPr>
          <w:rStyle w:val="VerbatimChar"/>
        </w:rPr>
        <w:t xml:space="preserve">preliminary-studies/w9-Technical-Specifications/database/</w:t>
      </w:r>
    </w:p>
    <w:p>
      <w:pPr>
        <w:pStyle w:val="Compact"/>
        <w:numPr>
          <w:ilvl w:val="0"/>
          <w:numId w:val="1052"/>
        </w:numPr>
      </w:pPr>
      <w:r>
        <w:rPr>
          <w:b/>
          <w:bCs/>
        </w:rPr>
        <w:t xml:space="preserve">Statistical analysis pipelines:</w:t>
      </w:r>
      <w:r>
        <w:t xml:space="preserve"> </w:t>
      </w:r>
      <w:r>
        <w:t xml:space="preserve">Available in separate technical documentation upon request from the author or supervisor</w:t>
      </w:r>
    </w:p>
    <w:p>
      <w:pPr>
        <w:pStyle w:val="Compact"/>
        <w:numPr>
          <w:ilvl w:val="0"/>
          <w:numId w:val="1052"/>
        </w:numPr>
      </w:pPr>
      <w:r>
        <w:rPr>
          <w:b/>
          <w:bCs/>
        </w:rPr>
        <w:t xml:space="preserve">Docker Compose deployment configuration:</w:t>
      </w:r>
      <w:r>
        <w:t xml:space="preserve"> </w:t>
      </w:r>
      <w:r>
        <w:t xml:space="preserve">See</w:t>
      </w:r>
      <w:r>
        <w:t xml:space="preserve"> </w:t>
      </w:r>
      <w:r>
        <w:rPr>
          <w:rStyle w:val="VerbatimChar"/>
        </w:rPr>
        <w:t xml:space="preserve">preliminary-studies/w9-Technical-Specifications/deployment/docker-compose.yml</w:t>
      </w:r>
    </w:p>
    <w:p>
      <w:pPr>
        <w:pStyle w:val="FirstParagraph"/>
      </w:pPr>
      <w:r>
        <w:t xml:space="preserve">All referenced files are maintained in the project repository:</w:t>
      </w:r>
      <w:r>
        <w:t xml:space="preserve"> </w:t>
      </w:r>
      <w:r>
        <w:rPr>
          <w:rStyle w:val="VerbatimChar"/>
        </w:rPr>
        <w:t xml:space="preserve">/Users/huaduojiejia/MyProject/hslu/2026/preliminary-studies/</w:t>
      </w:r>
    </w:p>
    <w:p>
      <w:pPr>
        <w:pStyle w:val="BodyText"/>
      </w:pPr>
      <w:r>
        <w:rPr>
          <w:b/>
          <w:bCs/>
        </w:rPr>
        <w:t xml:space="preserve">Note:</w:t>
      </w:r>
      <w:r>
        <w:t xml:space="preserve"> </w:t>
      </w:r>
      <w:r>
        <w:t xml:space="preserve">Appendices C and D (N8N node code, statistical analysis scripts) from version 2.3.1 were moved to separate technical documentation to streamline this formal preliminary study. They remain available for implementation teams requiring detailed technical specifications.</w:t>
      </w:r>
    </w:p>
    <w:bookmarkEnd w:id="78"/>
    <w:bookmarkStart w:id="79"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(JavaScript Object Notation):</w:t>
      </w:r>
      <w:r>
        <w:t xml:space="preserve"> </w:t>
      </w:r>
      <w:r>
        <w:t xml:space="preserve">A lightweight, machine-parsable data interchange format using key-value pairs and arrays. Enables structured data exchange between system components with strict schema validation.</w:t>
      </w:r>
    </w:p>
    <w:p>
      <w:pPr>
        <w:pStyle w:val="BodyText"/>
      </w:pPr>
      <w:r>
        <w:rPr>
          <w:b/>
          <w:bCs/>
        </w:rPr>
        <w:t xml:space="preserve">JSON Contracts:</w:t>
      </w:r>
      <w:r>
        <w:t xml:space="preserve"> </w:t>
      </w:r>
      <w:r>
        <w:t xml:space="preserve">Standardized data formats using JSON that define the exact structure of inputs and outputs for each system module, ensuring interoperability and enabling systematic testing.</w:t>
      </w:r>
    </w:p>
    <w:p>
      <w:pPr>
        <w:pStyle w:val="BodyText"/>
      </w:pPr>
      <w:r>
        <w:rPr>
          <w:b/>
          <w:bCs/>
        </w:rPr>
        <w:t xml:space="preserve">YAML (Yet Another Markup Language):</w:t>
      </w:r>
      <w:r>
        <w:t xml:space="preserve"> </w:t>
      </w:r>
      <w:r>
        <w:t xml:space="preserve">A human-readable data serialization format commonly used for configuration files. More verbose than JSON but easier for manual editing and maintenance.</w:t>
      </w:r>
    </w:p>
    <w:p>
      <w:pPr>
        <w:pStyle w:val="BodyText"/>
      </w:pPr>
      <w:r>
        <w:rPr>
          <w:b/>
          <w:bCs/>
        </w:rPr>
        <w:t xml:space="preserve">Policy Packs:</w:t>
      </w:r>
      <w:r>
        <w:t xml:space="preserve"> </w:t>
      </w:r>
      <w:r>
        <w:t xml:space="preserve">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53"/>
        </w:numPr>
      </w:pPr>
      <w:r>
        <w:rPr>
          <w:b/>
          <w:bCs/>
        </w:rPr>
        <w:t xml:space="preserve">Total Length:</w:t>
      </w:r>
      <w:r>
        <w:t xml:space="preserve"> </w:t>
      </w:r>
      <w:r>
        <w:t xml:space="preserve">~25 pages (estimated)</w:t>
      </w:r>
    </w:p>
    <w:p>
      <w:pPr>
        <w:pStyle w:val="Compact"/>
        <w:numPr>
          <w:ilvl w:val="0"/>
          <w:numId w:val="1053"/>
        </w:numPr>
      </w:pPr>
      <w:r>
        <w:rPr>
          <w:b/>
          <w:bCs/>
        </w:rPr>
        <w:t xml:space="preserve">Word Count:</w:t>
      </w:r>
      <w:r>
        <w:t xml:space="preserve"> </w:t>
      </w:r>
      <w:r>
        <w:t xml:space="preserve">~12,600 words</w:t>
      </w:r>
    </w:p>
    <w:p>
      <w:pPr>
        <w:pStyle w:val="Compact"/>
        <w:numPr>
          <w:ilvl w:val="0"/>
          <w:numId w:val="1053"/>
        </w:numPr>
      </w:pPr>
      <w:r>
        <w:rPr>
          <w:b/>
          <w:bCs/>
        </w:rPr>
        <w:t xml:space="preserve">Sections:</w:t>
      </w:r>
      <w:r>
        <w:t xml:space="preserve"> </w:t>
      </w:r>
      <w:r>
        <w:t xml:space="preserve">8 main sections plus focused appendices (A, B, C)</w:t>
      </w:r>
    </w:p>
    <w:p>
      <w:pPr>
        <w:pStyle w:val="Compact"/>
        <w:numPr>
          <w:ilvl w:val="0"/>
          <w:numId w:val="1053"/>
        </w:numPr>
      </w:pPr>
      <w:r>
        <w:rPr>
          <w:b/>
          <w:bCs/>
        </w:rPr>
        <w:t xml:space="preserve">Tables:</w:t>
      </w:r>
      <w:r>
        <w:t xml:space="preserve"> </w:t>
      </w:r>
      <w:r>
        <w:t xml:space="preserve">9 numbered tables with captions and technical specifications</w:t>
      </w:r>
    </w:p>
    <w:p>
      <w:pPr>
        <w:pStyle w:val="Compact"/>
        <w:numPr>
          <w:ilvl w:val="1"/>
          <w:numId w:val="1054"/>
        </w:numPr>
      </w:pPr>
      <w:r>
        <w:t xml:space="preserve">Table 1: Limitations vs. Contributions</w:t>
      </w:r>
    </w:p>
    <w:p>
      <w:pPr>
        <w:pStyle w:val="Compact"/>
        <w:numPr>
          <w:ilvl w:val="1"/>
          <w:numId w:val="1054"/>
        </w:numPr>
      </w:pPr>
      <w:r>
        <w:t xml:space="preserve">Table 2: Evaluation Metrics and Targets</w:t>
      </w:r>
    </w:p>
    <w:p>
      <w:pPr>
        <w:pStyle w:val="Compact"/>
        <w:numPr>
          <w:ilvl w:val="1"/>
          <w:numId w:val="1054"/>
        </w:numPr>
      </w:pPr>
      <w:r>
        <w:t xml:space="preserve">Tables 3-9: Technical specifications, workflows, risk matrix</w:t>
      </w:r>
    </w:p>
    <w:p>
      <w:pPr>
        <w:pStyle w:val="Compact"/>
        <w:numPr>
          <w:ilvl w:val="1"/>
          <w:numId w:val="1054"/>
        </w:numPr>
      </w:pPr>
      <w:r>
        <w:t xml:space="preserve">Table B.1: Evaluation rubric (Appendix B)</w:t>
      </w:r>
    </w:p>
    <w:p>
      <w:pPr>
        <w:pStyle w:val="Compact"/>
        <w:numPr>
          <w:ilvl w:val="0"/>
          <w:numId w:val="1053"/>
        </w:numPr>
      </w:pPr>
      <w:r>
        <w:rPr>
          <w:b/>
          <w:bCs/>
        </w:rPr>
        <w:t xml:space="preserve">Figures:</w:t>
      </w:r>
      <w:r>
        <w:t xml:space="preserve"> </w:t>
      </w:r>
      <w:r>
        <w:t xml:space="preserve">3 diagrams with descriptive captions</w:t>
      </w:r>
    </w:p>
    <w:p>
      <w:pPr>
        <w:pStyle w:val="Compact"/>
        <w:numPr>
          <w:ilvl w:val="1"/>
          <w:numId w:val="1055"/>
        </w:numPr>
      </w:pPr>
      <w:r>
        <w:t xml:space="preserve">Figure 1: System Architecture Pipeline (ASCII diagram)</w:t>
      </w:r>
    </w:p>
    <w:p>
      <w:pPr>
        <w:pStyle w:val="Compact"/>
        <w:numPr>
          <w:ilvl w:val="1"/>
          <w:numId w:val="1055"/>
        </w:numPr>
      </w:pPr>
      <w:r>
        <w:t xml:space="preserve">Figure 2: N8N Production Workflow Architecture</w:t>
      </w:r>
    </w:p>
    <w:p>
      <w:pPr>
        <w:pStyle w:val="Compact"/>
        <w:numPr>
          <w:ilvl w:val="1"/>
          <w:numId w:val="1055"/>
        </w:numPr>
      </w:pPr>
      <w:r>
        <w:t xml:space="preserve">Figure 3: Containerized System Architecture and DevOps Infrastructure</w:t>
      </w:r>
    </w:p>
    <w:p>
      <w:pPr>
        <w:pStyle w:val="Compact"/>
        <w:numPr>
          <w:ilvl w:val="0"/>
          <w:numId w:val="1053"/>
        </w:numPr>
      </w:pPr>
      <w:r>
        <w:rPr>
          <w:b/>
          <w:bCs/>
        </w:rPr>
        <w:t xml:space="preserve">Appendices:</w:t>
      </w:r>
      <w:r>
        <w:t xml:space="preserve"> </w:t>
      </w:r>
      <w:r>
        <w:t xml:space="preserve">3 focused appendices (A: Prompts, B: Rubrics, C: Glossary)</w:t>
      </w:r>
    </w:p>
    <w:p>
      <w:pPr>
        <w:pStyle w:val="Compact"/>
        <w:numPr>
          <w:ilvl w:val="1"/>
          <w:numId w:val="1056"/>
        </w:numPr>
      </w:pPr>
      <w:r>
        <w:t xml:space="preserve">Note: Technical configurations and analysis code available in separate technical documentation</w:t>
      </w:r>
    </w:p>
    <w:p>
      <w:pPr>
        <w:pStyle w:val="Compact"/>
        <w:numPr>
          <w:ilvl w:val="0"/>
          <w:numId w:val="1053"/>
        </w:numPr>
      </w:pPr>
      <w:r>
        <w:rPr>
          <w:b/>
          <w:bCs/>
        </w:rPr>
        <w:t xml:space="preserve">References:</w:t>
      </w:r>
      <w:r>
        <w:t xml:space="preserve"> </w:t>
      </w:r>
      <w:r>
        <w:t xml:space="preserve">31 academic sources in APA 7th edition format</w:t>
      </w:r>
    </w:p>
    <w:p>
      <w:pPr>
        <w:pStyle w:val="Compact"/>
        <w:numPr>
          <w:ilvl w:val="1"/>
          <w:numId w:val="1057"/>
        </w:numPr>
      </w:pPr>
      <w:r>
        <w:t xml:space="preserve">Coverage: 2010-2025 (emphasizing recent 2023-2025 LLM research)</w:t>
      </w:r>
    </w:p>
    <w:p>
      <w:pPr>
        <w:pStyle w:val="Compact"/>
        <w:numPr>
          <w:ilvl w:val="1"/>
          <w:numId w:val="1057"/>
        </w:numPr>
      </w:pPr>
      <w:r>
        <w:t xml:space="preserve">DOIs provided for all journal articles and conference papers where available</w:t>
      </w:r>
    </w:p>
    <w:p>
      <w:pPr>
        <w:pStyle w:val="Compact"/>
        <w:numPr>
          <w:ilvl w:val="1"/>
          <w:numId w:val="1057"/>
        </w:numPr>
      </w:pPr>
      <w:r>
        <w:t xml:space="preserve">Diverse sources: personality psychology, HCI, conversational AI, LLMs</w:t>
      </w:r>
    </w:p>
    <w:p>
      <w:pPr>
        <w:pStyle w:val="Compact"/>
        <w:numPr>
          <w:ilvl w:val="0"/>
          <w:numId w:val="1053"/>
        </w:numPr>
      </w:pPr>
      <w:r>
        <w:rPr>
          <w:b/>
          <w:bCs/>
        </w:rPr>
        <w:t xml:space="preserve">Format:</w:t>
      </w:r>
      <w:r>
        <w:t xml:space="preserve"> </w:t>
      </w:r>
      <w:r>
        <w:t xml:space="preserve">Streamlined for readability while maintaining academic rigor</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7/978-3-031-53302-0_25" TargetMode="External" /><Relationship Type="http://schemas.openxmlformats.org/officeDocument/2006/relationships/hyperlink" Id="rId48" Target="https://doi.org/10.1007/s11205-020-02320-9" TargetMode="External" /><Relationship Type="http://schemas.openxmlformats.org/officeDocument/2006/relationships/hyperlink" Id="rId73" Target="https://doi.org/10.1016/j.jrp.2010.04.001" TargetMode="External" /><Relationship Type="http://schemas.openxmlformats.org/officeDocument/2006/relationships/hyperlink" Id="rId58" Target="https://doi.org/10.1016/j.socscimed.2011.11.028" TargetMode="External" /><Relationship Type="http://schemas.openxmlformats.org/officeDocument/2006/relationships/hyperlink" Id="rId61" Target="https://doi.org/10.1037/0022-3514.88.3.547" TargetMode="External" /><Relationship Type="http://schemas.openxmlformats.org/officeDocument/2006/relationships/hyperlink" Id="rId50" Target="https://doi.org/10.1037/1040-3590.4.1.5" TargetMode="External" /><Relationship Type="http://schemas.openxmlformats.org/officeDocument/2006/relationships/hyperlink" Id="rId66" Target="https://doi.org/10.1037/pspp0000020" TargetMode="External" /><Relationship Type="http://schemas.openxmlformats.org/officeDocument/2006/relationships/hyperlink" Id="rId52" Target="https://doi.org/10.1080/01924788.2012.702309" TargetMode="External" /><Relationship Type="http://schemas.openxmlformats.org/officeDocument/2006/relationships/hyperlink" Id="rId68" Target="https://doi.org/10.1101/19000414" TargetMode="External" /><Relationship Type="http://schemas.openxmlformats.org/officeDocument/2006/relationships/hyperlink" Id="rId51" Target="https://doi.org/10.1109/ICCBD-AI59465.2023.00064" TargetMode="External" /><Relationship Type="http://schemas.openxmlformats.org/officeDocument/2006/relationships/hyperlink" Id="rId47" Target="https://doi.org/10.1109/MSP.2021.3106228" TargetMode="External" /><Relationship Type="http://schemas.openxmlformats.org/officeDocument/2006/relationships/hyperlink" Id="rId49" Target="https://doi.org/10.1111/1467-6494.00112" TargetMode="External" /><Relationship Type="http://schemas.openxmlformats.org/officeDocument/2006/relationships/hyperlink" Id="rId60" Target="https://doi.org/10.1111/j.1467-6494.1992.tb00970.x" TargetMode="External" /><Relationship Type="http://schemas.openxmlformats.org/officeDocument/2006/relationships/hyperlink" Id="rId67" Target="https://doi.org/10.1111/jopy.12805" TargetMode="External" /><Relationship Type="http://schemas.openxmlformats.org/officeDocument/2006/relationships/hyperlink" Id="rId56" Target="https://doi.org/10.1145/3085558" TargetMode="External" /><Relationship Type="http://schemas.openxmlformats.org/officeDocument/2006/relationships/hyperlink" Id="rId55" Target="https://doi.org/10.1145/3613905.3650964" TargetMode="External" /><Relationship Type="http://schemas.openxmlformats.org/officeDocument/2006/relationships/hyperlink" Id="rId70" Target="https://doi.org/10.1145/3631700.3665185" TargetMode="External" /><Relationship Type="http://schemas.openxmlformats.org/officeDocument/2006/relationships/hyperlink" Id="rId59" Target="https://doi.org/10.1177/0898264317704533" TargetMode="External" /><Relationship Type="http://schemas.openxmlformats.org/officeDocument/2006/relationships/hyperlink" Id="rId64" Target="https://doi.org/10.1177/2333721415582119" TargetMode="External" /><Relationship Type="http://schemas.openxmlformats.org/officeDocument/2006/relationships/hyperlink" Id="rId57" Target="https://doi.org/10.1371/journal.pone.0219663" TargetMode="External" /><Relationship Type="http://schemas.openxmlformats.org/officeDocument/2006/relationships/hyperlink" Id="rId71" Target="https://doi.org/10.2196/16235" TargetMode="External" /><Relationship Type="http://schemas.openxmlformats.org/officeDocument/2006/relationships/hyperlink" Id="rId69" Target="https://doi.org/10.2196/24712" TargetMode="External" /><Relationship Type="http://schemas.openxmlformats.org/officeDocument/2006/relationships/hyperlink" Id="rId72" Target="https://doi.org/10.24251/HICSS.2022.200" TargetMode="External" /><Relationship Type="http://schemas.openxmlformats.org/officeDocument/2006/relationships/hyperlink" Id="rId63" Target="https://doi.org/10.48550/arXiv.2209.14338" TargetMode="External" /><Relationship Type="http://schemas.openxmlformats.org/officeDocument/2006/relationships/hyperlink" Id="rId75" Target="https://doi.org/10.48550/arXiv.2308.11584" TargetMode="External" /><Relationship Type="http://schemas.openxmlformats.org/officeDocument/2006/relationships/hyperlink" Id="rId46" Target="https://doi.org/10.48550/arXiv.2310.02374" TargetMode="External" /><Relationship Type="http://schemas.openxmlformats.org/officeDocument/2006/relationships/hyperlink" Id="rId74" Target="https://doi.org/10.48550/arXiv.2403.15699" TargetMode="External" /><Relationship Type="http://schemas.openxmlformats.org/officeDocument/2006/relationships/hyperlink" Id="rId53" Target="https://doi.org/10.48550/arXiv.2407.19096" TargetMode="External" /><Relationship Type="http://schemas.openxmlformats.org/officeDocument/2006/relationships/hyperlink" Id="rId62" Target="https://github.com/mem0ai/mem0" TargetMode="External" /><Relationship Type="http://schemas.openxmlformats.org/officeDocument/2006/relationships/hyperlink" Id="rId65"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2025-10-15T13:56:20Z</dcterms:created>
  <dcterms:modified xsi:type="dcterms:W3CDTF">2025-10-15T13:56:20Z</dcterms:modified>
</cp:coreProperties>
</file>

<file path=docProps/custom.xml><?xml version="1.0" encoding="utf-8"?>
<Properties xmlns="http://schemas.openxmlformats.org/officeDocument/2006/custom-properties" xmlns:vt="http://schemas.openxmlformats.org/officeDocument/2006/docPropsVTypes"/>
</file>