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15, 2025</w:t>
      </w:r>
      <w:r>
        <w:br/>
      </w:r>
      <w:r>
        <w:rPr>
          <w:b/>
          <w:bCs/>
        </w:rPr>
        <w:t xml:space="preserve">Version:</w:t>
      </w:r>
      <w:r>
        <w:t xml:space="preserve"> </w:t>
      </w:r>
      <w:r>
        <w:t xml:space="preserve">2.3.3 (Preliminary Study - Publication Quality with Empirical Validation)</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in human-centered AI applications. While conversational AI offers scalable solutions for emotional support and personalized interaction across domains such as workplace coaching, mental health assistance, education, and customer service,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adaptation (stress coaching, customer service, education) by minimizing code changes required for domain transfer.</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6"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the scalability-personalization tradeoff</w:t>
      </w:r>
      <w:r>
        <w:t xml:space="preserve">: while skilled human practitioners can personalize effectively, digital systems designed to address scalability constraints typically sacrifice this adaptive capability, delivering generic responses that fail to account for personality differences.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absence of personality-aware adaptation:</w:t>
      </w:r>
      <w:r>
        <w:t xml:space="preserve"> </w:t>
      </w:r>
      <w:r>
        <w:t xml:space="preserve">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industry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see Appendix C for technical definitions)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through four key innovations beyond prior work:</w:t>
      </w:r>
    </w:p>
    <w:p>
      <w:pPr>
        <w:numPr>
          <w:ilvl w:val="0"/>
          <w:numId w:val="1004"/>
        </w:numPr>
      </w:pPr>
      <w:r>
        <w:rPr>
          <w:b/>
          <w:bCs/>
        </w:rPr>
        <w:t xml:space="preserve">Temporal stability mechanisms (vs. Devdas' static detection):</w:t>
      </w:r>
      <w:r>
        <w:t xml:space="preserve"> </w:t>
      </w:r>
      <w:r>
        <w:t xml:space="preserve">Devdas (2025) performed single-turn personality detection without temporal smoothing, resulting in trait volatility across multi-turn conversations. We introduce EMA-based trait stabilization (α=0.3) with confidence-aware filtering (threshold ≥0.4), achieving convergence within 6-8 turns (Section 4.1). This prevents erratic behavioral shifts from linguistic noise.</w:t>
      </w:r>
    </w:p>
    <w:p>
      <w:pPr>
        <w:numPr>
          <w:ilvl w:val="0"/>
          <w:numId w:val="1004"/>
        </w:numPr>
      </w:pPr>
      <w:r>
        <w:rPr>
          <w:b/>
          <w:bCs/>
        </w:rPr>
        <w:t xml:space="preserve">Production-ready system architecture (vs. research prototype):</w:t>
      </w:r>
      <w:r>
        <w:t xml:space="preserve"> </w:t>
      </w:r>
      <w:r>
        <w:t xml:space="preserve">Devdas validated personality regulation conceptually but did not address deployment infrastructure. We architect a containerized, workflow-orchestrated system (N8N + PostgreSQL + Redis) with RESTful APIs, enabling real-world deployment and longitudinal analysis (Section 4.2, Figure 3).</w:t>
      </w:r>
    </w:p>
    <w:p>
      <w:pPr>
        <w:numPr>
          <w:ilvl w:val="0"/>
          <w:numId w:val="1004"/>
        </w:numPr>
      </w:pPr>
      <w:r>
        <w:rPr>
          <w:b/>
          <w:bCs/>
        </w:rPr>
        <w:t xml:space="preserve">Cross-domain reusability (vs. single-domain focus):</w:t>
      </w:r>
      <w:r>
        <w:t xml:space="preserve"> </w:t>
      </w:r>
      <w:r>
        <w:t xml:space="preserve">Prior work focused on emotional support for loneliness. We implement configurable policy packs (YAML/JSON) that encode domain-specific behavioral rules, enabling transfer to customer service, education, or healthcare with minimal code changes (Section 2.2). This generalizes the approach from proof-of-concept to research infrastructure.</w:t>
      </w:r>
    </w:p>
    <w:p>
      <w:pPr>
        <w:numPr>
          <w:ilvl w:val="0"/>
          <w:numId w:val="1004"/>
        </w:numPr>
      </w:pPr>
      <w:r>
        <w:rPr>
          <w:b/>
          <w:bCs/>
        </w:rPr>
        <w:t xml:space="preserve">Convergence with industrial memory systems:</w:t>
      </w:r>
      <w:r>
        <w:t xml:space="preserve"> </w:t>
      </w:r>
      <w:r>
        <w:t xml:space="preserve">We position personality-aware regulation as complementary to memory-based personalization (ChatGPT Memory, mem0, LangChain). Industrial platforms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modeling. This enables affective alignment that memory retrieval alone cannot provide, defining a hybrid research frontier (Section 1.2).</w:t>
      </w:r>
    </w:p>
    <w:p>
      <w:pPr>
        <w:pStyle w:val="FirstParagraph"/>
      </w:pPr>
      <w:r>
        <w:t xml:space="preserve">These contributions transform Devdas' empirical validation into a reproducible, deployable, and generalizable system architecture suitable for rigorous scientific investigation and practical human-centered applications.</w:t>
      </w:r>
    </w:p>
    <w:p>
      <w:pPr>
        <w:pStyle w:val="BodyText"/>
      </w:pPr>
      <w:r>
        <w:t xml:space="preserve">We optimize the architecture for three core objectives:</w:t>
      </w:r>
    </w:p>
    <w:p>
      <w:pPr>
        <w:pStyle w:val="Compact"/>
        <w:numPr>
          <w:ilvl w:val="0"/>
          <w:numId w:val="1005"/>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5"/>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5"/>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Comparative Analysis - Existing Conversational AI vs. This Architecture</w:t>
      </w:r>
    </w:p>
    <w:p>
      <w:pPr>
        <w:pStyle w:val="BodyText"/>
      </w:pPr>
      <w:r>
        <w:rPr>
          <w:i/>
          <w:iCs/>
        </w:rPr>
        <w:t xml:space="preserve">"Existing systems" encompasses: (1) industrial memory-based platforms (ChatGPT Memory, mem0, LangChain), (2) commercial chatbots without personality adaptation, and (3) research prototypes like Devdas (2025) lacking production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Limitations of Existing Systems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bookmarkEnd w:id="12"/>
    <w:bookmarkStart w:id="13" w:name="Xca643e2d341a1a8e30b421026792f56102b5f96"/>
    <w:p>
      <w:pPr>
        <w:pStyle w:val="Heading3"/>
      </w:pPr>
      <w:r>
        <w:t xml:space="preserve">1.4 Ethical Considerations</w:t>
      </w:r>
    </w:p>
    <w:p>
      <w:pPr>
        <w:pStyle w:val="FirstParagraph"/>
      </w:pP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r>
        <w:pict>
          <v:rect style="width:0;height:1.5pt" o:hralign="center" o:hrstd="t" o:hr="t"/>
        </w:pict>
      </w:r>
    </w:p>
    <w:bookmarkEnd w:id="13"/>
    <w:bookmarkStart w:id="14" w:name="X3b486086e9492d3bbec2feeeee8fc6feee7db35"/>
    <w:p>
      <w:pPr>
        <w:pStyle w:val="Heading3"/>
      </w:pPr>
      <w:r>
        <w:t xml:space="preserve">1.5 Limitations</w:t>
      </w:r>
    </w:p>
    <w:p>
      <w:pPr>
        <w:pStyle w:val="FirstParagraph"/>
      </w:pPr>
      <w:r>
        <w:t xml:space="preserve">Despite the architectural safeguards described in Section 1.4, this preliminary study exhibits several technical and ethical limitations requiring explicit acknowledgment and empirical validation in the thesis phase:</w:t>
      </w:r>
    </w:p>
    <w:p>
      <w:pPr>
        <w:pStyle w:val="BodyText"/>
      </w:pPr>
      <w:r>
        <w:rPr>
          <w:b/>
          <w:bCs/>
        </w:rPr>
        <w:t xml:space="preserve">Technical and algorithmic limitations:</w:t>
      </w:r>
    </w:p>
    <w:p>
      <w:pPr>
        <w:numPr>
          <w:ilvl w:val="0"/>
          <w:numId w:val="1006"/>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6"/>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Ethical and fairness limitations:</w:t>
      </w:r>
    </w:p>
    <w:p>
      <w:pPr>
        <w:numPr>
          <w:ilvl w:val="0"/>
          <w:numId w:val="1007"/>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7"/>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pStyle w:val="FirstParagraph"/>
      </w:pPr>
      <w:r>
        <w:rPr>
          <w:b/>
          <w:bCs/>
        </w:rPr>
        <w:t xml:space="preserve">Validation roadmap for thesis phase.</w:t>
      </w:r>
      <w:r>
        <w:t xml:space="preserve"> </w:t>
      </w:r>
      <w:r>
        <w:t xml:space="preserve">These limitations will be addressed through systematic empirical validation:</w:t>
      </w:r>
    </w:p>
    <w:p>
      <w:pPr>
        <w:pStyle w:val="Compact"/>
        <w:numPr>
          <w:ilvl w:val="0"/>
          <w:numId w:val="1008"/>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8"/>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8"/>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8"/>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8"/>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p>
      <w:r>
        <w:pict>
          <v:rect style="width:0;height:1.5pt" o:hralign="center" o:hrstd="t" o:hr="t"/>
        </w:pict>
      </w:r>
    </w:p>
    <w:bookmarkEnd w:id="14"/>
    <w:bookmarkStart w:id="15" w:name="X27ba1a81dfc3a02bdcf0343a49685b303e2259a"/>
    <w:p>
      <w:pPr>
        <w:pStyle w:val="Heading3"/>
      </w:pPr>
      <w:r>
        <w:t xml:space="preserve">1.6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9"/>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9"/>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9"/>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9"/>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5"/>
    <w:bookmarkEnd w:id="16"/>
    <w:bookmarkStart w:id="21" w:name="Xc96737346c9ae6330e4aae4f85978af39435585"/>
    <w:p>
      <w:pPr>
        <w:pStyle w:val="Heading2"/>
      </w:pPr>
      <w:r>
        <w:t xml:space="preserve">2. Topic Definition</w:t>
      </w:r>
    </w:p>
    <w:bookmarkStart w:id="17"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7"/>
    <w:bookmarkStart w:id="18"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8"/>
    <w:bookmarkStart w:id="19"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as the primary model for personality detection and response generation, with</w:t>
      </w:r>
      <w:r>
        <w:t xml:space="preserve"> </w:t>
      </w:r>
      <w:r>
        <w:rPr>
          <w:b/>
          <w:bCs/>
        </w:rPr>
        <w:t xml:space="preserve">Gemini-1.5-Pro</w:t>
      </w:r>
      <w:r>
        <w:t xml:space="preserve"> </w:t>
      </w:r>
      <w:r>
        <w:t xml:space="preserve">(via Juguang API gateway) as a cost-effective alternative for high-volume deployment. GPT-4 offers excellent structured JSON output through native function calling, strong personality inference capabilities validated in prior work (Miotto et al., 2022), and high API stability (99.9% uptime SLA).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9"/>
    <w:bookmarkStart w:id="20"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10"/>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10"/>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10"/>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20"/>
    <w:bookmarkEnd w:id="21"/>
    <w:bookmarkStart w:id="26" w:name="Xf5a973038885d26b34c79a0213677e66fb9e0dd"/>
    <w:p>
      <w:pPr>
        <w:pStyle w:val="Heading2"/>
      </w:pPr>
      <w:r>
        <w:t xml:space="preserve">3. Research Questions</w:t>
      </w:r>
    </w:p>
    <w:bookmarkStart w:id="22" w:name="X8fae51dd3a88b5cbbc4dc5122d1bccb85be3994"/>
    <w:p>
      <w:pPr>
        <w:pStyle w:val="Heading3"/>
      </w:pPr>
      <w:r>
        <w:t xml:space="preserve">3.1 Primary Research Question</w:t>
      </w:r>
    </w:p>
    <w:p>
      <w:pPr>
        <w:pStyle w:val="FirstParagraph"/>
      </w:pPr>
      <w:r>
        <w:t xml:space="preserve">What architectural mechanisms enable reliable, reproducible personality-aware dialogue adaptation in LLM-based systems, and how do they influence conversational quality in workplace stress coaching contexts?</w:t>
      </w:r>
    </w:p>
    <w:p>
      <w:pPr>
        <w:pStyle w:val="BodyText"/>
      </w:pPr>
      <w:r>
        <w:t xml:space="preserve">This design science question addresses both the construction and evaluation of personality-adaptive chatbot architectures. It encompasses: (i) the technical challenge of designing modular, production-ready systems that integrate continuous personality detection with psychologically grounded behavior regulation; (ii) the algorithmic challenge of achieving temporal stability and confidence-aware adaptation; (iii) the psychological challenge of translating validated personality frameworks (Big Five, Zurich Model) into effective behavioral directives; and (iv) the empirical challenge of demonstrating measurable improvements in conversational quality, emotional alignment, and user-specific needs satisfaction compared to non-adaptive approaches. This framing positions the work as both an architectural contribution and a validation of personality-adaptive dialogue as a scientifically grounded approach to human-centered AI.</w:t>
      </w:r>
    </w:p>
    <w:bookmarkEnd w:id="22"/>
    <w:bookmarkStart w:id="23"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i/>
          <w:iCs/>
        </w:rPr>
        <w:t xml:space="preserve">Measurement Method:</w:t>
      </w:r>
      <w:r>
        <w:t xml:space="preserve"> </w:t>
      </w:r>
      <w:r>
        <w:t xml:space="preserve">Trait variance calculated as moving standard deviation over 5-turn windows: (\sigma_T = \sqrt{\frac{1}{5}\sum_{i=n-4}^{n}(T_i - \bar{T})^2}). Convergence achieved when (\sigma_T &lt; 0.15) for all five OCEAN traits. Detection accuracy validated against ground-truth synthetic profiles using mean absolute error (MAE) and Pearson correlation (target r ≥ 0.75).</w:t>
      </w:r>
    </w:p>
    <w:p>
      <w:pPr>
        <w:pStyle w:val="BodyText"/>
      </w:pPr>
      <w:r>
        <w:rPr>
          <w:b/>
          <w:bCs/>
        </w:rPr>
        <w:t xml:space="preserve">RQ2 - Regulation Strategies:</w:t>
      </w:r>
      <w:r>
        <w:t xml:space="preserve"> </w:t>
      </w:r>
      <w:r>
        <w:t xml:space="preserve">Do intensity-scaled behavioral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i/>
          <w:iCs/>
        </w:rPr>
        <w:t xml:space="preserve">Measurement Method:</w:t>
      </w:r>
      <w:r>
        <w:t xml:space="preserve"> </w:t>
      </w:r>
      <w:r>
        <w:t xml:space="preserve">Rubric-based scoring (Appendix B) across five criteria: Detection Accuracy, Regulation Effectiveness, Emotional Tone, Relevance &amp; Coherence, Personality Needs Addressed. Each criterion scored as Yes (2), Partial (1), No (0). Primary metric: average score improvement (regulated vs. baseline) tested via paired t-test with target effect size d ≥ 0.5 (medium). Intent classification accuracy measured via confusion matrix against ground-truth mode labels.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i/>
          <w:iCs/>
        </w:rPr>
        <w:t xml:space="preserve">Measurement Method:</w:t>
      </w:r>
      <w:r>
        <w:t xml:space="preserve"> </w:t>
      </w:r>
      <w:r>
        <w:t xml:space="preserve">Inter-run reliability calculated via Pearson correlation between three independent evaluation runs on identical conversation set (n=50 interactions). Human validation subset (n=20 interactions, rated by 2 annotators) compared against LLM evaluator using Cohen's kappa for categorical agreement (target κ ≥ 0.70). Statistical power analysis conducted for target 20% improvement with alpha=0.05, power=0.80.</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3"/>
    <w:bookmarkStart w:id="24"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11"/>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11"/>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11"/>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11"/>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2"/>
        </w:numPr>
      </w:pPr>
      <w:r>
        <w:rPr>
          <w:b/>
          <w:bCs/>
        </w:rPr>
        <w:t xml:space="preserve">JSON Contract Compliance:</w:t>
      </w:r>
      <w:r>
        <w:t xml:space="preserve"> </w:t>
      </w:r>
      <w:r>
        <w:t xml:space="preserve">≥ 99.5% valid structured outputs from detection and generation modules</w:t>
      </w:r>
    </w:p>
    <w:p>
      <w:pPr>
        <w:pStyle w:val="Compact"/>
        <w:numPr>
          <w:ilvl w:val="0"/>
          <w:numId w:val="1012"/>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2"/>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2"/>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3"/>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3"/>
        </w:numPr>
      </w:pPr>
      <w:r>
        <w:rPr>
          <w:b/>
          <w:bCs/>
        </w:rPr>
        <w:t xml:space="preserve">Secondary Outcomes:</w:t>
      </w:r>
    </w:p>
    <w:p>
      <w:pPr>
        <w:pStyle w:val="Compact"/>
        <w:numPr>
          <w:ilvl w:val="1"/>
          <w:numId w:val="1014"/>
        </w:numPr>
      </w:pPr>
      <w:r>
        <w:t xml:space="preserve">Intent classification accuracy ≥ 85% for three coaching modes</w:t>
      </w:r>
    </w:p>
    <w:p>
      <w:pPr>
        <w:pStyle w:val="Compact"/>
        <w:numPr>
          <w:ilvl w:val="1"/>
          <w:numId w:val="1014"/>
        </w:numPr>
      </w:pPr>
      <w:r>
        <w:t xml:space="preserve">Directive-outcome alignment ≥ 80% (evaluator-assessed)</w:t>
      </w:r>
    </w:p>
    <w:p>
      <w:pPr>
        <w:pStyle w:val="Compact"/>
        <w:numPr>
          <w:ilvl w:val="1"/>
          <w:numId w:val="1014"/>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5"/>
        </w:numPr>
      </w:pPr>
      <w:r>
        <w:t xml:space="preserve">Complete per-turn JSONL traces with OCEAN evolution, directives applied, confidence scores, and response metadata</w:t>
      </w:r>
    </w:p>
    <w:p>
      <w:pPr>
        <w:pStyle w:val="Compact"/>
        <w:numPr>
          <w:ilvl w:val="0"/>
          <w:numId w:val="1015"/>
        </w:numPr>
      </w:pPr>
      <w:r>
        <w:t xml:space="preserve">Reproducible seeds, version-locked models/prompts, and configuration snapshots for all experimental runs</w:t>
      </w:r>
    </w:p>
    <w:p>
      <w:pPr>
        <w:pStyle w:val="Compact"/>
        <w:numPr>
          <w:ilvl w:val="0"/>
          <w:numId w:val="1015"/>
        </w:numPr>
      </w:pPr>
      <w:r>
        <w:t xml:space="preserve">Automated testing suite covering contract validation, EMA convergence, and evaluator determinism</w:t>
      </w:r>
    </w:p>
    <w:bookmarkEnd w:id="24"/>
    <w:bookmarkStart w:id="25"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5"/>
    <w:bookmarkEnd w:id="26"/>
    <w:bookmarkStart w:id="37" w:name="X4e0404407b2823f6ed5ea6a6c1651c2e996b033"/>
    <w:p>
      <w:pPr>
        <w:pStyle w:val="Heading2"/>
      </w:pPr>
      <w:r>
        <w:t xml:space="preserve">4. Methodology</w:t>
      </w:r>
    </w:p>
    <w:bookmarkStart w:id="27"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 The complete workflow implementation is detailed in Section 4.2.</w:t>
      </w:r>
    </w:p>
    <w:p>
      <w:pPr>
        <w:pStyle w:val="BodyText"/>
      </w:pPr>
      <w:r>
        <w:rPr>
          <w:b/>
          <w:bCs/>
        </w:rPr>
        <w:t xml:space="preserve">Core Algorithm: EMA-Based Trait Stabilization</w:t>
      </w:r>
    </w:p>
    <w:p>
      <w:pPr>
        <w:pStyle w:val="BodyText"/>
      </w:pPr>
      <w:r>
        <w:t xml:space="preserve">To prevent erratic personality shifts from single noisy detections, we apply exponential moving average (EMA) smoothing at each conversation turn. This balances responsiveness to genuine trait changes with stability against transient linguistic variations.</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 Full implementation code available in Appendix B.3 technical documentation references.</w:t>
      </w:r>
    </w:p>
    <w:p>
      <w:pPr>
        <w:pStyle w:val="BodyText"/>
      </w:pPr>
      <w:r>
        <w:rPr>
          <w:b/>
          <w:bCs/>
        </w:rPr>
        <w:t xml:space="preserve">Parameter Selection and Sensitivity Analysis</w:t>
      </w:r>
    </w:p>
    <w:p>
      <w:pPr>
        <w:pStyle w:val="BodyText"/>
      </w:pPr>
      <w:r>
        <w:t xml:space="preserve">The smoothing factor α=0.3 was selected after systematic sensitivity testing across α ∈ {0.1, 0.2, 0.3, 0.4, 0.5} using simulated personality profiles. Convergence speed (turns to variance &lt;0.15) and stability (post-convergence variance) were measured across three profile types: extreme positive (all traits +0.8), extreme negative (all traits -0.8), and mixed (realistic trait combinations).</w:t>
      </w:r>
    </w:p>
    <w:p>
      <w:pPr>
        <w:pStyle w:val="BodyText"/>
      </w:pPr>
      <w:r>
        <w:rPr>
          <w:b/>
          <w:bCs/>
        </w:rPr>
        <w:t xml:space="preserve">Table 4a. EMA Parameter Sensitivity Analysis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α Value</w:t>
            </w:r>
          </w:p>
        </w:tc>
        <w:tc>
          <w:tcPr/>
          <w:p>
            <w:pPr>
              <w:pStyle w:val="Compact"/>
              <w:jc w:val="center"/>
            </w:pPr>
            <w:r>
              <w:t xml:space="preserve">Avg Convergence (turns)</w:t>
            </w:r>
          </w:p>
        </w:tc>
        <w:tc>
          <w:tcPr/>
          <w:p>
            <w:pPr>
              <w:pStyle w:val="Compact"/>
              <w:jc w:val="center"/>
            </w:pPr>
            <w:r>
              <w:t xml:space="preserve">Post-Convergence Variance</w:t>
            </w:r>
          </w:p>
        </w:tc>
        <w:tc>
          <w:tcPr/>
          <w:p>
            <w:pPr>
              <w:pStyle w:val="Compact"/>
              <w:jc w:val="center"/>
            </w:pPr>
            <w:r>
              <w:t xml:space="preserve">Responsiveness to Change</w:t>
            </w:r>
          </w:p>
        </w:tc>
        <w:tc>
          <w:tcPr/>
          <w:p>
            <w:pPr>
              <w:pStyle w:val="Compact"/>
              <w:jc w:val="center"/>
            </w:pPr>
            <w:r>
              <w:t xml:space="preserve">Selected</w:t>
            </w:r>
          </w:p>
        </w:tc>
      </w:tr>
      <w:tr>
        <w:tc>
          <w:tcPr/>
          <w:p>
            <w:pPr>
              <w:pStyle w:val="Compact"/>
            </w:pPr>
            <w:r>
              <w:t xml:space="preserve">0.1</w:t>
            </w:r>
          </w:p>
        </w:tc>
        <w:tc>
          <w:tcPr/>
          <w:p>
            <w:pPr>
              <w:pStyle w:val="Compact"/>
              <w:jc w:val="center"/>
            </w:pPr>
            <w:r>
              <w:t xml:space="preserve">12.4 ± 2.1</w:t>
            </w:r>
          </w:p>
        </w:tc>
        <w:tc>
          <w:tcPr/>
          <w:p>
            <w:pPr>
              <w:pStyle w:val="Compact"/>
              <w:jc w:val="center"/>
            </w:pPr>
            <w:r>
              <w:t xml:space="preserve">0.08 ± 0.03</w:t>
            </w:r>
          </w:p>
        </w:tc>
        <w:tc>
          <w:tcPr/>
          <w:p>
            <w:pPr>
              <w:pStyle w:val="Compact"/>
              <w:jc w:val="center"/>
            </w:pPr>
            <w:r>
              <w:t xml:space="preserve">Low (sluggish)</w:t>
            </w:r>
          </w:p>
        </w:tc>
        <w:tc>
          <w:tcPr/>
          <w:p>
            <w:pPr>
              <w:pStyle w:val="Compact"/>
              <w:jc w:val="center"/>
            </w:pPr>
            <w:r>
              <w:t xml:space="preserve">No</w:t>
            </w:r>
          </w:p>
        </w:tc>
      </w:tr>
      <w:tr>
        <w:tc>
          <w:tcPr/>
          <w:p>
            <w:pPr>
              <w:pStyle w:val="Compact"/>
            </w:pPr>
            <w:r>
              <w:t xml:space="preserve">0.2</w:t>
            </w:r>
          </w:p>
        </w:tc>
        <w:tc>
          <w:tcPr/>
          <w:p>
            <w:pPr>
              <w:pStyle w:val="Compact"/>
              <w:jc w:val="center"/>
            </w:pPr>
            <w:r>
              <w:t xml:space="preserve">9.1 ± 1.7</w:t>
            </w:r>
          </w:p>
        </w:tc>
        <w:tc>
          <w:tcPr/>
          <w:p>
            <w:pPr>
              <w:pStyle w:val="Compact"/>
              <w:jc w:val="center"/>
            </w:pPr>
            <w:r>
              <w:t xml:space="preserve">0.11 ± 0.04</w:t>
            </w:r>
          </w:p>
        </w:tc>
        <w:tc>
          <w:tcPr/>
          <w:p>
            <w:pPr>
              <w:pStyle w:val="Compact"/>
              <w:jc w:val="center"/>
            </w:pPr>
            <w:r>
              <w:t xml:space="preserve">Moderate</w:t>
            </w:r>
          </w:p>
        </w:tc>
        <w:tc>
          <w:tcPr/>
          <w:p>
            <w:pPr>
              <w:pStyle w:val="Compact"/>
              <w:jc w:val="center"/>
            </w:pPr>
            <w:r>
              <w:t xml:space="preserve">No</w:t>
            </w:r>
          </w:p>
        </w:tc>
      </w:tr>
      <w:tr>
        <w:tc>
          <w:tcPr/>
          <w:p>
            <w:pPr>
              <w:pStyle w:val="Compact"/>
            </w:pPr>
            <w:r>
              <w:rPr>
                <w:b/>
                <w:bCs/>
              </w:rPr>
              <w:t xml:space="preserve">0.3</w:t>
            </w:r>
          </w:p>
        </w:tc>
        <w:tc>
          <w:tcPr/>
          <w:p>
            <w:pPr>
              <w:pStyle w:val="Compact"/>
              <w:jc w:val="center"/>
            </w:pPr>
            <w:r>
              <w:rPr>
                <w:b/>
                <w:bCs/>
              </w:rPr>
              <w:t xml:space="preserve">7.2 ± 1.3</w:t>
            </w:r>
          </w:p>
        </w:tc>
        <w:tc>
          <w:tcPr/>
          <w:p>
            <w:pPr>
              <w:pStyle w:val="Compact"/>
              <w:jc w:val="center"/>
            </w:pPr>
            <w:r>
              <w:rPr>
                <w:b/>
                <w:bCs/>
              </w:rPr>
              <w:t xml:space="preserve">0.13 ± 0.05</w:t>
            </w:r>
          </w:p>
        </w:tc>
        <w:tc>
          <w:tcPr/>
          <w:p>
            <w:pPr>
              <w:pStyle w:val="Compact"/>
              <w:jc w:val="center"/>
            </w:pPr>
            <w:r>
              <w:rPr>
                <w:b/>
                <w:bCs/>
              </w:rPr>
              <w:t xml:space="preserve">Balanced</w:t>
            </w:r>
          </w:p>
        </w:tc>
        <w:tc>
          <w:tcPr/>
          <w:p>
            <w:pPr>
              <w:pStyle w:val="Compact"/>
              <w:jc w:val="center"/>
            </w:pPr>
            <w:r>
              <w:rPr>
                <w:b/>
                <w:bCs/>
              </w:rPr>
              <w:t xml:space="preserve">Yes</w:t>
            </w:r>
          </w:p>
        </w:tc>
      </w:tr>
      <w:tr>
        <w:tc>
          <w:tcPr/>
          <w:p>
            <w:pPr>
              <w:pStyle w:val="Compact"/>
            </w:pPr>
            <w:r>
              <w:t xml:space="preserve">0.4</w:t>
            </w:r>
          </w:p>
        </w:tc>
        <w:tc>
          <w:tcPr/>
          <w:p>
            <w:pPr>
              <w:pStyle w:val="Compact"/>
              <w:jc w:val="center"/>
            </w:pPr>
            <w:r>
              <w:t xml:space="preserve">5.8 ± 1.1</w:t>
            </w:r>
          </w:p>
        </w:tc>
        <w:tc>
          <w:tcPr/>
          <w:p>
            <w:pPr>
              <w:pStyle w:val="Compact"/>
              <w:jc w:val="center"/>
            </w:pPr>
            <w:r>
              <w:t xml:space="preserve">0.18 ± 0.07</w:t>
            </w:r>
          </w:p>
        </w:tc>
        <w:tc>
          <w:tcPr/>
          <w:p>
            <w:pPr>
              <w:pStyle w:val="Compact"/>
              <w:jc w:val="center"/>
            </w:pPr>
            <w:r>
              <w:t xml:space="preserve">High (volatile)</w:t>
            </w:r>
          </w:p>
        </w:tc>
        <w:tc>
          <w:tcPr/>
          <w:p>
            <w:pPr>
              <w:pStyle w:val="Compact"/>
              <w:jc w:val="center"/>
            </w:pPr>
            <w:r>
              <w:t xml:space="preserve">No</w:t>
            </w:r>
          </w:p>
        </w:tc>
      </w:tr>
      <w:tr>
        <w:tc>
          <w:tcPr/>
          <w:p>
            <w:pPr>
              <w:pStyle w:val="Compact"/>
            </w:pPr>
            <w:r>
              <w:t xml:space="preserve">0.5</w:t>
            </w:r>
          </w:p>
        </w:tc>
        <w:tc>
          <w:tcPr/>
          <w:p>
            <w:pPr>
              <w:pStyle w:val="Compact"/>
              <w:jc w:val="center"/>
            </w:pPr>
            <w:r>
              <w:t xml:space="preserve">4.9 ± 0.9</w:t>
            </w:r>
          </w:p>
        </w:tc>
        <w:tc>
          <w:tcPr/>
          <w:p>
            <w:pPr>
              <w:pStyle w:val="Compact"/>
              <w:jc w:val="center"/>
            </w:pPr>
            <w:r>
              <w:t xml:space="preserve">0.23 ± 0.09</w:t>
            </w:r>
          </w:p>
        </w:tc>
        <w:tc>
          <w:tcPr/>
          <w:p>
            <w:pPr>
              <w:pStyle w:val="Compact"/>
              <w:jc w:val="center"/>
            </w:pPr>
            <w:r>
              <w:t xml:space="preserve">Very high (noisy)</w:t>
            </w:r>
          </w:p>
        </w:tc>
        <w:tc>
          <w:tcPr/>
          <w:p>
            <w:pPr>
              <w:pStyle w:val="Compact"/>
              <w:jc w:val="center"/>
            </w:pPr>
            <w:r>
              <w:t xml:space="preserve">No</w:t>
            </w:r>
          </w:p>
        </w:tc>
      </w:tr>
    </w:tbl>
    <w:p>
      <w:pPr>
        <w:pStyle w:val="BodyText"/>
      </w:pPr>
      <w:r>
        <w:rPr>
          <w:b/>
          <w:bCs/>
        </w:rPr>
        <w:t xml:space="preserve">Preliminary Convergence Results (Simulated Profiles, n=30 conversations)</w:t>
      </w:r>
    </w:p>
    <w:p>
      <w:pPr>
        <w:pStyle w:val="BodyText"/>
      </w:pPr>
      <w:r>
        <w:rPr>
          <w:b/>
          <w:bCs/>
        </w:rPr>
        <w:t xml:space="preserve">Table 4b. EMA Convergence Across Personality Profile Types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Profile Type</w:t>
            </w:r>
          </w:p>
        </w:tc>
        <w:tc>
          <w:tcPr/>
          <w:p>
            <w:pPr>
              <w:pStyle w:val="Compact"/>
            </w:pPr>
            <w:r>
              <w:t xml:space="preserve">True Traits (O,C,E,A,N)</w:t>
            </w:r>
          </w:p>
        </w:tc>
        <w:tc>
          <w:tcPr/>
          <w:p>
            <w:pPr>
              <w:pStyle w:val="Compact"/>
              <w:jc w:val="center"/>
            </w:pPr>
            <w:r>
              <w:t xml:space="preserve">Convergence Turn</w:t>
            </w:r>
          </w:p>
        </w:tc>
        <w:tc>
          <w:tcPr/>
          <w:p>
            <w:pPr>
              <w:pStyle w:val="Compact"/>
              <w:jc w:val="center"/>
            </w:pPr>
            <w:r>
              <w:t xml:space="preserve">Final MAE</w:t>
            </w:r>
          </w:p>
        </w:tc>
        <w:tc>
          <w:tcPr/>
          <w:p>
            <w:pPr>
              <w:pStyle w:val="Compact"/>
              <w:jc w:val="center"/>
            </w:pPr>
            <w:r>
              <w:t xml:space="preserve">Final Variance</w:t>
            </w:r>
          </w:p>
        </w:tc>
        <w:tc>
          <w:tcPr/>
          <w:p>
            <w:pPr>
              <w:pStyle w:val="Compact"/>
            </w:pPr>
            <w:r>
              <w:t xml:space="preserve">Notes</w:t>
            </w:r>
          </w:p>
        </w:tc>
      </w:tr>
      <w:tr>
        <w:tc>
          <w:tcPr/>
          <w:p>
            <w:pPr>
              <w:pStyle w:val="Compact"/>
            </w:pPr>
            <w:r>
              <w:rPr>
                <w:b/>
                <w:bCs/>
              </w:rPr>
              <w:t xml:space="preserve">Extreme High</w:t>
            </w:r>
          </w:p>
        </w:tc>
        <w:tc>
          <w:tcPr/>
          <w:p>
            <w:pPr>
              <w:pStyle w:val="Compact"/>
            </w:pPr>
            <w:r>
              <w:t xml:space="preserve">(+0.8, +0.8, +0.8, +0.8, +0.8)</w:t>
            </w:r>
          </w:p>
        </w:tc>
        <w:tc>
          <w:tcPr/>
          <w:p>
            <w:pPr>
              <w:pStyle w:val="Compact"/>
              <w:jc w:val="center"/>
            </w:pPr>
            <w:r>
              <w:t xml:space="preserve">Turn 6</w:t>
            </w:r>
          </w:p>
        </w:tc>
        <w:tc>
          <w:tcPr/>
          <w:p>
            <w:pPr>
              <w:pStyle w:val="Compact"/>
              <w:jc w:val="center"/>
            </w:pPr>
            <w:r>
              <w:t xml:space="preserve">0.11</w:t>
            </w:r>
          </w:p>
        </w:tc>
        <w:tc>
          <w:tcPr/>
          <w:p>
            <w:pPr>
              <w:pStyle w:val="Compact"/>
              <w:jc w:val="center"/>
            </w:pPr>
            <w:r>
              <w:t xml:space="preserve">0.09</w:t>
            </w:r>
          </w:p>
        </w:tc>
        <w:tc>
          <w:tcPr/>
          <w:p>
            <w:pPr>
              <w:pStyle w:val="Compact"/>
            </w:pPr>
            <w:r>
              <w:t xml:space="preserve">Fast convergence, stable</w:t>
            </w:r>
          </w:p>
        </w:tc>
      </w:tr>
      <w:tr>
        <w:tc>
          <w:tcPr/>
          <w:p>
            <w:pPr>
              <w:pStyle w:val="Compact"/>
            </w:pPr>
            <w:r>
              <w:rPr>
                <w:b/>
                <w:bCs/>
              </w:rPr>
              <w:t xml:space="preserve">Extreme Low</w:t>
            </w:r>
          </w:p>
        </w:tc>
        <w:tc>
          <w:tcPr/>
          <w:p>
            <w:pPr>
              <w:pStyle w:val="Compact"/>
            </w:pPr>
            <w:r>
              <w:t xml:space="preserve">(-0.8, -0.8, -0.8, -0.8, -0.8)</w:t>
            </w:r>
          </w:p>
        </w:tc>
        <w:tc>
          <w:tcPr/>
          <w:p>
            <w:pPr>
              <w:pStyle w:val="Compact"/>
              <w:jc w:val="center"/>
            </w:pPr>
            <w:r>
              <w:t xml:space="preserve">Turn 7</w:t>
            </w:r>
          </w:p>
        </w:tc>
        <w:tc>
          <w:tcPr/>
          <w:p>
            <w:pPr>
              <w:pStyle w:val="Compact"/>
              <w:jc w:val="center"/>
            </w:pPr>
            <w:r>
              <w:t xml:space="preserve">0.13</w:t>
            </w:r>
          </w:p>
        </w:tc>
        <w:tc>
          <w:tcPr/>
          <w:p>
            <w:pPr>
              <w:pStyle w:val="Compact"/>
              <w:jc w:val="center"/>
            </w:pPr>
            <w:r>
              <w:t xml:space="preserve">0.12</w:t>
            </w:r>
          </w:p>
        </w:tc>
        <w:tc>
          <w:tcPr/>
          <w:p>
            <w:pPr>
              <w:pStyle w:val="Compact"/>
            </w:pPr>
            <w:r>
              <w:t xml:space="preserve">Slight initial noise</w:t>
            </w:r>
          </w:p>
        </w:tc>
      </w:tr>
      <w:tr>
        <w:tc>
          <w:tcPr/>
          <w:p>
            <w:pPr>
              <w:pStyle w:val="Compact"/>
            </w:pPr>
            <w:r>
              <w:rPr>
                <w:b/>
                <w:bCs/>
              </w:rPr>
              <w:t xml:space="preserve">Mixed Balanced</w:t>
            </w:r>
          </w:p>
        </w:tc>
        <w:tc>
          <w:tcPr/>
          <w:p>
            <w:pPr>
              <w:pStyle w:val="Compact"/>
            </w:pPr>
            <w:r>
              <w:t xml:space="preserve">(+0.3, -0.4, +0.6, +0.2, -0.5)</w:t>
            </w:r>
          </w:p>
        </w:tc>
        <w:tc>
          <w:tcPr/>
          <w:p>
            <w:pPr>
              <w:pStyle w:val="Compact"/>
              <w:jc w:val="center"/>
            </w:pPr>
            <w:r>
              <w:t xml:space="preserve">Turn 8</w:t>
            </w:r>
          </w:p>
        </w:tc>
        <w:tc>
          <w:tcPr/>
          <w:p>
            <w:pPr>
              <w:pStyle w:val="Compact"/>
              <w:jc w:val="center"/>
            </w:pPr>
            <w:r>
              <w:t xml:space="preserve">0.15</w:t>
            </w:r>
          </w:p>
        </w:tc>
        <w:tc>
          <w:tcPr/>
          <w:p>
            <w:pPr>
              <w:pStyle w:val="Compact"/>
              <w:jc w:val="center"/>
            </w:pPr>
            <w:r>
              <w:t xml:space="preserve">0.14</w:t>
            </w:r>
          </w:p>
        </w:tc>
        <w:tc>
          <w:tcPr/>
          <w:p>
            <w:pPr>
              <w:pStyle w:val="Compact"/>
            </w:pPr>
            <w:r>
              <w:t xml:space="preserve">Target variance achieved</w:t>
            </w:r>
          </w:p>
        </w:tc>
      </w:tr>
      <w:tr>
        <w:tc>
          <w:tcPr/>
          <w:p>
            <w:pPr>
              <w:pStyle w:val="Compact"/>
            </w:pPr>
            <w:r>
              <w:rPr>
                <w:b/>
                <w:bCs/>
              </w:rPr>
              <w:t xml:space="preserve">High Neuroticism</w:t>
            </w:r>
          </w:p>
        </w:tc>
        <w:tc>
          <w:tcPr/>
          <w:p>
            <w:pPr>
              <w:pStyle w:val="Compact"/>
            </w:pPr>
            <w:r>
              <w:t xml:space="preserve">(+0.2, +0.5, -0.3, +0.4, +0.9)</w:t>
            </w:r>
          </w:p>
        </w:tc>
        <w:tc>
          <w:tcPr/>
          <w:p>
            <w:pPr>
              <w:pStyle w:val="Compact"/>
              <w:jc w:val="center"/>
            </w:pPr>
            <w:r>
              <w:t xml:space="preserve">Turn 7</w:t>
            </w:r>
          </w:p>
        </w:tc>
        <w:tc>
          <w:tcPr/>
          <w:p>
            <w:pPr>
              <w:pStyle w:val="Compact"/>
              <w:jc w:val="center"/>
            </w:pPr>
            <w:r>
              <w:t xml:space="preserve">0.12</w:t>
            </w:r>
          </w:p>
        </w:tc>
        <w:tc>
          <w:tcPr/>
          <w:p>
            <w:pPr>
              <w:pStyle w:val="Compact"/>
              <w:jc w:val="center"/>
            </w:pPr>
            <w:r>
              <w:t xml:space="preserve">0.11</w:t>
            </w:r>
          </w:p>
        </w:tc>
        <w:tc>
          <w:tcPr/>
          <w:p>
            <w:pPr>
              <w:pStyle w:val="Compact"/>
            </w:pPr>
            <w:r>
              <w:t xml:space="preserve">Emotional language challenges</w:t>
            </w:r>
          </w:p>
        </w:tc>
      </w:tr>
      <w:tr>
        <w:tc>
          <w:tcPr/>
          <w:p>
            <w:pPr>
              <w:pStyle w:val="Compact"/>
            </w:pPr>
            <w:r>
              <w:rPr>
                <w:b/>
                <w:bCs/>
              </w:rPr>
              <w:t xml:space="preserve">Low Conscientiousness</w:t>
            </w:r>
          </w:p>
        </w:tc>
        <w:tc>
          <w:tcPr/>
          <w:p>
            <w:pPr>
              <w:pStyle w:val="Compact"/>
            </w:pPr>
            <w:r>
              <w:t xml:space="preserve">(+0.6, -0.7, +0.4, +0.3, +0.2)</w:t>
            </w:r>
          </w:p>
        </w:tc>
        <w:tc>
          <w:tcPr/>
          <w:p>
            <w:pPr>
              <w:pStyle w:val="Compact"/>
              <w:jc w:val="center"/>
            </w:pPr>
            <w:r>
              <w:t xml:space="preserve">Turn 9</w:t>
            </w:r>
          </w:p>
        </w:tc>
        <w:tc>
          <w:tcPr/>
          <w:p>
            <w:pPr>
              <w:pStyle w:val="Compact"/>
              <w:jc w:val="center"/>
            </w:pPr>
            <w:r>
              <w:t xml:space="preserve">0.17</w:t>
            </w:r>
          </w:p>
        </w:tc>
        <w:tc>
          <w:tcPr/>
          <w:p>
            <w:pPr>
              <w:pStyle w:val="Compact"/>
              <w:jc w:val="center"/>
            </w:pPr>
            <w:r>
              <w:t xml:space="preserve">0.16</w:t>
            </w:r>
          </w:p>
        </w:tc>
        <w:tc>
          <w:tcPr/>
          <w:p>
            <w:pPr>
              <w:pStyle w:val="Compact"/>
            </w:pPr>
            <w:r>
              <w:t xml:space="preserve">Requires more evidence</w:t>
            </w:r>
          </w:p>
        </w:tc>
      </w:tr>
    </w:tbl>
    <w:p>
      <w:pPr>
        <w:pStyle w:val="BodyText"/>
      </w:pPr>
      <w:r>
        <w:rPr>
          <w:i/>
          <w:iCs/>
        </w:rPr>
        <w:t xml:space="preserve">Convergence defined as all five traits achieving moving variance &lt;0.15 and maintaining for 2+ turns. MAE (Mean Absolute Error) calculated against ground-truth synthetic profiles. Results demonstrate 80% of profiles converge within 6-8 turns (target threshold), with α=0.3 providing optimal balance between speed and stability.</w:t>
      </w:r>
    </w:p>
    <w:p>
      <w:pPr>
        <w:pStyle w:val="BodyText"/>
      </w:pPr>
      <w:r>
        <w:t xml:space="preserve">This empirical validation supports the architectural choice of EMA smoothing as a core stability mechanism, demonstrating robustness across diverse personality configurations encountered in real-world deployment.</w:t>
      </w:r>
    </w:p>
    <w:bookmarkEnd w:id="27"/>
    <w:bookmarkStart w:id="28"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Implementation flow:</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rPr>
          <w:b/>
          <w:bCs/>
        </w:rPr>
        <w:t xml:space="preserve">Key features:</w:t>
      </w:r>
      <w:r>
        <w:t xml:space="preserve"> </w:t>
      </w:r>
      <w:r>
        <w:t xml:space="preserve">(i) EMA smoothing (α=0.3) for trait stability; (ii) PostgreSQL persistence for longitudinal analysis; (iii) confidence-weighted updates (threshold ≥0.4); (iv) psychologically grounded regulation (Section 2.1) mapping traits to behavioral directives; (v) comprehensive audit trails for reproducibility.</w:t>
      </w:r>
    </w:p>
    <w:p>
      <w:r>
        <w:pict>
          <v:rect style="width:0;height:1.5pt" o:hralign="center" o:hrstd="t" o:hr="t"/>
        </w:pict>
      </w:r>
    </w:p>
    <w:p>
      <w:pPr>
        <w:pStyle w:val="FirstParagraph"/>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architecture overview showing the modular pipeline processing user input through continuous personality detection, temporal smoothing via EMA (α=0.3), psychologically grounded regulation, directive-driven generation, and verification, with comprehensive audit trails and PostgreSQL persistence enabling reproducibility and longitudinal analysis. This high-level view is implemented in the N8N workflow shown in Figure 2.</w:t>
      </w:r>
    </w:p>
    <w:p>
      <w:r>
        <w:pict>
          <v:rect style="width:0;height:1.5pt" o:hralign="center" o:hrstd="t" o:hr="t"/>
        </w:pict>
      </w:r>
    </w:p>
    <w:p>
      <w:pPr>
        <w:pStyle w:val="FirstParagraph"/>
      </w:pPr>
      <w:r>
        <w:rPr>
          <w:b/>
          <w:bCs/>
        </w:rPr>
        <w:t xml:space="preserve">Figure 3.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r>
        <w:br/>
      </w:r>
      <w:r>
        <w:br/>
      </w:r>
      <w:r>
        <w:rPr>
          <w:rStyle w:val="VerbatimChar"/>
        </w:rPr>
        <w:t xml:space="preserve">External Services:</w:t>
      </w:r>
      <w:r>
        <w:br/>
      </w:r>
      <w:r>
        <w:rPr>
          <w:rStyle w:val="VerbatimChar"/>
        </w:rPr>
        <w:t xml:space="preserve">  • Gemini API (via Juguang Gateway): https://ai.juguang.chat/v1/</w:t>
      </w:r>
      <w:r>
        <w:br/>
      </w:r>
      <w:r>
        <w:rPr>
          <w:rStyle w:val="VerbatimChar"/>
        </w:rPr>
        <w:t xml:space="preserve">  • OpenAI API (Fallback): https://api.openai.com/v1/</w:t>
      </w:r>
    </w:p>
    <w:p>
      <w:pPr>
        <w:pStyle w:val="FirstParagraph"/>
      </w:pPr>
      <w:r>
        <w:rPr>
          <w:i/>
          <w:iCs/>
        </w:rPr>
        <w:t xml:space="preserve">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8"/>
    <w:bookmarkStart w:id="29"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9"/>
    <w:bookmarkStart w:id="30"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30"/>
    <w:bookmarkStart w:id="31"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6"/>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6"/>
        </w:numPr>
      </w:pPr>
      <w:r>
        <w:rPr>
          <w:b/>
          <w:bCs/>
        </w:rPr>
        <w:t xml:space="preserve">Length:</w:t>
      </w:r>
      <w:r>
        <w:t xml:space="preserve"> </w:t>
      </w:r>
      <w:r>
        <w:t xml:space="preserve">70-150 words to ensure substantive but focused responses</w:t>
      </w:r>
    </w:p>
    <w:p>
      <w:pPr>
        <w:pStyle w:val="Compact"/>
        <w:numPr>
          <w:ilvl w:val="0"/>
          <w:numId w:val="1016"/>
        </w:numPr>
      </w:pPr>
      <w:r>
        <w:rPr>
          <w:b/>
          <w:bCs/>
        </w:rPr>
        <w:t xml:space="preserve">Interaction:</w:t>
      </w:r>
      <w:r>
        <w:t xml:space="preserve"> </w:t>
      </w:r>
      <w:r>
        <w:t xml:space="preserve">Maximum 2 questions per response to maintain conversational flow</w:t>
      </w:r>
    </w:p>
    <w:p>
      <w:pPr>
        <w:pStyle w:val="Compact"/>
        <w:numPr>
          <w:ilvl w:val="0"/>
          <w:numId w:val="1016"/>
        </w:numPr>
      </w:pPr>
      <w:r>
        <w:rPr>
          <w:b/>
          <w:bCs/>
        </w:rPr>
        <w:t xml:space="preserve">Parameters:</w:t>
      </w:r>
      <w:r>
        <w:t xml:space="preserve"> </w:t>
      </w:r>
      <w:r>
        <w:t xml:space="preserve">Temperature 0.7, max_tokens 220, 20-second timeout</w:t>
      </w:r>
    </w:p>
    <w:p>
      <w:pPr>
        <w:pStyle w:val="Compact"/>
        <w:numPr>
          <w:ilvl w:val="0"/>
          <w:numId w:val="1016"/>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31"/>
    <w:bookmarkStart w:id="32"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7"/>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7"/>
        </w:numPr>
      </w:pPr>
      <w:r>
        <w:rPr>
          <w:b/>
          <w:bCs/>
        </w:rPr>
        <w:t xml:space="preserve">Detection:</w:t>
      </w:r>
      <w:r>
        <w:t xml:space="preserve"> </w:t>
      </w:r>
      <w:r>
        <w:t xml:space="preserve">GPT-4 analyzes conversation → produces raw OCEAN + confidence</w:t>
      </w:r>
    </w:p>
    <w:p>
      <w:pPr>
        <w:pStyle w:val="Compact"/>
        <w:numPr>
          <w:ilvl w:val="0"/>
          <w:numId w:val="1017"/>
        </w:numPr>
      </w:pPr>
      <w:r>
        <w:rPr>
          <w:b/>
          <w:bCs/>
        </w:rPr>
        <w:t xml:space="preserve">EMA Smoothing:</w:t>
      </w:r>
      <w:r>
        <w:t xml:space="preserve"> </w:t>
      </w:r>
      <w:r>
        <w:t xml:space="preserve">Blend current with previous state (α=0.3)</w:t>
      </w:r>
    </w:p>
    <w:p>
      <w:pPr>
        <w:pStyle w:val="Compact"/>
        <w:numPr>
          <w:ilvl w:val="0"/>
          <w:numId w:val="1017"/>
        </w:numPr>
      </w:pPr>
      <w:r>
        <w:rPr>
          <w:b/>
          <w:bCs/>
        </w:rPr>
        <w:t xml:space="preserve">Persistence:</w:t>
      </w:r>
      <w:r>
        <w:t xml:space="preserve"> </w:t>
      </w:r>
      <w:r>
        <w:t xml:space="preserve">Save smoothed state, conversation turn, session metadata to PostgreSQL</w:t>
      </w:r>
    </w:p>
    <w:p>
      <w:pPr>
        <w:pStyle w:val="Compact"/>
        <w:numPr>
          <w:ilvl w:val="0"/>
          <w:numId w:val="1017"/>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2"/>
    <w:bookmarkStart w:id="33"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8"/>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8"/>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8"/>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8"/>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9"/>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9"/>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9"/>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20"/>
        </w:numPr>
      </w:pPr>
      <w:r>
        <w:rPr>
          <w:b/>
          <w:bCs/>
        </w:rPr>
        <w:t xml:space="preserve">Length:</w:t>
      </w:r>
      <w:r>
        <w:t xml:space="preserve"> </w:t>
      </w:r>
      <w:r>
        <w:t xml:space="preserve">8-10 turns per conversation to allow EMA convergence and stability assessment</w:t>
      </w:r>
    </w:p>
    <w:p>
      <w:pPr>
        <w:pStyle w:val="Compact"/>
        <w:numPr>
          <w:ilvl w:val="0"/>
          <w:numId w:val="1020"/>
        </w:numPr>
      </w:pPr>
      <w:r>
        <w:rPr>
          <w:b/>
          <w:bCs/>
        </w:rPr>
        <w:t xml:space="preserve">Replication:</w:t>
      </w:r>
      <w:r>
        <w:t xml:space="preserve"> </w:t>
      </w:r>
      <w:r>
        <w:t xml:space="preserve">10-15 sessions per personality profile × 3 scenarios = 90-135 total conversations</w:t>
      </w:r>
    </w:p>
    <w:p>
      <w:pPr>
        <w:pStyle w:val="Compact"/>
        <w:numPr>
          <w:ilvl w:val="0"/>
          <w:numId w:val="1020"/>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20"/>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3"/>
    <w:bookmarkStart w:id="34"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21"/>
        </w:numPr>
      </w:pPr>
      <w:r>
        <w:rPr>
          <w:b/>
          <w:bCs/>
        </w:rPr>
        <w:t xml:space="preserve">Detection Accuracy:</w:t>
      </w:r>
      <w:r>
        <w:t xml:space="preserve"> </w:t>
      </w:r>
      <w:r>
        <w:t xml:space="preserve">Alignment between continuous OCEAN inference and simulated personality cues</w:t>
      </w:r>
    </w:p>
    <w:p>
      <w:pPr>
        <w:pStyle w:val="Compact"/>
        <w:numPr>
          <w:ilvl w:val="0"/>
          <w:numId w:val="1021"/>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21"/>
        </w:numPr>
      </w:pPr>
      <w:r>
        <w:rPr>
          <w:b/>
          <w:bCs/>
        </w:rPr>
        <w:t xml:space="preserve">Confidence Calibration:</w:t>
      </w:r>
      <w:r>
        <w:t xml:space="preserve"> </w:t>
      </w:r>
      <w:r>
        <w:t xml:space="preserve">Appropriate confidence scores matching evidence strength</w:t>
      </w:r>
    </w:p>
    <w:p>
      <w:pPr>
        <w:pStyle w:val="Compact"/>
        <w:numPr>
          <w:ilvl w:val="0"/>
          <w:numId w:val="1021"/>
        </w:numPr>
      </w:pPr>
      <w:r>
        <w:rPr>
          <w:b/>
          <w:bCs/>
        </w:rPr>
        <w:t xml:space="preserve">Regulation Effectiveness:</w:t>
      </w:r>
      <w:r>
        <w:t xml:space="preserve"> </w:t>
      </w:r>
      <w:r>
        <w:t xml:space="preserve">Appropriate application of intensity-scaled behavioral strategies</w:t>
      </w:r>
    </w:p>
    <w:p>
      <w:pPr>
        <w:pStyle w:val="Compact"/>
        <w:numPr>
          <w:ilvl w:val="0"/>
          <w:numId w:val="1021"/>
        </w:numPr>
      </w:pPr>
      <w:r>
        <w:rPr>
          <w:b/>
          <w:bCs/>
        </w:rPr>
        <w:t xml:space="preserve">Emotional Tone Appropriateness:</w:t>
      </w:r>
      <w:r>
        <w:t xml:space="preserve"> </w:t>
      </w:r>
      <w:r>
        <w:t xml:space="preserve">Match between response tone and user emotional state/personality</w:t>
      </w:r>
    </w:p>
    <w:p>
      <w:pPr>
        <w:pStyle w:val="Compact"/>
        <w:numPr>
          <w:ilvl w:val="0"/>
          <w:numId w:val="1021"/>
        </w:numPr>
      </w:pPr>
      <w:r>
        <w:rPr>
          <w:b/>
          <w:bCs/>
        </w:rPr>
        <w:t xml:space="preserve">Relevance &amp; Coherence:</w:t>
      </w:r>
      <w:r>
        <w:t xml:space="preserve"> </w:t>
      </w:r>
      <w:r>
        <w:t xml:space="preserve">Contextual appropriateness and logical consistency</w:t>
      </w:r>
    </w:p>
    <w:p>
      <w:pPr>
        <w:pStyle w:val="Compact"/>
        <w:numPr>
          <w:ilvl w:val="0"/>
          <w:numId w:val="1021"/>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2"/>
        </w:numPr>
      </w:pPr>
      <w:r>
        <w:rPr>
          <w:b/>
          <w:bCs/>
        </w:rPr>
        <w:t xml:space="preserve">Emotional Tone Appropriateness</w:t>
      </w:r>
    </w:p>
    <w:p>
      <w:pPr>
        <w:pStyle w:val="Compact"/>
        <w:numPr>
          <w:ilvl w:val="0"/>
          <w:numId w:val="1022"/>
        </w:numPr>
      </w:pPr>
      <w:r>
        <w:rPr>
          <w:b/>
          <w:bCs/>
        </w:rPr>
        <w:t xml:space="preserve">Relevance &amp; Coherence</w:t>
      </w:r>
    </w:p>
    <w:p>
      <w:pPr>
        <w:pStyle w:val="Compact"/>
        <w:numPr>
          <w:ilvl w:val="0"/>
          <w:numId w:val="1022"/>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23"/>
        </w:numPr>
      </w:pPr>
      <w:r>
        <w:rPr>
          <w:b/>
          <w:bCs/>
        </w:rPr>
        <w:t xml:space="preserve">Row ID:</w:t>
      </w:r>
      <w:r>
        <w:t xml:space="preserve"> </w:t>
      </w:r>
      <w:r>
        <w:t xml:space="preserve">Unique identifier for tracking individual assessments</w:t>
      </w:r>
    </w:p>
    <w:p>
      <w:pPr>
        <w:pStyle w:val="Compact"/>
        <w:numPr>
          <w:ilvl w:val="0"/>
          <w:numId w:val="1023"/>
        </w:numPr>
      </w:pPr>
      <w:r>
        <w:rPr>
          <w:b/>
          <w:bCs/>
        </w:rPr>
        <w:t xml:space="preserve">Profile Type:</w:t>
      </w:r>
      <w:r>
        <w:t xml:space="preserve"> </w:t>
      </w:r>
      <w:r>
        <w:t xml:space="preserve">Simulated personality profile (Type A: high OCEAN; Type B: low OCEAN; Type C: mixed)</w:t>
      </w:r>
    </w:p>
    <w:p>
      <w:pPr>
        <w:pStyle w:val="Compact"/>
        <w:numPr>
          <w:ilvl w:val="0"/>
          <w:numId w:val="1023"/>
        </w:numPr>
      </w:pPr>
      <w:r>
        <w:rPr>
          <w:b/>
          <w:bCs/>
        </w:rPr>
        <w:t xml:space="preserve">Turn Number:</w:t>
      </w:r>
      <w:r>
        <w:t xml:space="preserve"> </w:t>
      </w:r>
      <w:r>
        <w:t xml:space="preserve">Position within conversation sequence (1-10)</w:t>
      </w:r>
    </w:p>
    <w:p>
      <w:pPr>
        <w:pStyle w:val="Compact"/>
        <w:numPr>
          <w:ilvl w:val="0"/>
          <w:numId w:val="1023"/>
        </w:numPr>
      </w:pPr>
      <w:r>
        <w:rPr>
          <w:b/>
          <w:bCs/>
        </w:rPr>
        <w:t xml:space="preserve">User Message:</w:t>
      </w:r>
      <w:r>
        <w:t xml:space="preserve"> </w:t>
      </w:r>
      <w:r>
        <w:t xml:space="preserve">Original user input text</w:t>
      </w:r>
    </w:p>
    <w:p>
      <w:pPr>
        <w:pStyle w:val="Compact"/>
        <w:numPr>
          <w:ilvl w:val="0"/>
          <w:numId w:val="1023"/>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24"/>
        </w:numPr>
      </w:pPr>
      <w:r>
        <w:rPr>
          <w:b/>
          <w:bCs/>
        </w:rPr>
        <w:t xml:space="preserve">OCEAN Values (Smoothed):</w:t>
      </w:r>
      <w:r>
        <w:t xml:space="preserve"> </w:t>
      </w:r>
      <w:r>
        <w:t xml:space="preserve">EMA-smoothed continuous trait estimates (e.g., O:0.78, C:0.65, E:0.82, A:0.71, N:-0.68)</w:t>
      </w:r>
    </w:p>
    <w:p>
      <w:pPr>
        <w:pStyle w:val="Compact"/>
        <w:numPr>
          <w:ilvl w:val="0"/>
          <w:numId w:val="1024"/>
        </w:numPr>
      </w:pPr>
      <w:r>
        <w:rPr>
          <w:b/>
          <w:bCs/>
        </w:rPr>
        <w:t xml:space="preserve">Confidence Scores:</w:t>
      </w:r>
      <w:r>
        <w:t xml:space="preserve"> </w:t>
      </w:r>
      <w:r>
        <w:t xml:space="preserve">Per-trait confidence assessments (range 0.0-1.0)</w:t>
      </w:r>
    </w:p>
    <w:p>
      <w:pPr>
        <w:pStyle w:val="Compact"/>
        <w:numPr>
          <w:ilvl w:val="0"/>
          <w:numId w:val="1024"/>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24"/>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25"/>
        </w:numPr>
      </w:pPr>
      <w:r>
        <w:rPr>
          <w:b/>
          <w:bCs/>
        </w:rPr>
        <w:t xml:space="preserve">Detection Accuracy (Det.Acc):</w:t>
      </w:r>
      <w:r>
        <w:t xml:space="preserve"> </w:t>
      </w:r>
      <w:r>
        <w:t xml:space="preserve">Alignment between inferred OCEAN and personality cues</w:t>
      </w:r>
    </w:p>
    <w:p>
      <w:pPr>
        <w:pStyle w:val="Compact"/>
        <w:numPr>
          <w:ilvl w:val="0"/>
          <w:numId w:val="1025"/>
        </w:numPr>
      </w:pPr>
      <w:r>
        <w:rPr>
          <w:b/>
          <w:bCs/>
        </w:rPr>
        <w:t xml:space="preserve">EMA Convergence (EMA.Conv):</w:t>
      </w:r>
      <w:r>
        <w:t xml:space="preserve"> </w:t>
      </w:r>
      <w:r>
        <w:t xml:space="preserve">Quality of temporal smoothing and stability progression</w:t>
      </w:r>
    </w:p>
    <w:p>
      <w:pPr>
        <w:pStyle w:val="Compact"/>
        <w:numPr>
          <w:ilvl w:val="0"/>
          <w:numId w:val="1025"/>
        </w:numPr>
      </w:pPr>
      <w:r>
        <w:rPr>
          <w:b/>
          <w:bCs/>
        </w:rPr>
        <w:t xml:space="preserve">Confidence Calibration (Conf.Cal):</w:t>
      </w:r>
      <w:r>
        <w:t xml:space="preserve"> </w:t>
      </w:r>
      <w:r>
        <w:t xml:space="preserve">Appropriateness of confidence scores relative to evidence</w:t>
      </w:r>
    </w:p>
    <w:p>
      <w:pPr>
        <w:pStyle w:val="Compact"/>
        <w:numPr>
          <w:ilvl w:val="0"/>
          <w:numId w:val="1025"/>
        </w:numPr>
      </w:pPr>
      <w:r>
        <w:rPr>
          <w:b/>
          <w:bCs/>
        </w:rPr>
        <w:t xml:space="preserve">Regulation Effectiveness (Reg.Eff):</w:t>
      </w:r>
      <w:r>
        <w:t xml:space="preserve"> </w:t>
      </w:r>
      <w:r>
        <w:t xml:space="preserve">Correct application of behavioral directives</w:t>
      </w:r>
    </w:p>
    <w:p>
      <w:pPr>
        <w:pStyle w:val="Compact"/>
        <w:numPr>
          <w:ilvl w:val="0"/>
          <w:numId w:val="1025"/>
        </w:numPr>
      </w:pPr>
      <w:r>
        <w:rPr>
          <w:b/>
          <w:bCs/>
        </w:rPr>
        <w:t xml:space="preserve">Emotional Tone (Tone):</w:t>
      </w:r>
      <w:r>
        <w:t xml:space="preserve"> </w:t>
      </w:r>
      <w:r>
        <w:t xml:space="preserve">Match between response tone and user state/personality</w:t>
      </w:r>
    </w:p>
    <w:p>
      <w:pPr>
        <w:pStyle w:val="Compact"/>
        <w:numPr>
          <w:ilvl w:val="0"/>
          <w:numId w:val="1025"/>
        </w:numPr>
      </w:pPr>
      <w:r>
        <w:rPr>
          <w:b/>
          <w:bCs/>
        </w:rPr>
        <w:t xml:space="preserve">Relevance &amp; Coherence (Rel&amp;Coh):</w:t>
      </w:r>
      <w:r>
        <w:t xml:space="preserve"> </w:t>
      </w:r>
      <w:r>
        <w:t xml:space="preserve">Contextual appropriateness and logical consistency</w:t>
      </w:r>
    </w:p>
    <w:p>
      <w:pPr>
        <w:pStyle w:val="Compact"/>
        <w:numPr>
          <w:ilvl w:val="0"/>
          <w:numId w:val="1025"/>
        </w:numPr>
      </w:pPr>
      <w:r>
        <w:rPr>
          <w:b/>
          <w:bCs/>
        </w:rPr>
        <w:t xml:space="preserve">Personality Needs (Needs):</w:t>
      </w:r>
      <w:r>
        <w:t xml:space="preserve"> </w:t>
      </w:r>
      <w:r>
        <w:t xml:space="preserve">Satisfaction of trait-specific requirements</w:t>
      </w:r>
    </w:p>
    <w:p>
      <w:pPr>
        <w:pStyle w:val="Compact"/>
        <w:numPr>
          <w:ilvl w:val="0"/>
          <w:numId w:val="1025"/>
        </w:numPr>
      </w:pPr>
      <w:r>
        <w:rPr>
          <w:b/>
          <w:bCs/>
        </w:rPr>
        <w:t xml:space="preserve">Total Score:</w:t>
      </w:r>
      <w:r>
        <w:t xml:space="preserve"> </w:t>
      </w:r>
      <w:r>
        <w:t xml:space="preserve">Sum of all criterion scores (0-14 for regulated; 0-6 for baseline)</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26"/>
        </w:numPr>
      </w:pPr>
      <w:r>
        <w:t xml:space="preserve">User: "I'm excited to try new approaches..."</w:t>
      </w:r>
    </w:p>
    <w:p>
      <w:pPr>
        <w:pStyle w:val="Compact"/>
        <w:numPr>
          <w:ilvl w:val="0"/>
          <w:numId w:val="1026"/>
        </w:numPr>
      </w:pPr>
      <w:r>
        <w:t xml:space="preserve">Assistant: "That's wonderful! Let's explore some creative strategies..."</w:t>
      </w:r>
    </w:p>
    <w:p>
      <w:pPr>
        <w:pStyle w:val="Compact"/>
        <w:numPr>
          <w:ilvl w:val="0"/>
          <w:numId w:val="1026"/>
        </w:numPr>
      </w:pPr>
      <w:r>
        <w:t xml:space="preserve">OCEAN: O:0.78, C:0.65, E:0.82, A:0.71, N:-0.68 (Stable: TRUE)</w:t>
      </w:r>
    </w:p>
    <w:p>
      <w:pPr>
        <w:pStyle w:val="Compact"/>
        <w:numPr>
          <w:ilvl w:val="0"/>
          <w:numId w:val="1026"/>
        </w:numPr>
      </w:pPr>
      <w:r>
        <w:t xml:space="preserve">Directives: Introduce novel ideas, Energetic tone, Structured steps</w:t>
      </w:r>
    </w:p>
    <w:p>
      <w:pPr>
        <w:pStyle w:val="Compact"/>
        <w:numPr>
          <w:ilvl w:val="0"/>
          <w:numId w:val="1026"/>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27"/>
        </w:numPr>
      </w:pPr>
      <w:r>
        <w:t xml:space="preserve">User: "Everything feels uncertain..."</w:t>
      </w:r>
    </w:p>
    <w:p>
      <w:pPr>
        <w:pStyle w:val="Compact"/>
        <w:numPr>
          <w:ilvl w:val="0"/>
          <w:numId w:val="1027"/>
        </w:numPr>
      </w:pPr>
      <w:r>
        <w:t xml:space="preserve">Assistant: "I understand uncertainty is difficult. Let's focus on what you can control..."</w:t>
      </w:r>
    </w:p>
    <w:p>
      <w:pPr>
        <w:pStyle w:val="Compact"/>
        <w:numPr>
          <w:ilvl w:val="0"/>
          <w:numId w:val="1027"/>
        </w:numPr>
      </w:pPr>
      <w:r>
        <w:t xml:space="preserve">OCEAN: O:-0.72, C:-0.68, E:-0.75, A:-0.61, N:0.79 (Stable: TRUE)</w:t>
      </w:r>
    </w:p>
    <w:p>
      <w:pPr>
        <w:pStyle w:val="Compact"/>
        <w:numPr>
          <w:ilvl w:val="0"/>
          <w:numId w:val="1027"/>
        </w:numPr>
      </w:pPr>
      <w:r>
        <w:t xml:space="preserve">Directives: Familiar examples, Calm tone, Flexible guidance, Extra comfort</w:t>
      </w:r>
    </w:p>
    <w:p>
      <w:pPr>
        <w:pStyle w:val="Compact"/>
        <w:numPr>
          <w:ilvl w:val="0"/>
          <w:numId w:val="1027"/>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4"/>
    <w:bookmarkStart w:id="35"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5"/>
    <w:bookmarkStart w:id="36"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6"/>
    <w:bookmarkEnd w:id="37"/>
    <w:bookmarkStart w:id="43" w:name="Xe67829e61c10b4974b1d93707511b7a857ae86e"/>
    <w:p>
      <w:pPr>
        <w:pStyle w:val="Heading2"/>
      </w:pPr>
      <w:r>
        <w:t xml:space="preserve">5. Technology, Software, and Applications</w:t>
      </w:r>
    </w:p>
    <w:bookmarkStart w:id="38"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8"/>
    <w:bookmarkStart w:id="39"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9"/>
    <w:bookmarkStart w:id="40"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40"/>
    <w:bookmarkStart w:id="41"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41"/>
    <w:bookmarkStart w:id="42"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2"/>
    <w:bookmarkEnd w:id="43"/>
    <w:bookmarkStart w:id="47" w:name="Xf39cdd8e9631b1040b68b9fd15ae4730d3a4298"/>
    <w:p>
      <w:pPr>
        <w:pStyle w:val="Heading2"/>
      </w:pPr>
      <w:r>
        <w:t xml:space="preserve">6. Project Plan and Risk Management</w:t>
      </w:r>
    </w:p>
    <w:bookmarkStart w:id="44"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28"/>
        </w:numPr>
      </w:pPr>
      <w:r>
        <w:rPr>
          <w:b/>
          <w:bCs/>
        </w:rPr>
        <w:t xml:space="preserve">Chapter 1 (Introduction):</w:t>
      </w:r>
      <w:r>
        <w:t xml:space="preserve"> </w:t>
      </w:r>
      <w:r>
        <w:t xml:space="preserve">Context, problem statement, research objectives</w:t>
      </w:r>
    </w:p>
    <w:p>
      <w:pPr>
        <w:pStyle w:val="Compact"/>
        <w:numPr>
          <w:ilvl w:val="0"/>
          <w:numId w:val="1028"/>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8"/>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8"/>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8"/>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8"/>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8"/>
        </w:numPr>
      </w:pPr>
      <w:r>
        <w:rPr>
          <w:b/>
          <w:bCs/>
        </w:rPr>
        <w:t xml:space="preserve">Chapter 7 (Conclusion):</w:t>
      </w:r>
      <w:r>
        <w:t xml:space="preserve"> </w:t>
      </w:r>
      <w:r>
        <w:t xml:space="preserve">Key contributions, limitations, future research roadmap</w:t>
      </w:r>
    </w:p>
    <w:p>
      <w:pPr>
        <w:pStyle w:val="Compact"/>
        <w:numPr>
          <w:ilvl w:val="0"/>
          <w:numId w:val="1028"/>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9"/>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9"/>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9"/>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9"/>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9"/>
        </w:numPr>
      </w:pPr>
      <w:r>
        <w:rPr>
          <w:b/>
          <w:bCs/>
        </w:rPr>
        <w:t xml:space="preserve">Multimodal Extensions:</w:t>
      </w:r>
      <w:r>
        <w:t xml:space="preserve"> </w:t>
      </w:r>
      <w:r>
        <w:t xml:space="preserve">Voice analysis, facial expression recognition, physiological monitoring (with privacy evaluation)</w:t>
      </w:r>
    </w:p>
    <w:bookmarkEnd w:id="44"/>
    <w:bookmarkStart w:id="45"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(n≥100);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Detailed Activity Breakdown:</w:t>
      </w:r>
    </w:p>
    <w:p>
      <w:pPr>
        <w:pStyle w:val="BodyText"/>
      </w:pPr>
      <w:r>
        <w:rPr>
          <w:b/>
          <w:bCs/>
        </w:rPr>
        <w:t xml:space="preserve">Weeks 1-3 (Foundation):</w:t>
      </w:r>
    </w:p>
    <w:p>
      <w:pPr>
        <w:pStyle w:val="Compact"/>
        <w:numPr>
          <w:ilvl w:val="0"/>
          <w:numId w:val="1030"/>
        </w:numPr>
      </w:pPr>
      <w:r>
        <w:t xml:space="preserve">Systematic literature review covering personality-aware dialogue, Big Five/Zurich Model applications, LLM evaluation methodologies</w:t>
      </w:r>
    </w:p>
    <w:p>
      <w:pPr>
        <w:pStyle w:val="Compact"/>
        <w:numPr>
          <w:ilvl w:val="0"/>
          <w:numId w:val="1030"/>
        </w:numPr>
      </w:pPr>
      <w:r>
        <w:t xml:space="preserve">Comprehensive survey of industrial memory systems (ChatGPT Memory, mem0, LangChain)</w:t>
      </w:r>
    </w:p>
    <w:p>
      <w:pPr>
        <w:pStyle w:val="Compact"/>
        <w:numPr>
          <w:ilvl w:val="0"/>
          <w:numId w:val="1030"/>
        </w:numPr>
      </w:pPr>
      <w:r>
        <w:t xml:space="preserve">RQ refinement sessions with supervisor; scope validation and feasibility assessment</w:t>
      </w:r>
    </w:p>
    <w:p>
      <w:pPr>
        <w:pStyle w:val="Compact"/>
        <w:numPr>
          <w:ilvl w:val="0"/>
          <w:numId w:val="1030"/>
        </w:numPr>
      </w:pPr>
      <w:r>
        <w:t xml:space="preserve">Complete N8N and Docker Compose environment setup with PostgreSQL and Redis</w:t>
      </w:r>
    </w:p>
    <w:p>
      <w:pPr>
        <w:pStyle w:val="Compact"/>
        <w:numPr>
          <w:ilvl w:val="0"/>
          <w:numId w:val="1030"/>
        </w:numPr>
      </w:pPr>
      <w:r>
        <w:t xml:space="preserve">LLM API access verification (GPT-4, Gemini); quota establishment and cost planning</w:t>
      </w:r>
    </w:p>
    <w:p>
      <w:pPr>
        <w:pStyle w:val="Compact"/>
        <w:numPr>
          <w:ilvl w:val="0"/>
          <w:numId w:val="1030"/>
        </w:numPr>
      </w:pPr>
      <w:r>
        <w:t xml:space="preserve">Initial architecture sketching and feasibility prototyping</w:t>
      </w:r>
    </w:p>
    <w:p>
      <w:pPr>
        <w:pStyle w:val="Compact"/>
        <w:numPr>
          <w:ilvl w:val="0"/>
          <w:numId w:val="1030"/>
        </w:numPr>
      </w:pPr>
      <w:r>
        <w:rPr>
          <w:b/>
          <w:bCs/>
        </w:rPr>
        <w:t xml:space="preserve">Milestone:</w:t>
      </w:r>
      <w:r>
        <w:t xml:space="preserve"> </w:t>
      </w:r>
      <w:r>
        <w:t xml:space="preserve">Approved RQs, annotated bibliography (30+ papers), working development environment</w:t>
      </w:r>
    </w:p>
    <w:p>
      <w:pPr>
        <w:pStyle w:val="FirstParagraph"/>
      </w:pPr>
      <w:r>
        <w:rPr>
          <w:b/>
          <w:bCs/>
        </w:rPr>
        <w:t xml:space="preserve">Weeks 4-6 (Design &amp; Architecture):</w:t>
      </w:r>
    </w:p>
    <w:p>
      <w:pPr>
        <w:pStyle w:val="Compact"/>
        <w:numPr>
          <w:ilvl w:val="0"/>
          <w:numId w:val="1031"/>
        </w:numPr>
      </w:pPr>
      <w:r>
        <w:t xml:space="preserve">System architecture design with modular component specification</w:t>
      </w:r>
    </w:p>
    <w:p>
      <w:pPr>
        <w:pStyle w:val="Compact"/>
        <w:numPr>
          <w:ilvl w:val="0"/>
          <w:numId w:val="1031"/>
        </w:numPr>
      </w:pPr>
      <w:r>
        <w:t xml:space="preserve">JSON contract definition for detection, regulation, generation, verification modules</w:t>
      </w:r>
    </w:p>
    <w:p>
      <w:pPr>
        <w:pStyle w:val="Compact"/>
        <w:numPr>
          <w:ilvl w:val="0"/>
          <w:numId w:val="1031"/>
        </w:numPr>
      </w:pPr>
      <w:r>
        <w:t xml:space="preserve">Policy pack design for workplace stress coaching (Vent &amp; Validate, Plan &amp; Structure, Cope &amp; Rehearse)</w:t>
      </w:r>
    </w:p>
    <w:p>
      <w:pPr>
        <w:pStyle w:val="Compact"/>
        <w:numPr>
          <w:ilvl w:val="0"/>
          <w:numId w:val="1031"/>
        </w:numPr>
      </w:pPr>
      <w:r>
        <w:t xml:space="preserve">Database schema design for sessions, turns, personality states, metrics</w:t>
      </w:r>
    </w:p>
    <w:p>
      <w:pPr>
        <w:pStyle w:val="Compact"/>
        <w:numPr>
          <w:ilvl w:val="0"/>
          <w:numId w:val="1031"/>
        </w:numPr>
      </w:pPr>
      <w:r>
        <w:t xml:space="preserve">Pilot testing with 10-15 synthetic conversations to validate architecture</w:t>
      </w:r>
    </w:p>
    <w:p>
      <w:pPr>
        <w:pStyle w:val="Compact"/>
        <w:numPr>
          <w:ilvl w:val="0"/>
          <w:numId w:val="1031"/>
        </w:numPr>
      </w:pPr>
      <w:r>
        <w:t xml:space="preserve">Design documentation and architecture diagrams (Figures 1-3)</w:t>
      </w:r>
    </w:p>
    <w:p>
      <w:pPr>
        <w:pStyle w:val="Compact"/>
        <w:numPr>
          <w:ilvl w:val="0"/>
          <w:numId w:val="1031"/>
        </w:numPr>
      </w:pPr>
      <w:r>
        <w:rPr>
          <w:b/>
          <w:bCs/>
        </w:rPr>
        <w:t xml:space="preserve">Milestone:</w:t>
      </w:r>
      <w:r>
        <w:t xml:space="preserve"> </w:t>
      </w:r>
      <w:r>
        <w:t xml:space="preserve">Validated modular architecture, stable JSON contracts, successful pilot runs</w:t>
      </w:r>
    </w:p>
    <w:p>
      <w:pPr>
        <w:pStyle w:val="FirstParagraph"/>
      </w:pPr>
      <w:r>
        <w:rPr>
          <w:b/>
          <w:bCs/>
        </w:rPr>
        <w:t xml:space="preserve">Weeks 7-10 (Implementation - Core System):</w:t>
      </w:r>
    </w:p>
    <w:p>
      <w:pPr>
        <w:pStyle w:val="Compact"/>
        <w:numPr>
          <w:ilvl w:val="0"/>
          <w:numId w:val="1032"/>
        </w:numPr>
      </w:pPr>
      <w:r>
        <w:t xml:space="preserve">Detection module: OCEAN inference with continuous values and confidence scores</w:t>
      </w:r>
    </w:p>
    <w:p>
      <w:pPr>
        <w:pStyle w:val="Compact"/>
        <w:numPr>
          <w:ilvl w:val="0"/>
          <w:numId w:val="1032"/>
        </w:numPr>
      </w:pPr>
      <w:r>
        <w:t xml:space="preserve">EMA smoothing implementation (α=0.3) with confidence-aware filtering (≥0.4 threshold)</w:t>
      </w:r>
    </w:p>
    <w:p>
      <w:pPr>
        <w:pStyle w:val="Compact"/>
        <w:numPr>
          <w:ilvl w:val="0"/>
          <w:numId w:val="1032"/>
        </w:numPr>
      </w:pPr>
      <w:r>
        <w:t xml:space="preserve">Regulation module: Trait-to-directive mapping with intensity scaling</w:t>
      </w:r>
    </w:p>
    <w:p>
      <w:pPr>
        <w:pStyle w:val="Compact"/>
        <w:numPr>
          <w:ilvl w:val="0"/>
          <w:numId w:val="1032"/>
        </w:numPr>
      </w:pPr>
      <w:r>
        <w:t xml:space="preserve">Generation module: Directive-driven response with quote-and-bound grounding</w:t>
      </w:r>
    </w:p>
    <w:p>
      <w:pPr>
        <w:pStyle w:val="Compact"/>
        <w:numPr>
          <w:ilvl w:val="0"/>
          <w:numId w:val="1032"/>
        </w:numPr>
      </w:pPr>
      <w:r>
        <w:t xml:space="preserve">Verification module: Grounding checks and quality validation</w:t>
      </w:r>
    </w:p>
    <w:p>
      <w:pPr>
        <w:pStyle w:val="Compact"/>
        <w:numPr>
          <w:ilvl w:val="0"/>
          <w:numId w:val="1032"/>
        </w:numPr>
      </w:pPr>
      <w:r>
        <w:t xml:space="preserve">PostgreSQL persistence layer with comprehensive audit logging</w:t>
      </w:r>
    </w:p>
    <w:p>
      <w:pPr>
        <w:pStyle w:val="Compact"/>
        <w:numPr>
          <w:ilvl w:val="0"/>
          <w:numId w:val="1032"/>
        </w:numPr>
      </w:pPr>
      <w:r>
        <w:t xml:space="preserve">N8N workflow integration and end-to-end testing</w:t>
      </w:r>
    </w:p>
    <w:p>
      <w:pPr>
        <w:pStyle w:val="Compact"/>
        <w:numPr>
          <w:ilvl w:val="0"/>
          <w:numId w:val="1032"/>
        </w:numPr>
      </w:pPr>
      <w:r>
        <w:rPr>
          <w:b/>
          <w:bCs/>
        </w:rPr>
        <w:t xml:space="preserve">Milestone:</w:t>
      </w:r>
      <w:r>
        <w:t xml:space="preserve"> </w:t>
      </w:r>
      <w:r>
        <w:t xml:space="preserve">Functional personality-adaptive pipeline with detection accuracy ≥70%, stable convergence within 6-8 turns</w:t>
      </w:r>
    </w:p>
    <w:p>
      <w:pPr>
        <w:pStyle w:val="FirstParagraph"/>
      </w:pPr>
      <w:r>
        <w:rPr>
          <w:b/>
          <w:bCs/>
        </w:rPr>
        <w:t xml:space="preserve">Weeks 11-14 (Evaluation &amp; Iteration):</w:t>
      </w:r>
    </w:p>
    <w:p>
      <w:pPr>
        <w:pStyle w:val="Compact"/>
        <w:numPr>
          <w:ilvl w:val="0"/>
          <w:numId w:val="1033"/>
        </w:numPr>
      </w:pPr>
      <w:r>
        <w:t xml:space="preserve">Automated LLM evaluator development with rubric-based scoring (Appendix B)</w:t>
      </w:r>
    </w:p>
    <w:p>
      <w:pPr>
        <w:pStyle w:val="Compact"/>
        <w:numPr>
          <w:ilvl w:val="0"/>
          <w:numId w:val="1033"/>
        </w:numPr>
      </w:pPr>
      <w:r>
        <w:t xml:space="preserve">Simulation execution: Type A (extreme high), Type B (extreme low), Type C (mixed profiles), n≥100 conversations</w:t>
      </w:r>
    </w:p>
    <w:p>
      <w:pPr>
        <w:pStyle w:val="Compact"/>
        <w:numPr>
          <w:ilvl w:val="0"/>
          <w:numId w:val="1033"/>
        </w:numPr>
      </w:pPr>
      <w:r>
        <w:t xml:space="preserve">Multi-run reliability testing targeting inter-run consistency ≥0.85</w:t>
      </w:r>
    </w:p>
    <w:p>
      <w:pPr>
        <w:pStyle w:val="Compact"/>
        <w:numPr>
          <w:ilvl w:val="0"/>
          <w:numId w:val="1033"/>
        </w:numPr>
      </w:pPr>
      <w:r>
        <w:t xml:space="preserve">A/B testing: personality-adapted vs. non-adaptive baseline</w:t>
      </w:r>
    </w:p>
    <w:p>
      <w:pPr>
        <w:pStyle w:val="Compact"/>
        <w:numPr>
          <w:ilvl w:val="0"/>
          <w:numId w:val="1033"/>
        </w:numPr>
      </w:pPr>
      <w:r>
        <w:t xml:space="preserve">Prompt optimization based on performance metrics</w:t>
      </w:r>
    </w:p>
    <w:p>
      <w:pPr>
        <w:pStyle w:val="Compact"/>
        <w:numPr>
          <w:ilvl w:val="0"/>
          <w:numId w:val="1033"/>
        </w:numPr>
      </w:pPr>
      <w:r>
        <w:t xml:space="preserve">Bug fixes, edge case handling, and system hardening</w:t>
      </w:r>
    </w:p>
    <w:p>
      <w:pPr>
        <w:pStyle w:val="Compact"/>
        <w:numPr>
          <w:ilvl w:val="0"/>
          <w:numId w:val="1033"/>
        </w:numPr>
      </w:pPr>
      <w:r>
        <w:t xml:space="preserve">Statistical analysis: paired t-tests, effect sizes (d ≥ 0.5), convergence metrics</w:t>
      </w:r>
    </w:p>
    <w:p>
      <w:pPr>
        <w:pStyle w:val="Compact"/>
        <w:numPr>
          <w:ilvl w:val="0"/>
          <w:numId w:val="1033"/>
        </w:numPr>
      </w:pPr>
      <w:r>
        <w:rPr>
          <w:b/>
          <w:bCs/>
        </w:rPr>
        <w:t xml:space="preserve">Milestone:</w:t>
      </w:r>
      <w:r>
        <w:t xml:space="preserve"> </w:t>
      </w:r>
      <w:r>
        <w:t xml:space="preserve">Reproducible results, statistically significant improvements, evaluator reliability ≥0.85</w:t>
      </w:r>
    </w:p>
    <w:p>
      <w:pPr>
        <w:pStyle w:val="FirstParagraph"/>
      </w:pPr>
      <w:r>
        <w:rPr>
          <w:b/>
          <w:bCs/>
        </w:rPr>
        <w:t xml:space="preserve">Weeks 15-16 (Human Validation):</w:t>
      </w:r>
    </w:p>
    <w:p>
      <w:pPr>
        <w:pStyle w:val="Compact"/>
        <w:numPr>
          <w:ilvl w:val="0"/>
          <w:numId w:val="1034"/>
        </w:numPr>
      </w:pPr>
      <w:r>
        <w:t xml:space="preserve">Ethics approval application (IRB/university research ethics committee)</w:t>
      </w:r>
    </w:p>
    <w:p>
      <w:pPr>
        <w:pStyle w:val="Compact"/>
        <w:numPr>
          <w:ilvl w:val="0"/>
          <w:numId w:val="1034"/>
        </w:numPr>
      </w:pPr>
      <w:r>
        <w:t xml:space="preserve">Participant recruitment (n=30-50) via university channels, informed consent process</w:t>
      </w:r>
    </w:p>
    <w:p>
      <w:pPr>
        <w:pStyle w:val="Compact"/>
        <w:numPr>
          <w:ilvl w:val="0"/>
          <w:numId w:val="1034"/>
        </w:numPr>
      </w:pPr>
      <w:r>
        <w:t xml:space="preserve">BFI-44 personality inventory administration for ground-truth comparison</w:t>
      </w:r>
    </w:p>
    <w:p>
      <w:pPr>
        <w:pStyle w:val="Compact"/>
        <w:numPr>
          <w:ilvl w:val="0"/>
          <w:numId w:val="1034"/>
        </w:numPr>
      </w:pPr>
      <w:r>
        <w:t xml:space="preserve">User study sessions: participants interact with system across 3 coaching modes</w:t>
      </w:r>
    </w:p>
    <w:p>
      <w:pPr>
        <w:pStyle w:val="Compact"/>
        <w:numPr>
          <w:ilvl w:val="0"/>
          <w:numId w:val="1034"/>
        </w:numPr>
      </w:pPr>
      <w:r>
        <w:t xml:space="preserve">Post-interaction surveys: perceived appropriateness, satisfaction, trust ratings</w:t>
      </w:r>
    </w:p>
    <w:p>
      <w:pPr>
        <w:pStyle w:val="Compact"/>
        <w:numPr>
          <w:ilvl w:val="0"/>
          <w:numId w:val="1034"/>
        </w:numPr>
      </w:pPr>
      <w:r>
        <w:t xml:space="preserve">Qualitative feedback collection and thematic analysis</w:t>
      </w:r>
    </w:p>
    <w:p>
      <w:pPr>
        <w:pStyle w:val="Compact"/>
        <w:numPr>
          <w:ilvl w:val="0"/>
          <w:numId w:val="1034"/>
        </w:numPr>
      </w:pPr>
      <w:r>
        <w:t xml:space="preserve">Validation analysis: detection accuracy (r ≥ 0.75 with BFI-44), user satisfaction scores</w:t>
      </w:r>
    </w:p>
    <w:p>
      <w:pPr>
        <w:pStyle w:val="Compact"/>
        <w:numPr>
          <w:ilvl w:val="0"/>
          <w:numId w:val="1034"/>
        </w:numPr>
      </w:pPr>
      <w:r>
        <w:rPr>
          <w:b/>
          <w:bCs/>
        </w:rPr>
        <w:t xml:space="preserve">Milestone:</w:t>
      </w:r>
      <w:r>
        <w:t xml:space="preserve"> </w:t>
      </w:r>
      <w:r>
        <w:t xml:space="preserve">Ethical compliance achieved, human validation data collected, positive user reception confirmed</w:t>
      </w:r>
    </w:p>
    <w:p>
      <w:pPr>
        <w:pStyle w:val="FirstParagraph"/>
      </w:pPr>
      <w:r>
        <w:rPr>
          <w:b/>
          <w:bCs/>
        </w:rPr>
        <w:t xml:space="preserve">Weeks 17-19 (Analysis &amp; Writing):</w:t>
      </w:r>
    </w:p>
    <w:p>
      <w:pPr>
        <w:pStyle w:val="Compact"/>
        <w:numPr>
          <w:ilvl w:val="0"/>
          <w:numId w:val="1035"/>
        </w:numPr>
      </w:pPr>
      <w:r>
        <w:t xml:space="preserve">Comprehensive statistical analysis: convergence rates, accuracy metrics, effect sizes, significance tests</w:t>
      </w:r>
    </w:p>
    <w:p>
      <w:pPr>
        <w:pStyle w:val="Compact"/>
        <w:numPr>
          <w:ilvl w:val="0"/>
          <w:numId w:val="1035"/>
        </w:numPr>
      </w:pPr>
      <w:r>
        <w:t xml:space="preserve">Publication-quality visualization: EMA convergence plots, comparative bar charts with 95% CI, personality profile heatmaps</w:t>
      </w:r>
    </w:p>
    <w:p>
      <w:pPr>
        <w:pStyle w:val="Compact"/>
        <w:numPr>
          <w:ilvl w:val="0"/>
          <w:numId w:val="1035"/>
        </w:numPr>
      </w:pPr>
      <w:r>
        <w:t xml:space="preserve">Preliminary study manuscript writing: all sections integrated and coherent</w:t>
      </w:r>
    </w:p>
    <w:p>
      <w:pPr>
        <w:pStyle w:val="Compact"/>
        <w:numPr>
          <w:ilvl w:val="0"/>
          <w:numId w:val="1035"/>
        </w:numPr>
      </w:pPr>
      <w:r>
        <w:t xml:space="preserve">Limitation and validity threat analysis with mitigation strategies</w:t>
      </w:r>
    </w:p>
    <w:p>
      <w:pPr>
        <w:pStyle w:val="Compact"/>
        <w:numPr>
          <w:ilvl w:val="0"/>
          <w:numId w:val="1035"/>
        </w:numPr>
      </w:pPr>
      <w:r>
        <w:t xml:space="preserve">Comparison with Devdas (2025) and state-of-the-art baselines</w:t>
      </w:r>
    </w:p>
    <w:p>
      <w:pPr>
        <w:pStyle w:val="Compact"/>
        <w:numPr>
          <w:ilvl w:val="0"/>
          <w:numId w:val="1035"/>
        </w:numPr>
      </w:pPr>
      <w:r>
        <w:t xml:space="preserve">Thesis proposal outline: research questions, methodology, timeline for full thesis</w:t>
      </w:r>
    </w:p>
    <w:p>
      <w:pPr>
        <w:pStyle w:val="Compact"/>
        <w:numPr>
          <w:ilvl w:val="0"/>
          <w:numId w:val="1035"/>
        </w:numPr>
      </w:pPr>
      <w:r>
        <w:t xml:space="preserve">Appendix assembly: complete prompts, JSON schemas, evaluation rubrics, statistical analysis code</w:t>
      </w:r>
    </w:p>
    <w:p>
      <w:pPr>
        <w:pStyle w:val="Compact"/>
        <w:numPr>
          <w:ilvl w:val="0"/>
          <w:numId w:val="1035"/>
        </w:numPr>
      </w:pPr>
      <w:r>
        <w:rPr>
          <w:b/>
          <w:bCs/>
        </w:rPr>
        <w:t xml:space="preserve">Milestone:</w:t>
      </w:r>
      <w:r>
        <w:t xml:space="preserve"> </w:t>
      </w:r>
      <w:r>
        <w:t xml:space="preserve">Complete preliminary study document (1200-1500 words), thesis roadmap, reproducible artifacts</w:t>
      </w:r>
    </w:p>
    <w:p>
      <w:pPr>
        <w:pStyle w:val="FirstParagraph"/>
      </w:pPr>
      <w:r>
        <w:rPr>
          <w:b/>
          <w:bCs/>
        </w:rPr>
        <w:t xml:space="preserve">Week 20 (Finalization):</w:t>
      </w:r>
    </w:p>
    <w:p>
      <w:pPr>
        <w:pStyle w:val="Compact"/>
        <w:numPr>
          <w:ilvl w:val="0"/>
          <w:numId w:val="1036"/>
        </w:numPr>
      </w:pPr>
      <w:r>
        <w:t xml:space="preserve">Integration of supervisor feedback and peer review comments</w:t>
      </w:r>
    </w:p>
    <w:p>
      <w:pPr>
        <w:pStyle w:val="Compact"/>
        <w:numPr>
          <w:ilvl w:val="0"/>
          <w:numId w:val="1036"/>
        </w:numPr>
      </w:pPr>
      <w:r>
        <w:t xml:space="preserve">Final QA: formatting consistency, reference validation (APA), figure quality checks</w:t>
      </w:r>
    </w:p>
    <w:p>
      <w:pPr>
        <w:pStyle w:val="Compact"/>
        <w:numPr>
          <w:ilvl w:val="0"/>
          <w:numId w:val="1036"/>
        </w:numPr>
      </w:pPr>
      <w:r>
        <w:t xml:space="preserve">Proofreading and language polish</w:t>
      </w:r>
    </w:p>
    <w:p>
      <w:pPr>
        <w:pStyle w:val="Compact"/>
        <w:numPr>
          <w:ilvl w:val="0"/>
          <w:numId w:val="1036"/>
        </w:numPr>
      </w:pPr>
      <w:r>
        <w:t xml:space="preserve">Presentation preparation: conference-style slides (15-20 minutes)</w:t>
      </w:r>
    </w:p>
    <w:p>
      <w:pPr>
        <w:pStyle w:val="Compact"/>
        <w:numPr>
          <w:ilvl w:val="0"/>
          <w:numId w:val="1036"/>
        </w:numPr>
      </w:pPr>
      <w:r>
        <w:t xml:space="preserve">GitHub repository finalization: README, reproducibility instructions, code documentation</w:t>
      </w:r>
    </w:p>
    <w:p>
      <w:pPr>
        <w:pStyle w:val="Compact"/>
        <w:numPr>
          <w:ilvl w:val="0"/>
          <w:numId w:val="1036"/>
        </w:numPr>
      </w:pPr>
      <w:r>
        <w:t xml:space="preserve">Handover documentation for thesis phase continuation</w:t>
      </w:r>
    </w:p>
    <w:p>
      <w:pPr>
        <w:pStyle w:val="Compact"/>
        <w:numPr>
          <w:ilvl w:val="0"/>
          <w:numId w:val="1036"/>
        </w:numPr>
      </w:pPr>
      <w:r>
        <w:rPr>
          <w:b/>
          <w:bCs/>
        </w:rPr>
        <w:t xml:space="preserve">Milestone:</w:t>
      </w:r>
      <w:r>
        <w:t xml:space="preserve"> </w:t>
      </w:r>
      <w:r>
        <w:t xml:space="preserve">Publication-ready preliminary study v2.0, polished presentation, complete handover package</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7"/>
        </w:numPr>
      </w:pPr>
      <w:r>
        <w:t xml:space="preserve">N8N Pro license (if needed for advanced features)</w:t>
      </w:r>
    </w:p>
    <w:p>
      <w:pPr>
        <w:pStyle w:val="Compact"/>
        <w:numPr>
          <w:ilvl w:val="0"/>
          <w:numId w:val="1037"/>
        </w:numPr>
      </w:pPr>
      <w:r>
        <w:t xml:space="preserve">LLM API credits: ~$200-500 (GPT-4, fallback to Claude)</w:t>
      </w:r>
    </w:p>
    <w:p>
      <w:pPr>
        <w:pStyle w:val="Compact"/>
        <w:numPr>
          <w:ilvl w:val="0"/>
          <w:numId w:val="1037"/>
        </w:numPr>
      </w:pPr>
      <w:r>
        <w:t xml:space="preserve">Cloud computing resources for backup and collaboration</w:t>
      </w:r>
    </w:p>
    <w:p>
      <w:pPr>
        <w:pStyle w:val="Compact"/>
        <w:numPr>
          <w:ilvl w:val="0"/>
          <w:numId w:val="1037"/>
        </w:numPr>
      </w:pPr>
      <w:r>
        <w:t xml:space="preserve">R/Python with statistical libraries (matplotlib, seaborn, scipy)</w:t>
      </w:r>
    </w:p>
    <w:p>
      <w:pPr>
        <w:pStyle w:val="FirstParagraph"/>
      </w:pPr>
      <w:r>
        <w:rPr>
          <w:i/>
          <w:iCs/>
        </w:rPr>
        <w:t xml:space="preserve">Human Resources:</w:t>
      </w:r>
    </w:p>
    <w:p>
      <w:pPr>
        <w:pStyle w:val="Compact"/>
        <w:numPr>
          <w:ilvl w:val="0"/>
          <w:numId w:val="1038"/>
        </w:numPr>
      </w:pPr>
      <w:r>
        <w:t xml:space="preserve">Supervisor meetings: 2 hours weekly for guidance and feedback</w:t>
      </w:r>
    </w:p>
    <w:p>
      <w:pPr>
        <w:pStyle w:val="Compact"/>
        <w:numPr>
          <w:ilvl w:val="0"/>
          <w:numId w:val="1038"/>
        </w:numPr>
      </w:pPr>
      <w:r>
        <w:t xml:space="preserve">Peer reviewers: 2-3 qualified reviewers for manuscript assessment</w:t>
      </w:r>
    </w:p>
    <w:p>
      <w:pPr>
        <w:pStyle w:val="Compact"/>
        <w:numPr>
          <w:ilvl w:val="0"/>
          <w:numId w:val="1038"/>
        </w:numPr>
      </w:pPr>
      <w:r>
        <w:t xml:space="preserve">Psychology domain expert: Personality profile validation</w:t>
      </w:r>
    </w:p>
    <w:p>
      <w:pPr>
        <w:pStyle w:val="Compact"/>
        <w:numPr>
          <w:ilvl w:val="0"/>
          <w:numId w:val="1038"/>
        </w:numPr>
      </w:pPr>
      <w:r>
        <w:t xml:space="preserve">Technical support: N8N and API troubleshooting as needed</w:t>
      </w:r>
    </w:p>
    <w:p>
      <w:pPr>
        <w:pStyle w:val="FirstParagraph"/>
      </w:pPr>
      <w:r>
        <w:rPr>
          <w:i/>
          <w:iCs/>
        </w:rPr>
        <w:t xml:space="preserve">Institutional Support:</w:t>
      </w:r>
    </w:p>
    <w:p>
      <w:pPr>
        <w:pStyle w:val="Compact"/>
        <w:numPr>
          <w:ilvl w:val="0"/>
          <w:numId w:val="1039"/>
        </w:numPr>
      </w:pPr>
      <w:r>
        <w:t xml:space="preserve">Access to academic databases (ACM, IEEE, PsycINFO)</w:t>
      </w:r>
    </w:p>
    <w:p>
      <w:pPr>
        <w:pStyle w:val="Compact"/>
        <w:numPr>
          <w:ilvl w:val="0"/>
          <w:numId w:val="1039"/>
        </w:numPr>
      </w:pPr>
      <w:r>
        <w:t xml:space="preserve">Computational resources for data analysis and visualization</w:t>
      </w:r>
    </w:p>
    <w:p>
      <w:pPr>
        <w:pStyle w:val="Compact"/>
        <w:numPr>
          <w:ilvl w:val="0"/>
          <w:numId w:val="1039"/>
        </w:numPr>
      </w:pPr>
      <w:r>
        <w:t xml:space="preserve">Presentation opportunities for feedback and validation</w:t>
      </w:r>
    </w:p>
    <w:p>
      <w:pPr>
        <w:pStyle w:val="Compact"/>
        <w:numPr>
          <w:ilvl w:val="0"/>
          <w:numId w:val="1039"/>
        </w:numPr>
      </w:pPr>
      <w:r>
        <w:t xml:space="preserve">Ethics board consultation for future human studies</w:t>
      </w:r>
    </w:p>
    <w:bookmarkEnd w:id="45"/>
    <w:bookmarkStart w:id="46"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40"/>
        </w:numPr>
      </w:pPr>
      <w:r>
        <w:t xml:space="preserve">Validate simulated personality profiles with psychology domain experts</w:t>
      </w:r>
    </w:p>
    <w:p>
      <w:pPr>
        <w:pStyle w:val="Compact"/>
        <w:numPr>
          <w:ilvl w:val="0"/>
          <w:numId w:val="1040"/>
        </w:numPr>
      </w:pPr>
      <w:r>
        <w:t xml:space="preserve">Supplement extreme profiles (Type A/B) with mid-range combinations (Type C)</w:t>
      </w:r>
    </w:p>
    <w:p>
      <w:pPr>
        <w:pStyle w:val="Compact"/>
        <w:numPr>
          <w:ilvl w:val="0"/>
          <w:numId w:val="1040"/>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41"/>
        </w:numPr>
      </w:pPr>
      <w:r>
        <w:t xml:space="preserve">Fixed evaluation prompts with cryptographic hashing to prevent drift</w:t>
      </w:r>
    </w:p>
    <w:p>
      <w:pPr>
        <w:pStyle w:val="Compact"/>
        <w:numPr>
          <w:ilvl w:val="0"/>
          <w:numId w:val="1041"/>
        </w:numPr>
      </w:pPr>
      <w:r>
        <w:t xml:space="preserve">Multiple independent evaluation runs (3×) with consistency analysis</w:t>
      </w:r>
    </w:p>
    <w:p>
      <w:pPr>
        <w:pStyle w:val="Compact"/>
        <w:numPr>
          <w:ilvl w:val="0"/>
          <w:numId w:val="1041"/>
        </w:numPr>
      </w:pPr>
      <w:r>
        <w:t xml:space="preserve">Randomized assessment order to prevent systematic biases</w:t>
      </w:r>
    </w:p>
    <w:p>
      <w:pPr>
        <w:pStyle w:val="Compact"/>
        <w:numPr>
          <w:ilvl w:val="0"/>
          <w:numId w:val="1041"/>
        </w:numPr>
      </w:pPr>
      <w:r>
        <w:t xml:space="preserve">Human spot-checking of automated evaluations (10% sample)</w:t>
      </w:r>
    </w:p>
    <w:p>
      <w:pPr>
        <w:pStyle w:val="Compact"/>
        <w:numPr>
          <w:ilvl w:val="0"/>
          <w:numId w:val="1041"/>
        </w:numPr>
      </w:pPr>
      <w:r>
        <w:t xml:space="preserve">Inter-rater reliability testing in thesis phase</w:t>
      </w:r>
    </w:p>
    <w:p>
      <w:pPr>
        <w:pStyle w:val="FirstParagraph"/>
      </w:pPr>
      <w:r>
        <w:rPr>
          <w:i/>
          <w:iCs/>
        </w:rPr>
        <w:t xml:space="preserve">Technical Robustness:</w:t>
      </w:r>
    </w:p>
    <w:p>
      <w:pPr>
        <w:pStyle w:val="Compact"/>
        <w:numPr>
          <w:ilvl w:val="0"/>
          <w:numId w:val="1042"/>
        </w:numPr>
      </w:pPr>
      <w:r>
        <w:t xml:space="preserve">Systematic prompt versioning with semantic version numbers (v1.0.0)</w:t>
      </w:r>
    </w:p>
    <w:p>
      <w:pPr>
        <w:pStyle w:val="Compact"/>
        <w:numPr>
          <w:ilvl w:val="0"/>
          <w:numId w:val="1042"/>
        </w:numPr>
      </w:pPr>
      <w:r>
        <w:t xml:space="preserve">A/B testing of prompt variations to identify optimal formulations</w:t>
      </w:r>
    </w:p>
    <w:p>
      <w:pPr>
        <w:pStyle w:val="Compact"/>
        <w:numPr>
          <w:ilvl w:val="0"/>
          <w:numId w:val="1042"/>
        </w:numPr>
      </w:pPr>
      <w:r>
        <w:t xml:space="preserve">Comprehensive auditing of generated directives</w:t>
      </w:r>
    </w:p>
    <w:p>
      <w:pPr>
        <w:pStyle w:val="Compact"/>
        <w:numPr>
          <w:ilvl w:val="0"/>
          <w:numId w:val="1042"/>
        </w:numPr>
      </w:pPr>
      <w:r>
        <w:t xml:space="preserve">Maintenance of prompt libraries with detailed change logs</w:t>
      </w:r>
    </w:p>
    <w:p>
      <w:pPr>
        <w:pStyle w:val="FirstParagraph"/>
      </w:pPr>
      <w:r>
        <w:rPr>
          <w:i/>
          <w:iCs/>
        </w:rPr>
        <w:t xml:space="preserve">Reproducibility Assurance:</w:t>
      </w:r>
    </w:p>
    <w:p>
      <w:pPr>
        <w:pStyle w:val="Compact"/>
        <w:numPr>
          <w:ilvl w:val="0"/>
          <w:numId w:val="1043"/>
        </w:numPr>
      </w:pPr>
      <w:r>
        <w:t xml:space="preserve">Pin specific model versions with documented API endpoints</w:t>
      </w:r>
    </w:p>
    <w:p>
      <w:pPr>
        <w:pStyle w:val="Compact"/>
        <w:numPr>
          <w:ilvl w:val="0"/>
          <w:numId w:val="1043"/>
        </w:numPr>
      </w:pPr>
      <w:r>
        <w:t xml:space="preserve">Fix random seeds for all stochastic processes</w:t>
      </w:r>
    </w:p>
    <w:p>
      <w:pPr>
        <w:pStyle w:val="Compact"/>
        <w:numPr>
          <w:ilvl w:val="0"/>
          <w:numId w:val="1043"/>
        </w:numPr>
      </w:pPr>
      <w:r>
        <w:t xml:space="preserve">Archive complete configuration snapshots for each experimental run</w:t>
      </w:r>
    </w:p>
    <w:p>
      <w:pPr>
        <w:pStyle w:val="Compact"/>
        <w:numPr>
          <w:ilvl w:val="0"/>
          <w:numId w:val="1043"/>
        </w:numPr>
      </w:pPr>
      <w:r>
        <w:t xml:space="preserve">Comprehensive logging of all system interactions</w:t>
      </w:r>
    </w:p>
    <w:p>
      <w:pPr>
        <w:pStyle w:val="Compact"/>
        <w:numPr>
          <w:ilvl w:val="0"/>
          <w:numId w:val="1043"/>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44"/>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44"/>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44"/>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44"/>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45"/>
        </w:numPr>
      </w:pPr>
      <w:r>
        <w:t xml:space="preserve">Ready access to OpenAI GPT-4, Anthropic Claude with equivalent API interfaces</w:t>
      </w:r>
    </w:p>
    <w:p>
      <w:pPr>
        <w:pStyle w:val="Compact"/>
        <w:numPr>
          <w:ilvl w:val="0"/>
          <w:numId w:val="1045"/>
        </w:numPr>
      </w:pPr>
      <w:r>
        <w:t xml:space="preserve">All prompts and evaluation procedures designed to be provider-agnostic</w:t>
      </w:r>
    </w:p>
    <w:p>
      <w:pPr>
        <w:pStyle w:val="Compact"/>
        <w:numPr>
          <w:ilvl w:val="0"/>
          <w:numId w:val="1045"/>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46"/>
        </w:numPr>
      </w:pPr>
      <w:r>
        <w:t xml:space="preserve">Human evaluation with trained raters (n=30) if automated evaluation proves unreliable</w:t>
      </w:r>
    </w:p>
    <w:p>
      <w:pPr>
        <w:pStyle w:val="Compact"/>
        <w:numPr>
          <w:ilvl w:val="0"/>
          <w:numId w:val="1046"/>
        </w:numPr>
      </w:pPr>
      <w:r>
        <w:t xml:space="preserve">Evaluation rubrics interpretable by both automated and human assessors</w:t>
      </w:r>
    </w:p>
    <w:p>
      <w:pPr>
        <w:pStyle w:val="Compact"/>
        <w:numPr>
          <w:ilvl w:val="0"/>
          <w:numId w:val="1046"/>
        </w:numPr>
      </w:pPr>
      <w:r>
        <w:t xml:space="preserve">Relationships with qualified evaluators for rapid deployment</w:t>
      </w:r>
    </w:p>
    <w:p>
      <w:pPr>
        <w:pStyle w:val="FirstParagraph"/>
      </w:pPr>
      <w:r>
        <w:rPr>
          <w:i/>
          <w:iCs/>
        </w:rPr>
        <w:t xml:space="preserve">Scope Adjustment Gates:</w:t>
      </w:r>
    </w:p>
    <w:p>
      <w:pPr>
        <w:pStyle w:val="Compact"/>
        <w:numPr>
          <w:ilvl w:val="0"/>
          <w:numId w:val="1047"/>
        </w:numPr>
      </w:pPr>
      <w:r>
        <w:rPr>
          <w:b/>
          <w:bCs/>
        </w:rPr>
        <w:t xml:space="preserve">Evaluator consistency &lt; 0.75 after two fixes:</w:t>
      </w:r>
      <w:r>
        <w:t xml:space="preserve"> </w:t>
      </w:r>
      <w:r>
        <w:t xml:space="preserve">Switch to human evaluation sample; freeze prompt changes</w:t>
      </w:r>
    </w:p>
    <w:p>
      <w:pPr>
        <w:pStyle w:val="Compact"/>
        <w:numPr>
          <w:ilvl w:val="0"/>
          <w:numId w:val="1047"/>
        </w:numPr>
      </w:pPr>
      <w:r>
        <w:rPr>
          <w:b/>
          <w:bCs/>
        </w:rPr>
        <w:t xml:space="preserve">JSON compliance &lt; 98.5% for two weeks:</w:t>
      </w:r>
      <w:r>
        <w:t xml:space="preserve"> </w:t>
      </w:r>
      <w:r>
        <w:t xml:space="preserve">Prioritize contract hardening over feature work</w:t>
      </w:r>
    </w:p>
    <w:p>
      <w:pPr>
        <w:pStyle w:val="Compact"/>
        <w:numPr>
          <w:ilvl w:val="0"/>
          <w:numId w:val="1047"/>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8"/>
        </w:numPr>
      </w:pPr>
      <w:r>
        <w:t xml:space="preserve">Built-in buffers for unexpected challenges</w:t>
      </w:r>
    </w:p>
    <w:p>
      <w:pPr>
        <w:pStyle w:val="Compact"/>
        <w:numPr>
          <w:ilvl w:val="0"/>
          <w:numId w:val="1048"/>
        </w:numPr>
      </w:pPr>
      <w:r>
        <w:t xml:space="preserve">Non-critical features identified for potential deferral to thesis phase</w:t>
      </w:r>
    </w:p>
    <w:p>
      <w:pPr>
        <w:pStyle w:val="Compact"/>
        <w:numPr>
          <w:ilvl w:val="0"/>
          <w:numId w:val="1048"/>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9"/>
        </w:numPr>
      </w:pPr>
      <w:r>
        <w:t xml:space="preserve">Progress against planned milestones</w:t>
      </w:r>
    </w:p>
    <w:p>
      <w:pPr>
        <w:pStyle w:val="Compact"/>
        <w:numPr>
          <w:ilvl w:val="0"/>
          <w:numId w:val="1049"/>
        </w:numPr>
      </w:pPr>
      <w:r>
        <w:t xml:space="preserve">Emergence of new risks or changes in existing risk profiles</w:t>
      </w:r>
    </w:p>
    <w:p>
      <w:pPr>
        <w:pStyle w:val="Compact"/>
        <w:numPr>
          <w:ilvl w:val="0"/>
          <w:numId w:val="1049"/>
        </w:numPr>
      </w:pPr>
      <w:r>
        <w:t xml:space="preserve">Effectiveness of current mitigation strategies</w:t>
      </w:r>
    </w:p>
    <w:p>
      <w:pPr>
        <w:pStyle w:val="Compact"/>
        <w:numPr>
          <w:ilvl w:val="0"/>
          <w:numId w:val="1049"/>
        </w:numPr>
      </w:pPr>
      <w:r>
        <w:t xml:space="preserve">Need for additional resources or support</w:t>
      </w:r>
    </w:p>
    <w:p>
      <w:pPr>
        <w:pStyle w:val="FirstParagraph"/>
      </w:pPr>
      <w:r>
        <w:rPr>
          <w:i/>
          <w:iCs/>
        </w:rPr>
        <w:t xml:space="preserve">Stakeholder Communication:</w:t>
      </w:r>
    </w:p>
    <w:p>
      <w:pPr>
        <w:pStyle w:val="Compact"/>
        <w:numPr>
          <w:ilvl w:val="0"/>
          <w:numId w:val="1050"/>
        </w:numPr>
      </w:pPr>
      <w:r>
        <w:t xml:space="preserve">Regular updates to supervisors with explicit risk status reporting</w:t>
      </w:r>
    </w:p>
    <w:p>
      <w:pPr>
        <w:pStyle w:val="Compact"/>
        <w:numPr>
          <w:ilvl w:val="0"/>
          <w:numId w:val="1050"/>
        </w:numPr>
      </w:pPr>
      <w:r>
        <w:t xml:space="preserve">Early escalation of issues requiring additional resources or guidance</w:t>
      </w:r>
    </w:p>
    <w:p>
      <w:pPr>
        <w:pStyle w:val="Compact"/>
        <w:numPr>
          <w:ilvl w:val="0"/>
          <w:numId w:val="1050"/>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6"/>
    <w:bookmarkEnd w:id="47"/>
    <w:bookmarkStart w:id="78"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8">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9">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0">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51">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2">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3">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4">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5">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r>
        <w:t xml:space="preserve"> </w:t>
      </w:r>
      <w:r>
        <w:rPr>
          <w:i/>
          <w:iCs/>
        </w:rPr>
        <w:t xml:space="preserve">Note: Completed December 2024; available from HSLU institutional repository upon request.</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6">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7">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8">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9">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0">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61">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2">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3">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4">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5">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6">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7">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8">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9">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70">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71">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2">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3">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4">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5">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6">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7">
        <w:r>
          <w:rPr>
            <w:rStyle w:val="Hyperlink"/>
          </w:rPr>
          <w:t xml:space="preserve">https://doi.org/10.48550/arXiv.2308.11584</w:t>
        </w:r>
      </w:hyperlink>
    </w:p>
    <w:p>
      <w:r>
        <w:pict>
          <v:rect style="width:0;height:1.5pt" o:hralign="center" o:hrstd="t" o:hr="t"/>
        </w:pict>
      </w:r>
    </w:p>
    <w:bookmarkEnd w:id="78"/>
    <w:bookmarkStart w:id="82"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9"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51"/>
        </w:numPr>
      </w:pPr>
      <w:r>
        <w:t xml:space="preserve">This prompt is executed by the Verification Node in the N8N workflow (see Section 4.2, Table 3)</w:t>
      </w:r>
    </w:p>
    <w:p>
      <w:pPr>
        <w:pStyle w:val="Compact"/>
        <w:numPr>
          <w:ilvl w:val="0"/>
          <w:numId w:val="1051"/>
        </w:numPr>
      </w:pPr>
      <w:r>
        <w:t xml:space="preserve">Model: GPT-4 or Gemini-1.5-Pro with temperature=0 for consistency</w:t>
      </w:r>
    </w:p>
    <w:p>
      <w:pPr>
        <w:pStyle w:val="Compact"/>
        <w:numPr>
          <w:ilvl w:val="0"/>
          <w:numId w:val="1051"/>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51"/>
        </w:numPr>
      </w:pPr>
      <w:r>
        <w:t xml:space="preserve">Output is parsed using regex pattern to extract five criterion scores</w:t>
      </w:r>
    </w:p>
    <w:p>
      <w:pPr>
        <w:pStyle w:val="Compact"/>
        <w:numPr>
          <w:ilvl w:val="0"/>
          <w:numId w:val="1051"/>
        </w:numPr>
      </w:pPr>
      <w:r>
        <w:t xml:space="preserve">Failed parses default to neutral baseline scores (all "Partial") to maintain workflow stability</w:t>
      </w:r>
    </w:p>
    <w:bookmarkEnd w:id="79"/>
    <w:bookmarkStart w:id="80"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52"/>
        </w:numPr>
      </w:pPr>
      <w:r>
        <w:rPr>
          <w:b/>
          <w:bCs/>
        </w:rPr>
        <w:t xml:space="preserve">Row-level scoring:</w:t>
      </w:r>
      <w:r>
        <w:t xml:space="preserve"> </w:t>
      </w:r>
      <w:r>
        <w:t xml:space="preserve">Sum of all criterion scores for single interaction</w:t>
      </w:r>
    </w:p>
    <w:p>
      <w:pPr>
        <w:pStyle w:val="Compact"/>
        <w:numPr>
          <w:ilvl w:val="0"/>
          <w:numId w:val="1052"/>
        </w:numPr>
      </w:pPr>
      <w:r>
        <w:rPr>
          <w:b/>
          <w:bCs/>
        </w:rPr>
        <w:t xml:space="preserve">Bot-level scoring:</w:t>
      </w:r>
      <w:r>
        <w:t xml:space="preserve"> </w:t>
      </w:r>
      <w:r>
        <w:t xml:space="preserve">Average of all row scores for individual bot instance</w:t>
      </w:r>
    </w:p>
    <w:p>
      <w:pPr>
        <w:pStyle w:val="Compact"/>
        <w:numPr>
          <w:ilvl w:val="0"/>
          <w:numId w:val="1052"/>
        </w:numPr>
      </w:pPr>
      <w:r>
        <w:rPr>
          <w:b/>
          <w:bCs/>
        </w:rPr>
        <w:t xml:space="preserve">Condition-level scoring:</w:t>
      </w:r>
      <w:r>
        <w:t xml:space="preserve"> </w:t>
      </w:r>
      <w:r>
        <w:t xml:space="preserve">Average across all bots in regulated or baseline condition</w:t>
      </w:r>
    </w:p>
    <w:p>
      <w:pPr>
        <w:pStyle w:val="Compact"/>
        <w:numPr>
          <w:ilvl w:val="0"/>
          <w:numId w:val="1052"/>
        </w:numPr>
      </w:pPr>
      <w:r>
        <w:rPr>
          <w:b/>
          <w:bCs/>
        </w:rPr>
        <w:t xml:space="preserve">Statistical analysis:</w:t>
      </w:r>
      <w:r>
        <w:t xml:space="preserve"> </w:t>
      </w:r>
      <w:r>
        <w:t xml:space="preserve">T-tests, effect sizes, confidence intervals for group comparisons</w:t>
      </w:r>
    </w:p>
    <w:p>
      <w:pPr>
        <w:pStyle w:val="FirstParagraph"/>
      </w:pPr>
      <w:r>
        <w:rPr>
          <w:b/>
          <w:bCs/>
        </w:rPr>
        <w:t xml:space="preserve">B.3 Reproducibility and Technical Documentation Access</w:t>
      </w:r>
    </w:p>
    <w:p>
      <w:pPr>
        <w:pStyle w:val="BodyText"/>
      </w:pPr>
      <w:r>
        <w:t xml:space="preserve">For complete technical implementations beyond this preliminary study scope:</w:t>
      </w:r>
    </w:p>
    <w:p>
      <w:pPr>
        <w:pStyle w:val="Compact"/>
        <w:numPr>
          <w:ilvl w:val="0"/>
          <w:numId w:val="1053"/>
        </w:numPr>
      </w:pPr>
      <w:r>
        <w:rPr>
          <w:b/>
          <w:bCs/>
        </w:rPr>
        <w:t xml:space="preserve">Full N8N workflow configurations:</w:t>
      </w:r>
      <w:r>
        <w:t xml:space="preserve"> </w:t>
      </w:r>
      <w:r>
        <w:t xml:space="preserve">See</w:t>
      </w:r>
      <w:r>
        <w:t xml:space="preserve"> </w:t>
      </w:r>
      <w:r>
        <w:rPr>
          <w:rStyle w:val="VerbatimChar"/>
        </w:rPr>
        <w:t xml:space="preserve">preliminary-studies/w9-Technical-Specifications/workflows/webhook-personality-pipeline.json</w:t>
      </w:r>
    </w:p>
    <w:p>
      <w:pPr>
        <w:pStyle w:val="Compact"/>
        <w:numPr>
          <w:ilvl w:val="0"/>
          <w:numId w:val="1053"/>
        </w:numPr>
      </w:pPr>
      <w:r>
        <w:rPr>
          <w:b/>
          <w:bCs/>
        </w:rPr>
        <w:t xml:space="preserve">Database schemas and migration scripts:</w:t>
      </w:r>
      <w:r>
        <w:t xml:space="preserve"> </w:t>
      </w:r>
      <w:r>
        <w:t xml:space="preserve">See</w:t>
      </w:r>
      <w:r>
        <w:t xml:space="preserve"> </w:t>
      </w:r>
      <w:r>
        <w:rPr>
          <w:rStyle w:val="VerbatimChar"/>
        </w:rPr>
        <w:t xml:space="preserve">preliminary-studies/w9-Technical-Specifications/database/</w:t>
      </w:r>
    </w:p>
    <w:p>
      <w:pPr>
        <w:pStyle w:val="Compact"/>
        <w:numPr>
          <w:ilvl w:val="0"/>
          <w:numId w:val="1053"/>
        </w:numPr>
      </w:pPr>
      <w:r>
        <w:rPr>
          <w:b/>
          <w:bCs/>
        </w:rPr>
        <w:t xml:space="preserve">Statistical analysis pipelines:</w:t>
      </w:r>
      <w:r>
        <w:t xml:space="preserve"> </w:t>
      </w:r>
      <w:r>
        <w:t xml:space="preserve">Available in separate technical documentation upon request from the author or supervisor</w:t>
      </w:r>
    </w:p>
    <w:p>
      <w:pPr>
        <w:pStyle w:val="Compact"/>
        <w:numPr>
          <w:ilvl w:val="0"/>
          <w:numId w:val="1053"/>
        </w:numPr>
      </w:pPr>
      <w:r>
        <w:rPr>
          <w:b/>
          <w:bCs/>
        </w:rPr>
        <w:t xml:space="preserve">Docker Compose deployment configuration:</w:t>
      </w:r>
      <w:r>
        <w:t xml:space="preserve"> </w:t>
      </w:r>
      <w:r>
        <w:t xml:space="preserve">See</w:t>
      </w:r>
      <w:r>
        <w:t xml:space="preserve"> </w:t>
      </w:r>
      <w:r>
        <w:rPr>
          <w:rStyle w:val="VerbatimChar"/>
        </w:rPr>
        <w:t xml:space="preserve">preliminary-studies/w9-Technical-Specifications/deployment/docker-compose.yml</w:t>
      </w:r>
    </w:p>
    <w:p>
      <w:pPr>
        <w:pStyle w:val="FirstParagraph"/>
      </w:pPr>
      <w:r>
        <w:t xml:space="preserve">All referenced files are maintained in the project repository:</w:t>
      </w:r>
      <w:r>
        <w:t xml:space="preserve"> </w:t>
      </w:r>
      <w:r>
        <w:rPr>
          <w:rStyle w:val="VerbatimChar"/>
        </w:rPr>
        <w:t xml:space="preserve">/Users/huaduojiejia/MyProject/hslu/2026/preliminary-studies/</w:t>
      </w:r>
    </w:p>
    <w:p>
      <w:pPr>
        <w:pStyle w:val="BodyText"/>
      </w:pPr>
      <w:r>
        <w:rPr>
          <w:b/>
          <w:bCs/>
        </w:rPr>
        <w:t xml:space="preserve">Note:</w:t>
      </w:r>
      <w:r>
        <w:t xml:space="preserve"> </w:t>
      </w:r>
      <w:r>
        <w:t xml:space="preserve">Appendices C and D (N8N node code, statistical analysis scripts) from version 2.3.1 were moved to separate technical documentation to streamline this formal preliminary study. They remain available for implementation teams requiring detailed technical specifications.</w:t>
      </w:r>
    </w:p>
    <w:bookmarkEnd w:id="80"/>
    <w:bookmarkStart w:id="81"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(JavaScript Object Notation):</w:t>
      </w:r>
      <w:r>
        <w:t xml:space="preserve"> </w:t>
      </w:r>
      <w:r>
        <w:t xml:space="preserve">A lightweight, machine-parsable data interchange format using key-value pairs and arrays. Enables structured data exchange between system components with strict schema validation.</w:t>
      </w:r>
    </w:p>
    <w:p>
      <w:pPr>
        <w:pStyle w:val="BodyText"/>
      </w:pPr>
      <w:r>
        <w:rPr>
          <w:b/>
          <w:bCs/>
        </w:rPr>
        <w:t xml:space="preserve">JSON Contracts:</w:t>
      </w:r>
      <w:r>
        <w:t xml:space="preserve"> </w:t>
      </w:r>
      <w:r>
        <w:t xml:space="preserve">Standardized data formats using JSON that define the exact structure of inputs and outputs for each system module, ensuring interoperability and enabling systematic testing.</w:t>
      </w:r>
    </w:p>
    <w:p>
      <w:pPr>
        <w:pStyle w:val="BodyText"/>
      </w:pPr>
      <w:r>
        <w:rPr>
          <w:b/>
          <w:bCs/>
        </w:rPr>
        <w:t xml:space="preserve">YAML (Yet Another Markup Language):</w:t>
      </w:r>
      <w:r>
        <w:t xml:space="preserve"> </w:t>
      </w:r>
      <w:r>
        <w:t xml:space="preserve">A human-readable data serialization format commonly used for configuration files. More verbose than JSON but easier for manual editing and maintenance.</w:t>
      </w:r>
    </w:p>
    <w:p>
      <w:pPr>
        <w:pStyle w:val="BodyText"/>
      </w:pPr>
      <w:r>
        <w:rPr>
          <w:b/>
          <w:bCs/>
        </w:rPr>
        <w:t xml:space="preserve">Policy Packs:</w:t>
      </w:r>
      <w:r>
        <w:t xml:space="preserve"> </w:t>
      </w:r>
      <w:r>
        <w:t xml:space="preserve">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54"/>
        </w:numPr>
      </w:pPr>
      <w:r>
        <w:rPr>
          <w:b/>
          <w:bCs/>
        </w:rPr>
        <w:t xml:space="preserve">Total Length:</w:t>
      </w:r>
      <w:r>
        <w:t xml:space="preserve"> </w:t>
      </w:r>
      <w:r>
        <w:t xml:space="preserve">~27 pages (estimated)</w:t>
      </w:r>
    </w:p>
    <w:p>
      <w:pPr>
        <w:pStyle w:val="Compact"/>
        <w:numPr>
          <w:ilvl w:val="0"/>
          <w:numId w:val="1054"/>
        </w:numPr>
      </w:pPr>
      <w:r>
        <w:rPr>
          <w:b/>
          <w:bCs/>
        </w:rPr>
        <w:t xml:space="preserve">Word Count:</w:t>
      </w:r>
      <w:r>
        <w:t xml:space="preserve"> </w:t>
      </w:r>
      <w:r>
        <w:t xml:space="preserve">~13,900 words</w:t>
      </w:r>
    </w:p>
    <w:p>
      <w:pPr>
        <w:pStyle w:val="Compact"/>
        <w:numPr>
          <w:ilvl w:val="0"/>
          <w:numId w:val="1054"/>
        </w:numPr>
      </w:pPr>
      <w:r>
        <w:rPr>
          <w:b/>
          <w:bCs/>
        </w:rPr>
        <w:t xml:space="preserve">Sections:</w:t>
      </w:r>
      <w:r>
        <w:t xml:space="preserve"> </w:t>
      </w:r>
      <w:r>
        <w:t xml:space="preserve">8 main sections plus focused appendices (A, B, C)</w:t>
      </w:r>
    </w:p>
    <w:p>
      <w:pPr>
        <w:pStyle w:val="Compact"/>
        <w:numPr>
          <w:ilvl w:val="0"/>
          <w:numId w:val="1054"/>
        </w:numPr>
      </w:pPr>
      <w:r>
        <w:rPr>
          <w:b/>
          <w:bCs/>
        </w:rPr>
        <w:t xml:space="preserve">Tables:</w:t>
      </w:r>
      <w:r>
        <w:t xml:space="preserve"> </w:t>
      </w:r>
      <w:r>
        <w:t xml:space="preserve">11 numbered tables with captions and technical specifications</w:t>
      </w:r>
    </w:p>
    <w:p>
      <w:pPr>
        <w:pStyle w:val="Compact"/>
        <w:numPr>
          <w:ilvl w:val="1"/>
          <w:numId w:val="1055"/>
        </w:numPr>
      </w:pPr>
      <w:r>
        <w:t xml:space="preserve">Table 1: Limitations vs. Contributions</w:t>
      </w:r>
    </w:p>
    <w:p>
      <w:pPr>
        <w:pStyle w:val="Compact"/>
        <w:numPr>
          <w:ilvl w:val="1"/>
          <w:numId w:val="1055"/>
        </w:numPr>
      </w:pPr>
      <w:r>
        <w:t xml:space="preserve">Table 2a: LLM Model Comparison</w:t>
      </w:r>
    </w:p>
    <w:p>
      <w:pPr>
        <w:pStyle w:val="Compact"/>
        <w:numPr>
          <w:ilvl w:val="1"/>
          <w:numId w:val="1055"/>
        </w:numPr>
      </w:pPr>
      <w:r>
        <w:t xml:space="preserve">Table 2b: Evaluation Metrics and Targets</w:t>
      </w:r>
    </w:p>
    <w:p>
      <w:pPr>
        <w:pStyle w:val="Compact"/>
        <w:numPr>
          <w:ilvl w:val="1"/>
          <w:numId w:val="1055"/>
        </w:numPr>
      </w:pPr>
      <w:r>
        <w:t xml:space="preserve">Tables 3-9: Technical specifications, workflows, risk matrix</w:t>
      </w:r>
    </w:p>
    <w:p>
      <w:pPr>
        <w:pStyle w:val="Compact"/>
        <w:numPr>
          <w:ilvl w:val="1"/>
          <w:numId w:val="1055"/>
        </w:numPr>
      </w:pPr>
      <w:r>
        <w:rPr>
          <w:b/>
          <w:bCs/>
        </w:rPr>
        <w:t xml:space="preserve">Table 4a: EMA Parameter Sensitivity Analysis</w:t>
      </w:r>
      <w:r>
        <w:t xml:space="preserve"> </w:t>
      </w:r>
      <w:r>
        <w:t xml:space="preserve">(new in V2.3.3)</w:t>
      </w:r>
    </w:p>
    <w:p>
      <w:pPr>
        <w:pStyle w:val="Compact"/>
        <w:numPr>
          <w:ilvl w:val="1"/>
          <w:numId w:val="1055"/>
        </w:numPr>
      </w:pPr>
      <w:r>
        <w:rPr>
          <w:b/>
          <w:bCs/>
        </w:rPr>
        <w:t xml:space="preserve">Table 4b: EMA Convergence Across Personality Profiles</w:t>
      </w:r>
      <w:r>
        <w:t xml:space="preserve"> </w:t>
      </w:r>
      <w:r>
        <w:t xml:space="preserve">(new in V2.3.3)</w:t>
      </w:r>
    </w:p>
    <w:p>
      <w:pPr>
        <w:pStyle w:val="Compact"/>
        <w:numPr>
          <w:ilvl w:val="1"/>
          <w:numId w:val="1055"/>
        </w:numPr>
      </w:pPr>
      <w:r>
        <w:t xml:space="preserve">Table B.1: Evaluation rubric (Appendix B)</w:t>
      </w:r>
    </w:p>
    <w:p>
      <w:pPr>
        <w:pStyle w:val="Compact"/>
        <w:numPr>
          <w:ilvl w:val="0"/>
          <w:numId w:val="1054"/>
        </w:numPr>
      </w:pPr>
      <w:r>
        <w:rPr>
          <w:b/>
          <w:bCs/>
        </w:rPr>
        <w:t xml:space="preserve">Figures:</w:t>
      </w:r>
      <w:r>
        <w:t xml:space="preserve"> </w:t>
      </w:r>
      <w:r>
        <w:t xml:space="preserve">3 diagrams with descriptive captions</w:t>
      </w:r>
    </w:p>
    <w:p>
      <w:pPr>
        <w:pStyle w:val="Compact"/>
        <w:numPr>
          <w:ilvl w:val="1"/>
          <w:numId w:val="1056"/>
        </w:numPr>
      </w:pPr>
      <w:r>
        <w:t xml:space="preserve">Figure 1: System Architecture Pipeline (ASCII diagram)</w:t>
      </w:r>
    </w:p>
    <w:p>
      <w:pPr>
        <w:pStyle w:val="Compact"/>
        <w:numPr>
          <w:ilvl w:val="1"/>
          <w:numId w:val="1056"/>
        </w:numPr>
      </w:pPr>
      <w:r>
        <w:t xml:space="preserve">Figure 2: N8N Production Workflow Architecture</w:t>
      </w:r>
    </w:p>
    <w:p>
      <w:pPr>
        <w:pStyle w:val="Compact"/>
        <w:numPr>
          <w:ilvl w:val="1"/>
          <w:numId w:val="1056"/>
        </w:numPr>
      </w:pPr>
      <w:r>
        <w:t xml:space="preserve">Figure 3: Containerized System Architecture and DevOps Infrastructure</w:t>
      </w:r>
    </w:p>
    <w:p>
      <w:pPr>
        <w:pStyle w:val="Compact"/>
        <w:numPr>
          <w:ilvl w:val="0"/>
          <w:numId w:val="1054"/>
        </w:numPr>
      </w:pPr>
      <w:r>
        <w:rPr>
          <w:b/>
          <w:bCs/>
        </w:rPr>
        <w:t xml:space="preserve">Appendices:</w:t>
      </w:r>
      <w:r>
        <w:t xml:space="preserve"> </w:t>
      </w:r>
      <w:r>
        <w:t xml:space="preserve">3 focused appendices (A: Prompts, B: Rubrics, C: Glossary)</w:t>
      </w:r>
    </w:p>
    <w:p>
      <w:pPr>
        <w:pStyle w:val="Compact"/>
        <w:numPr>
          <w:ilvl w:val="1"/>
          <w:numId w:val="1057"/>
        </w:numPr>
      </w:pPr>
      <w:r>
        <w:t xml:space="preserve">Note: Technical configurations and analysis code available in separate technical documentation</w:t>
      </w:r>
    </w:p>
    <w:p>
      <w:pPr>
        <w:pStyle w:val="Compact"/>
        <w:numPr>
          <w:ilvl w:val="0"/>
          <w:numId w:val="1054"/>
        </w:numPr>
      </w:pPr>
      <w:r>
        <w:rPr>
          <w:b/>
          <w:bCs/>
        </w:rPr>
        <w:t xml:space="preserve">References:</w:t>
      </w:r>
      <w:r>
        <w:t xml:space="preserve"> </w:t>
      </w:r>
      <w:r>
        <w:t xml:space="preserve">31 academic sources in APA 7th edition format</w:t>
      </w:r>
    </w:p>
    <w:p>
      <w:pPr>
        <w:pStyle w:val="Compact"/>
        <w:numPr>
          <w:ilvl w:val="1"/>
          <w:numId w:val="1058"/>
        </w:numPr>
      </w:pPr>
      <w:r>
        <w:t xml:space="preserve">Coverage: 2010-2025 (emphasizing recent 2023-2025 LLM research)</w:t>
      </w:r>
    </w:p>
    <w:p>
      <w:pPr>
        <w:pStyle w:val="Compact"/>
        <w:numPr>
          <w:ilvl w:val="1"/>
          <w:numId w:val="1058"/>
        </w:numPr>
      </w:pPr>
      <w:r>
        <w:t xml:space="preserve">DOIs provided for all journal articles and conference papers where available</w:t>
      </w:r>
    </w:p>
    <w:p>
      <w:pPr>
        <w:pStyle w:val="Compact"/>
        <w:numPr>
          <w:ilvl w:val="1"/>
          <w:numId w:val="1058"/>
        </w:numPr>
      </w:pPr>
      <w:r>
        <w:t xml:space="preserve">Diverse sources: personality psychology, HCI, conversational AI, LLMs</w:t>
      </w:r>
    </w:p>
    <w:p>
      <w:pPr>
        <w:pStyle w:val="Compact"/>
        <w:numPr>
          <w:ilvl w:val="0"/>
          <w:numId w:val="1054"/>
        </w:numPr>
      </w:pPr>
      <w:r>
        <w:rPr>
          <w:b/>
          <w:bCs/>
        </w:rPr>
        <w:t xml:space="preserve">Format:</w:t>
      </w:r>
      <w:r>
        <w:t xml:space="preserve"> </w:t>
      </w:r>
      <w:r>
        <w:t xml:space="preserve">Publication-quality with empirical validation and simulation results</w:t>
      </w:r>
    </w:p>
    <w:p>
      <w:pPr>
        <w:pStyle w:val="FirstParagraph"/>
      </w:pPr>
      <w:r>
        <w:rPr>
          <w:b/>
          <w:bCs/>
        </w:rPr>
        <w:t xml:space="preserve">Version 2.3.3 Enhancements:</w:t>
      </w:r>
    </w:p>
    <w:p>
      <w:pPr>
        <w:pStyle w:val="Compact"/>
        <w:numPr>
          <w:ilvl w:val="0"/>
          <w:numId w:val="1059"/>
        </w:numPr>
      </w:pPr>
      <w:r>
        <w:t xml:space="preserve">✅ EMA parameter sensitivity analysis with α ∈ {0.1, 0.2, 0.3, 0.4, 0.5} comparison</w:t>
      </w:r>
    </w:p>
    <w:p>
      <w:pPr>
        <w:pStyle w:val="Compact"/>
        <w:numPr>
          <w:ilvl w:val="0"/>
          <w:numId w:val="1059"/>
        </w:numPr>
      </w:pPr>
      <w:r>
        <w:t xml:space="preserve">✅ Preliminary convergence results across 5 personality profile types (n=30 simulated conversations)</w:t>
      </w:r>
    </w:p>
    <w:p>
      <w:pPr>
        <w:pStyle w:val="Compact"/>
        <w:numPr>
          <w:ilvl w:val="0"/>
          <w:numId w:val="1059"/>
        </w:numPr>
      </w:pPr>
      <w:r>
        <w:t xml:space="preserve">✅ Quantified measurement methods for all research questions</w:t>
      </w:r>
    </w:p>
    <w:p>
      <w:pPr>
        <w:pStyle w:val="Compact"/>
        <w:numPr>
          <w:ilvl w:val="0"/>
          <w:numId w:val="1059"/>
        </w:numPr>
      </w:pPr>
      <w:r>
        <w:t xml:space="preserve">✅ Explicit four-point innovation framework positioning vs. Devdas (2025)</w:t>
      </w:r>
    </w:p>
    <w:p>
      <w:pPr>
        <w:pStyle w:val="Compact"/>
        <w:numPr>
          <w:ilvl w:val="0"/>
          <w:numId w:val="1059"/>
        </w:numPr>
      </w:pPr>
      <w:r>
        <w:t xml:space="preserve">✅ Comprehensive LLM model comparison table (GPT-4, Gemini, Llama, Claude)</w:t>
      </w:r>
    </w:p>
    <w:p>
      <w:pPr>
        <w:pStyle w:val="Compact"/>
        <w:numPr>
          <w:ilvl w:val="0"/>
          <w:numId w:val="1059"/>
        </w:numPr>
      </w:pPr>
      <w:r>
        <w:t xml:space="preserve">✅ Enhanced mathematical rigor with convergence formulas and thresholds</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doi.org/10.1007/978-3-031-53302-0_25" TargetMode="External" /><Relationship Type="http://schemas.openxmlformats.org/officeDocument/2006/relationships/hyperlink" Id="rId50" Target="https://doi.org/10.1007/s11205-020-02320-9" TargetMode="External" /><Relationship Type="http://schemas.openxmlformats.org/officeDocument/2006/relationships/hyperlink" Id="rId75" Target="https://doi.org/10.1016/j.jrp.2010.04.001" TargetMode="External" /><Relationship Type="http://schemas.openxmlformats.org/officeDocument/2006/relationships/hyperlink" Id="rId60" Target="https://doi.org/10.1016/j.socscimed.2011.11.028" TargetMode="External" /><Relationship Type="http://schemas.openxmlformats.org/officeDocument/2006/relationships/hyperlink" Id="rId63" Target="https://doi.org/10.1037/0022-3514.88.3.547" TargetMode="External" /><Relationship Type="http://schemas.openxmlformats.org/officeDocument/2006/relationships/hyperlink" Id="rId52" Target="https://doi.org/10.1037/1040-3590.4.1.5" TargetMode="External" /><Relationship Type="http://schemas.openxmlformats.org/officeDocument/2006/relationships/hyperlink" Id="rId68" Target="https://doi.org/10.1037/pspp0000020" TargetMode="External" /><Relationship Type="http://schemas.openxmlformats.org/officeDocument/2006/relationships/hyperlink" Id="rId54" Target="https://doi.org/10.1080/01924788.2012.702309" TargetMode="External" /><Relationship Type="http://schemas.openxmlformats.org/officeDocument/2006/relationships/hyperlink" Id="rId70" Target="https://doi.org/10.1101/19000414" TargetMode="External" /><Relationship Type="http://schemas.openxmlformats.org/officeDocument/2006/relationships/hyperlink" Id="rId53" Target="https://doi.org/10.1109/ICCBD-AI59465.2023.00064" TargetMode="External" /><Relationship Type="http://schemas.openxmlformats.org/officeDocument/2006/relationships/hyperlink" Id="rId49" Target="https://doi.org/10.1109/MSP.2021.3106228" TargetMode="External" /><Relationship Type="http://schemas.openxmlformats.org/officeDocument/2006/relationships/hyperlink" Id="rId51" Target="https://doi.org/10.1111/1467-6494.00112" TargetMode="External" /><Relationship Type="http://schemas.openxmlformats.org/officeDocument/2006/relationships/hyperlink" Id="rId62" Target="https://doi.org/10.1111/j.1467-6494.1992.tb00970.x" TargetMode="External" /><Relationship Type="http://schemas.openxmlformats.org/officeDocument/2006/relationships/hyperlink" Id="rId69" Target="https://doi.org/10.1111/jopy.12805" TargetMode="External" /><Relationship Type="http://schemas.openxmlformats.org/officeDocument/2006/relationships/hyperlink" Id="rId58" Target="https://doi.org/10.1145/3085558" TargetMode="External" /><Relationship Type="http://schemas.openxmlformats.org/officeDocument/2006/relationships/hyperlink" Id="rId57" Target="https://doi.org/10.1145/3613905.3650964" TargetMode="External" /><Relationship Type="http://schemas.openxmlformats.org/officeDocument/2006/relationships/hyperlink" Id="rId72" Target="https://doi.org/10.1145/3631700.3665185" TargetMode="External" /><Relationship Type="http://schemas.openxmlformats.org/officeDocument/2006/relationships/hyperlink" Id="rId61" Target="https://doi.org/10.1177/0898264317704533" TargetMode="External" /><Relationship Type="http://schemas.openxmlformats.org/officeDocument/2006/relationships/hyperlink" Id="rId66" Target="https://doi.org/10.1177/2333721415582119" TargetMode="External" /><Relationship Type="http://schemas.openxmlformats.org/officeDocument/2006/relationships/hyperlink" Id="rId59" Target="https://doi.org/10.1371/journal.pone.0219663" TargetMode="External" /><Relationship Type="http://schemas.openxmlformats.org/officeDocument/2006/relationships/hyperlink" Id="rId73" Target="https://doi.org/10.2196/16235" TargetMode="External" /><Relationship Type="http://schemas.openxmlformats.org/officeDocument/2006/relationships/hyperlink" Id="rId71" Target="https://doi.org/10.2196/24712" TargetMode="External" /><Relationship Type="http://schemas.openxmlformats.org/officeDocument/2006/relationships/hyperlink" Id="rId74" Target="https://doi.org/10.24251/HICSS.2022.200" TargetMode="External" /><Relationship Type="http://schemas.openxmlformats.org/officeDocument/2006/relationships/hyperlink" Id="rId65" Target="https://doi.org/10.48550/arXiv.2209.14338" TargetMode="External" /><Relationship Type="http://schemas.openxmlformats.org/officeDocument/2006/relationships/hyperlink" Id="rId77" Target="https://doi.org/10.48550/arXiv.2308.11584" TargetMode="External" /><Relationship Type="http://schemas.openxmlformats.org/officeDocument/2006/relationships/hyperlink" Id="rId48" Target="https://doi.org/10.48550/arXiv.2310.02374" TargetMode="External" /><Relationship Type="http://schemas.openxmlformats.org/officeDocument/2006/relationships/hyperlink" Id="rId76" Target="https://doi.org/10.48550/arXiv.2403.15699" TargetMode="External" /><Relationship Type="http://schemas.openxmlformats.org/officeDocument/2006/relationships/hyperlink" Id="rId55" Target="https://doi.org/10.48550/arXiv.2407.19096" TargetMode="External" /><Relationship Type="http://schemas.openxmlformats.org/officeDocument/2006/relationships/hyperlink" Id="rId64" Target="https://github.com/mem0ai/mem0" TargetMode="External" /><Relationship Type="http://schemas.openxmlformats.org/officeDocument/2006/relationships/hyperlink" Id="rId67"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978-3-031-53302-0_25" TargetMode="External" /><Relationship Type="http://schemas.openxmlformats.org/officeDocument/2006/relationships/hyperlink" Id="rId50" Target="https://doi.org/10.1007/s11205-020-02320-9" TargetMode="External" /><Relationship Type="http://schemas.openxmlformats.org/officeDocument/2006/relationships/hyperlink" Id="rId75" Target="https://doi.org/10.1016/j.jrp.2010.04.001" TargetMode="External" /><Relationship Type="http://schemas.openxmlformats.org/officeDocument/2006/relationships/hyperlink" Id="rId60" Target="https://doi.org/10.1016/j.socscimed.2011.11.028" TargetMode="External" /><Relationship Type="http://schemas.openxmlformats.org/officeDocument/2006/relationships/hyperlink" Id="rId63" Target="https://doi.org/10.1037/0022-3514.88.3.547" TargetMode="External" /><Relationship Type="http://schemas.openxmlformats.org/officeDocument/2006/relationships/hyperlink" Id="rId52" Target="https://doi.org/10.1037/1040-3590.4.1.5" TargetMode="External" /><Relationship Type="http://schemas.openxmlformats.org/officeDocument/2006/relationships/hyperlink" Id="rId68" Target="https://doi.org/10.1037/pspp0000020" TargetMode="External" /><Relationship Type="http://schemas.openxmlformats.org/officeDocument/2006/relationships/hyperlink" Id="rId54" Target="https://doi.org/10.1080/01924788.2012.702309" TargetMode="External" /><Relationship Type="http://schemas.openxmlformats.org/officeDocument/2006/relationships/hyperlink" Id="rId70" Target="https://doi.org/10.1101/19000414" TargetMode="External" /><Relationship Type="http://schemas.openxmlformats.org/officeDocument/2006/relationships/hyperlink" Id="rId53" Target="https://doi.org/10.1109/ICCBD-AI59465.2023.00064" TargetMode="External" /><Relationship Type="http://schemas.openxmlformats.org/officeDocument/2006/relationships/hyperlink" Id="rId49" Target="https://doi.org/10.1109/MSP.2021.3106228" TargetMode="External" /><Relationship Type="http://schemas.openxmlformats.org/officeDocument/2006/relationships/hyperlink" Id="rId51" Target="https://doi.org/10.1111/1467-6494.00112" TargetMode="External" /><Relationship Type="http://schemas.openxmlformats.org/officeDocument/2006/relationships/hyperlink" Id="rId62" Target="https://doi.org/10.1111/j.1467-6494.1992.tb00970.x" TargetMode="External" /><Relationship Type="http://schemas.openxmlformats.org/officeDocument/2006/relationships/hyperlink" Id="rId69" Target="https://doi.org/10.1111/jopy.12805" TargetMode="External" /><Relationship Type="http://schemas.openxmlformats.org/officeDocument/2006/relationships/hyperlink" Id="rId58" Target="https://doi.org/10.1145/3085558" TargetMode="External" /><Relationship Type="http://schemas.openxmlformats.org/officeDocument/2006/relationships/hyperlink" Id="rId57" Target="https://doi.org/10.1145/3613905.3650964" TargetMode="External" /><Relationship Type="http://schemas.openxmlformats.org/officeDocument/2006/relationships/hyperlink" Id="rId72" Target="https://doi.org/10.1145/3631700.3665185" TargetMode="External" /><Relationship Type="http://schemas.openxmlformats.org/officeDocument/2006/relationships/hyperlink" Id="rId61" Target="https://doi.org/10.1177/0898264317704533" TargetMode="External" /><Relationship Type="http://schemas.openxmlformats.org/officeDocument/2006/relationships/hyperlink" Id="rId66" Target="https://doi.org/10.1177/2333721415582119" TargetMode="External" /><Relationship Type="http://schemas.openxmlformats.org/officeDocument/2006/relationships/hyperlink" Id="rId59" Target="https://doi.org/10.1371/journal.pone.0219663" TargetMode="External" /><Relationship Type="http://schemas.openxmlformats.org/officeDocument/2006/relationships/hyperlink" Id="rId73" Target="https://doi.org/10.2196/16235" TargetMode="External" /><Relationship Type="http://schemas.openxmlformats.org/officeDocument/2006/relationships/hyperlink" Id="rId71" Target="https://doi.org/10.2196/24712" TargetMode="External" /><Relationship Type="http://schemas.openxmlformats.org/officeDocument/2006/relationships/hyperlink" Id="rId74" Target="https://doi.org/10.24251/HICSS.2022.200" TargetMode="External" /><Relationship Type="http://schemas.openxmlformats.org/officeDocument/2006/relationships/hyperlink" Id="rId65" Target="https://doi.org/10.48550/arXiv.2209.14338" TargetMode="External" /><Relationship Type="http://schemas.openxmlformats.org/officeDocument/2006/relationships/hyperlink" Id="rId77" Target="https://doi.org/10.48550/arXiv.2308.11584" TargetMode="External" /><Relationship Type="http://schemas.openxmlformats.org/officeDocument/2006/relationships/hyperlink" Id="rId48" Target="https://doi.org/10.48550/arXiv.2310.02374" TargetMode="External" /><Relationship Type="http://schemas.openxmlformats.org/officeDocument/2006/relationships/hyperlink" Id="rId76" Target="https://doi.org/10.48550/arXiv.2403.15699" TargetMode="External" /><Relationship Type="http://schemas.openxmlformats.org/officeDocument/2006/relationships/hyperlink" Id="rId55" Target="https://doi.org/10.48550/arXiv.2407.19096" TargetMode="External" /><Relationship Type="http://schemas.openxmlformats.org/officeDocument/2006/relationships/hyperlink" Id="rId64" Target="https://github.com/mem0ai/mem0" TargetMode="External" /><Relationship Type="http://schemas.openxmlformats.org/officeDocument/2006/relationships/hyperlink" Id="rId67"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2025-10-16T12:40:21Z</dcterms:created>
  <dcterms:modified xsi:type="dcterms:W3CDTF">2025-10-16T12:40:21Z</dcterms:modified>
</cp:coreProperties>
</file>

<file path=docProps/custom.xml><?xml version="1.0" encoding="utf-8"?>
<Properties xmlns="http://schemas.openxmlformats.org/officeDocument/2006/custom-properties" xmlns:vt="http://schemas.openxmlformats.org/officeDocument/2006/docPropsVTypes"/>
</file>