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18, 2025</w:t>
      </w:r>
      <w:r>
        <w:br/>
      </w:r>
      <w:r>
        <w:rPr>
          <w:b/>
          <w:bCs/>
        </w:rPr>
        <w:t xml:space="preserve">Version:</w:t>
      </w:r>
      <w:r>
        <w:t xml:space="preserve"> </w:t>
      </w:r>
      <w:r>
        <w:t xml:space="preserve">2.5.1</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remain unresolved challenges in human-centered AI. Although conversational systems scale, most assistants are generic and fail to adapt to individual personality differences, limiting context-appropriate support. This study specifies a modular, workflow-orchestrated architecture for personality-aware dialogue that couples Big Five (OCEAN) detection with Zurich Model (Security–Arousal–Affiliation)–aligned regulation while enforcing strict dialogue grounding. We extend prior detect→regulate→generate formulations with mechanisms for temporal stability, reproducibility, and cross-domain reuse.</w:t>
      </w:r>
    </w:p>
    <w:p>
      <w:pPr>
        <w:pStyle w:val="BodyText"/>
      </w:pPr>
      <w:r>
        <w:t xml:space="preserve">Contributions: (1) exponentially weighted moving-average (EMA) smoothing with confidence-aware filtering to stabilize per-turn trait estimates; (2) configurable policy packs enabling rapid domain transfer through configuration rather than code; (3) audit-ready contracts—JSON schemas, seed/version locks, and per-turn logs—for reproducibility and inspection; (4) a methodology for integrating factual memory with motivational modeling to support grounded, adaptive responses; and (5) a human-centered interface suitable as a research instrument for controlled studies and ablations.</w:t>
      </w:r>
    </w:p>
    <w:p>
      <w:pPr>
        <w:pStyle w:val="BodyText"/>
      </w:pPr>
      <w:r>
        <w:t xml:space="preserve">We instantiate a Workplace Adaptive Resilience Coach as a reference design with three personality-tailored coaching modes (Vent &amp; Validate; Plan &amp; Structure; Cope &amp; Rehearse). The evaluation plan specifies rubrics for detection validity and temporal stability, regulation/tone quality, coherence and relevance, and system reliability with human triangulation. All metrics are design targets rather than findings; empirical validation is reserved for the thesis phase.</w:t>
      </w:r>
    </w:p>
    <w:p>
      <w:r>
        <w:pict>
          <v:rect style="width:0;height:1.5pt" o:hralign="center" o:hrstd="t" o:hr="t"/>
        </w:pict>
      </w:r>
    </w:p>
    <w:bookmarkEnd w:id="9"/>
    <w:bookmarkStart w:id="17" w:name="background"/>
    <w:p>
      <w:pPr>
        <w:pStyle w:val="Heading2"/>
      </w:pPr>
      <w:r>
        <w:t xml:space="preserve">1. Background</w:t>
      </w:r>
    </w:p>
    <w:bookmarkStart w:id="10" w:name="X3acc10c25642986d7e5a5d63c66fa8c7e270bb6"/>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Domain-specific requirements and the personalization gap.</w:t>
      </w:r>
      <w:r>
        <w:t xml:space="preserve"> </w:t>
      </w:r>
      <w:r>
        <w:t xml:space="preserve">Personality-aware interaction is critical across workplace productivity (task prioritization, stress management), education (learning pace adaptation, anxiety-sensitive guidance), customer service (communication style matching), and mental health (therapeutic alliance building).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dc9a4a0120256196334f699954c47604043e15d"/>
    <w:p>
      <w:pPr>
        <w:pStyle w:val="Heading3"/>
      </w:pPr>
      <w:r>
        <w:t xml:space="preserve">1.2 Limitations of Current Digital Assistants</w:t>
      </w:r>
    </w:p>
    <w:p>
      <w:pPr>
        <w:pStyle w:val="FirstParagraph"/>
      </w:pPr>
      <w:r>
        <w:t xml:space="preserve">We synthesize three technical constraints limiting current conversational AI effectiveness: (1) insufficient theoretical grounding in design and evaluation, producing inconsistent user experiences and lack of validated personalization frameworks (Følstad &amp; Brandtzæg, 2020 document UX pain points including misinterpretation and scarcity of theory-grounded studies); (2) gaps in personalization beyond surface memory of facts and preferences; and (3) weak transparency and reproducible evaluation practices. Recent LLM work enables more nuanced multi-turn dialogue (Zheng et al., 2023; Abbasian et al., 2023), but robust mechanisms for stable memory with multi-attribute control and transparent, generalizable evaluation remain active research challenges.</w:t>
      </w:r>
    </w:p>
    <w:p>
      <w:pPr>
        <w:pStyle w:val="BodyText"/>
      </w:pPr>
      <w:r>
        <w:rPr>
          <w:b/>
          <w:bCs/>
        </w:rPr>
        <w:t xml:space="preserve">Memory-based personalization versus motivational modeling.</w:t>
      </w:r>
      <w:r>
        <w:t xml:space="preserve"> </w:t>
      </w:r>
      <w:r>
        <w:t xml:space="preserve">Recent industry deployments (ChatGPT Memory, mem0, LangChain Memory) prioritize memory-centric personalization, storing user statements as vector embeddings for similarity-based retrieval across sessions (OpenAI, 2024; mem0, 2024).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preferences but cannot infer whether a preference for structured plans stems from high conscientiousness (requiring organization) or high neuroticism (needing security), leading to generic responses that miss underlying motivational and emotional drivers.</w:t>
      </w:r>
    </w:p>
    <w:bookmarkEnd w:id="11"/>
    <w:bookmarkStart w:id="12" w:name="motivation-and-contributions"/>
    <w:p>
      <w:pPr>
        <w:pStyle w:val="Heading3"/>
      </w:pPr>
      <w:r>
        <w:t xml:space="preserve">1.3 Motivation and Contributions</w:t>
      </w:r>
    </w:p>
    <w:p>
      <w:pPr>
        <w:pStyle w:val="FirstParagraph"/>
      </w:pPr>
      <w:r>
        <w:t xml:space="preserve">Despite growing interest in personality-aware conversational AI, existing systems rarely integrate continuous understanding of individual differences (personality, motivations, communication preferences) with psychologically grounded regulation and reproducible evaluation frameworks.</w:t>
      </w:r>
      <w:r>
        <w:t xml:space="preserve"> </w:t>
      </w:r>
      <w:r>
        <w:rPr>
          <w:b/>
          <w:bCs/>
        </w:rPr>
        <w:t xml:space="preserve">Three key opportunities</w:t>
      </w:r>
      <w:r>
        <w:t xml:space="preserve"> </w:t>
      </w:r>
      <w:r>
        <w:t xml:space="preserve">motivate this research:</w:t>
      </w:r>
    </w:p>
    <w:p>
      <w:pPr>
        <w:pStyle w:val="Compact"/>
        <w:numPr>
          <w:ilvl w:val="0"/>
          <w:numId w:val="1001"/>
        </w:numPr>
      </w:pPr>
      <w:r>
        <w:rPr>
          <w:b/>
          <w:bCs/>
        </w:rPr>
        <w:t xml:space="preserve">Scaling personalized support without scaling costs:</w:t>
      </w:r>
      <w:r>
        <w:t xml:space="preserve"> </w:t>
      </w:r>
      <w:r>
        <w:t xml:space="preserve">Continuous personality adaptation enables digital systems to deliver individualized support that matches human practitioners’ empathy and responsiveness, addressing the capacity crisis in workplace coaching, education, and mental health services while maintaining accessibility and affordability.</w:t>
      </w:r>
    </w:p>
    <w:p>
      <w:pPr>
        <w:pStyle w:val="Compact"/>
        <w:numPr>
          <w:ilvl w:val="0"/>
          <w:numId w:val="1001"/>
        </w:numPr>
      </w:pPr>
      <w:r>
        <w:rPr>
          <w:b/>
          <w:bCs/>
        </w:rPr>
        <w:t xml:space="preserve">Building user trust through psychological validity:</w:t>
      </w:r>
      <w:r>
        <w:t xml:space="preserve"> </w:t>
      </w:r>
      <w:r>
        <w:t xml:space="preserve">Grounding adaptations in validated personality science (Big Five, Zurich Model) ensures that systems respond to genuine psychological needs rather than superficial preferences, increasing user acceptance and long-term engagement across diverse cultural contexts.</w:t>
      </w:r>
    </w:p>
    <w:p>
      <w:pPr>
        <w:pStyle w:val="Compact"/>
        <w:numPr>
          <w:ilvl w:val="0"/>
          <w:numId w:val="1001"/>
        </w:numPr>
      </w:pPr>
      <w:r>
        <w:rPr>
          <w:b/>
          <w:bCs/>
        </w:rPr>
        <w:t xml:space="preserve">Enabling organizational adoption through reliability:</w:t>
      </w:r>
      <w:r>
        <w:t xml:space="preserve"> </w:t>
      </w:r>
      <w:r>
        <w:t xml:space="preserve">Providing reproducible evaluation protocols, audit trails, and deterministic interfaces addresses enterprise requirements for quality assurance, compliance, and evidence-based deployment, facilitating transition from research prototypes to production systems.</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for emotional support scenarios. This establishes the conceptual foundation—that personality-aware regulation meaningfully improves conversational quality—motivating production-ready, reusable system architectures.</w:t>
      </w:r>
    </w:p>
    <w:p>
      <w:pPr>
        <w:pStyle w:val="BodyText"/>
      </w:pPr>
      <w:r>
        <w:rPr>
          <w:b/>
          <w:bCs/>
        </w:rPr>
        <w:t xml:space="preserve">This thesis specifies five key architectural innovations beyond prior work:</w:t>
      </w:r>
    </w:p>
    <w:p>
      <w:pPr>
        <w:pStyle w:val="BodyText"/>
      </w:pPr>
      <w:r>
        <w:rPr>
          <w:b/>
          <w:bCs/>
        </w:rPr>
        <w:t xml:space="preserve">Table 1. Key Architectural Innovations</w:t>
      </w:r>
    </w:p>
    <w:tbl>
      <w:tblPr>
        <w:tblStyle w:val="Table"/>
        <w:tblW w:type="pct" w:w="5000"/>
        <w:tblLayout w:type="fixed"/>
        <w:tblLook w:firstRow="1" w:lastRow="0" w:firstColumn="0" w:lastColumn="0" w:noHBand="0" w:noVBand="0" w:val="0020"/>
      </w:tblPr>
      <w:tblGrid>
        <w:gridCol w:w="2640"/>
        <w:gridCol w:w="2860"/>
        <w:gridCol w:w="2420"/>
      </w:tblGrid>
      <w:tr>
        <w:trPr>
          <w:tblHeader w:val="on"/>
        </w:trPr>
        <w:tc>
          <w:tcPr/>
          <w:p>
            <w:pPr>
              <w:pStyle w:val="Compact"/>
            </w:pPr>
            <w:r>
              <w:t xml:space="preserve">Innovation</w:t>
            </w:r>
          </w:p>
        </w:tc>
        <w:tc>
          <w:tcPr/>
          <w:p>
            <w:pPr>
              <w:pStyle w:val="Compact"/>
            </w:pPr>
            <w:r>
              <w:t xml:space="preserve">Description</w:t>
            </w:r>
          </w:p>
        </w:tc>
        <w:tc>
          <w:tcPr/>
          <w:p>
            <w:pPr>
              <w:pStyle w:val="Compact"/>
            </w:pPr>
            <w:r>
              <w:t xml:space="preserve">Reference</w:t>
            </w:r>
          </w:p>
        </w:tc>
      </w:tr>
      <w:tr>
        <w:tc>
          <w:tcPr/>
          <w:p>
            <w:pPr>
              <w:pStyle w:val="Compact"/>
            </w:pPr>
            <w:r>
              <w:t xml:space="preserve">Temporal stability via EMA smoothing</w:t>
            </w:r>
          </w:p>
        </w:tc>
        <w:tc>
          <w:tcPr/>
          <w:p>
            <w:pPr>
              <w:pStyle w:val="Compact"/>
            </w:pPr>
            <w:r>
              <w:t xml:space="preserve">Stabilizes personality detection using exponential moving average with confidence filtering</w:t>
            </w:r>
          </w:p>
        </w:tc>
        <w:tc>
          <w:tcPr/>
          <w:p>
            <w:pPr>
              <w:pStyle w:val="Compact"/>
            </w:pPr>
            <w:r>
              <w:t xml:space="preserve">Section 4.1</w:t>
            </w:r>
          </w:p>
        </w:tc>
      </w:tr>
      <w:tr>
        <w:tc>
          <w:tcPr/>
          <w:p>
            <w:pPr>
              <w:pStyle w:val="Compact"/>
            </w:pPr>
            <w:r>
              <w:t xml:space="preserve">Production-ready containerized system</w:t>
            </w:r>
          </w:p>
        </w:tc>
        <w:tc>
          <w:tcPr/>
          <w:p>
            <w:pPr>
              <w:pStyle w:val="Compact"/>
            </w:pPr>
            <w:r>
              <w:t xml:space="preserve">Uses N8N, PostgreSQL, Redis with RESTful APIs for deployment</w:t>
            </w:r>
          </w:p>
        </w:tc>
        <w:tc>
          <w:tcPr/>
          <w:p>
            <w:pPr>
              <w:pStyle w:val="Compact"/>
            </w:pPr>
            <w:r>
              <w:t xml:space="preserve">Section 4.1, Figure 2</w:t>
            </w:r>
          </w:p>
        </w:tc>
      </w:tr>
      <w:tr>
        <w:tc>
          <w:tcPr/>
          <w:p>
            <w:pPr>
              <w:pStyle w:val="Compact"/>
            </w:pPr>
            <w:r>
              <w:t xml:space="preserve">Cross-domain policy packs</w:t>
            </w:r>
          </w:p>
        </w:tc>
        <w:tc>
          <w:tcPr/>
          <w:p>
            <w:pPr>
              <w:pStyle w:val="Compact"/>
            </w:pPr>
            <w:r>
              <w:t xml:space="preserve">Configurable YAML/JSON rules enable domain transfer without code changes</w:t>
            </w:r>
          </w:p>
        </w:tc>
        <w:tc>
          <w:tcPr/>
          <w:p>
            <w:pPr>
              <w:pStyle w:val="Compact"/>
            </w:pPr>
            <w:r>
              <w:t xml:space="preserve">Section 2.2</w:t>
            </w:r>
          </w:p>
        </w:tc>
      </w:tr>
      <w:tr>
        <w:tc>
          <w:tcPr/>
          <w:p>
            <w:pPr>
              <w:pStyle w:val="Compact"/>
            </w:pPr>
            <w:r>
              <w:t xml:space="preserve">Memory-personality convergence</w:t>
            </w:r>
          </w:p>
        </w:tc>
        <w:tc>
          <w:tcPr/>
          <w:p>
            <w:pPr>
              <w:pStyle w:val="Compact"/>
            </w:pPr>
            <w:r>
              <w:t xml:space="preserve">Integrates factual memory (e.g., mem0) with motivational modeling</w:t>
            </w:r>
          </w:p>
        </w:tc>
        <w:tc>
          <w:tcPr/>
          <w:p>
            <w:pPr>
              <w:pStyle w:val="Compact"/>
            </w:pPr>
            <w:r>
              <w:t xml:space="preserve">Section 1.2</w:t>
            </w:r>
          </w:p>
        </w:tc>
      </w:tr>
      <w:tr>
        <w:tc>
          <w:tcPr/>
          <w:p>
            <w:pPr>
              <w:pStyle w:val="Compact"/>
            </w:pPr>
            <w:r>
              <w:t xml:space="preserve">Human-centered frontend</w:t>
            </w:r>
          </w:p>
        </w:tc>
        <w:tc>
          <w:tcPr/>
          <w:p>
            <w:pPr>
              <w:pStyle w:val="Compact"/>
            </w:pPr>
            <w:r>
              <w:t xml:space="preserve">React/Next.js interface doubles as research instrument for trust/engagement</w:t>
            </w:r>
          </w:p>
        </w:tc>
        <w:tc>
          <w:tcPr/>
          <w:p>
            <w:pPr>
              <w:pStyle w:val="Compact"/>
            </w:pPr>
            <w:r>
              <w:t xml:space="preserve">Section 5.6</w:t>
            </w:r>
          </w:p>
        </w:tc>
      </w:tr>
    </w:tbl>
    <w:p>
      <w:pPr>
        <w:pStyle w:val="BodyText"/>
      </w:pPr>
      <w:r>
        <w:t xml:space="preserve">These contributions specify a reproducible, deployable system architecture designed for scientific investigation and practical human-centered applications. The design prioritizes durable memory for cross-session continuity, multi-attribute response control (tone, structure, pacing, warmth), and human-centered interface design enabling transparent, controllable, and accessible personality-aware interactions.</w:t>
      </w:r>
    </w:p>
    <w:p>
      <w:r>
        <w:pict>
          <v:rect style="width:0;height:1.5pt" o:hralign="center" o:hrstd="t" o:hr="t"/>
        </w:pict>
      </w:r>
    </w:p>
    <w:bookmarkEnd w:id="12"/>
    <w:bookmarkStart w:id="13" w:name="ethical-considerations"/>
    <w:p>
      <w:pPr>
        <w:pStyle w:val="Heading3"/>
      </w:pPr>
      <w:r>
        <w:t xml:space="preserve">1.4 Ethical Considerations</w:t>
      </w:r>
    </w:p>
    <w:p>
      <w:pPr>
        <w:pStyle w:val="FirstParagraph"/>
      </w:pPr>
      <w:r>
        <w:t xml:space="preserve">Personality-aware systems raise critical ethical challenges requiring careful architectural responses.</w:t>
      </w:r>
      <w:r>
        <w:t xml:space="preserve"> </w:t>
      </w:r>
      <w:r>
        <w:rPr>
          <w:b/>
          <w:bCs/>
        </w:rPr>
        <w:t xml:space="preserve">Privacy and data protection:</w:t>
      </w:r>
      <w:r>
        <w:t xml:space="preserve"> </w:t>
      </w:r>
      <w:r>
        <w:t xml:space="preserve">All personality inferences and conversation logs are stored locally with explicit user consent; users control retention periods and can request deletion at any time; data minimization principles apply (Section 1.6).</w:t>
      </w:r>
      <w:r>
        <w:t xml:space="preserve"> </w:t>
      </w:r>
      <w:r>
        <w:rPr>
          <w:b/>
          <w:bCs/>
        </w:rPr>
        <w:t xml:space="preserve">Cultural bias mitigation:</w:t>
      </w:r>
      <w:r>
        <w:t xml:space="preserve"> </w:t>
      </w:r>
      <w:r>
        <w:t xml:space="preserve">The system employs linguistic features rather than culturally specific content, implements confidence thresholds (≥0.4) preventing action on uncertain assessments, and supports manual trait calibration (Church, 2000; McCrae &amp; Terracciano, 2005). For example, if a user’s language shows indirect communication (common in high-context cultures), the system avoids over-inferring low Agreeableness and applies conservative confidence scoring until additional evidence accumulates.</w:t>
      </w:r>
      <w:r>
        <w:t xml:space="preserve"> </w:t>
      </w:r>
      <w:r>
        <w:rPr>
          <w:b/>
          <w:bCs/>
        </w:rPr>
        <w:t xml:space="preserve">Stereotype prevention:</w:t>
      </w:r>
      <w:r>
        <w:t xml:space="preserve"> </w:t>
      </w:r>
      <w:r>
        <w:t xml:space="preserve">Continuous trait updates prevent rigid categorization; auditable policy packs enable correction of inappropriate mappings; neutral fallbacks activate when confidence is low.</w:t>
      </w:r>
      <w:r>
        <w:t xml:space="preserve"> </w:t>
      </w:r>
      <w:r>
        <w:rPr>
          <w:b/>
          <w:bCs/>
        </w:rPr>
        <w:t xml:space="preserve">Sensitive data handling:</w:t>
      </w:r>
      <w:r>
        <w:t xml:space="preserve"> </w:t>
      </w:r>
      <w:r>
        <w:t xml:space="preserve">End-to-end encryption, role-based access controls, automated crisis detection (suicidal ideation, self-harm) with escalation protocols, and clear disclaimers that the system complements but does not replace professional care.</w:t>
      </w:r>
      <w:r>
        <w:t xml:space="preserve"> </w:t>
      </w:r>
      <w:r>
        <w:rPr>
          <w:b/>
          <w:bCs/>
        </w:rPr>
        <w:t xml:space="preserve">Transparency:</w:t>
      </w:r>
      <w:r>
        <w:t xml:space="preserve"> </w:t>
      </w:r>
      <w:r>
        <w:t xml:space="preserve">Per-turn audit trails enable users to view inferred profiles, understand response generation, and provide feedback, supporting informed consent and trust.</w:t>
      </w:r>
    </w:p>
    <w:p>
      <w:r>
        <w:pict>
          <v:rect style="width:0;height:1.5pt" o:hralign="center" o:hrstd="t" o:hr="t"/>
        </w:pict>
      </w:r>
    </w:p>
    <w:bookmarkEnd w:id="13"/>
    <w:bookmarkStart w:id="14" w:name="Xec1ef14c55f679f75af2ccaaca0e225e8026baf"/>
    <w:p>
      <w:pPr>
        <w:pStyle w:val="Heading3"/>
      </w:pPr>
      <w:r>
        <w:t xml:space="preserve">1.5 Study Scope, Limitations, and Validation Plan</w:t>
      </w:r>
    </w:p>
    <w:p>
      <w:pPr>
        <w:pStyle w:val="FirstParagraph"/>
      </w:pPr>
      <w:r>
        <w:rPr>
          <w:b/>
          <w:bCs/>
        </w:rPr>
        <w:t xml:space="preserve">Critical Scope:</w:t>
      </w:r>
      <w:r>
        <w:t xml:space="preserve"> </w:t>
      </w:r>
      <w:r>
        <w:t xml:space="preserve">This preliminary study is an</w:t>
      </w:r>
      <w:r>
        <w:t xml:space="preserve"> </w:t>
      </w:r>
      <w:r>
        <w:rPr>
          <w:b/>
          <w:bCs/>
        </w:rPr>
        <w:t xml:space="preserve">architectural design specification</w:t>
      </w:r>
      <w:r>
        <w:t xml:space="preserve"> </w:t>
      </w:r>
      <w:r>
        <w:t xml:space="preserve">without implementation, data collection, or performance measurements. Validation is deferred to the thesis phase (Weeks 7-16). The study provides system architecture specifications (JSON contracts, workflow design, database schema), theoretical framework (Zurich Model operationalization, EMA smoothing algorithm), and planned evaluation methodology with success criteria.</w:t>
      </w:r>
    </w:p>
    <w:p>
      <w:pPr>
        <w:pStyle w:val="BodyText"/>
      </w:pPr>
      <w:r>
        <w:rPr>
          <w:b/>
          <w:bCs/>
        </w:rPr>
        <w:t xml:space="preserve">Key Limitations requiring thesis-phase validation:</w:t>
      </w:r>
      <w:r>
        <w:t xml:space="preserve"> </w:t>
      </w:r>
      <w:r>
        <w:t xml:space="preserve">-</w:t>
      </w:r>
      <w:r>
        <w:t xml:space="preserve"> </w:t>
      </w:r>
      <w:r>
        <w:rPr>
          <w:b/>
          <w:bCs/>
        </w:rPr>
        <w:t xml:space="preserve">No human participant data:</w:t>
      </w:r>
      <w:r>
        <w:t xml:space="preserve"> </w:t>
      </w:r>
      <w:r>
        <w:t xml:space="preserve">Thesis will collect N≥250 simulated conversations and n=30-50 human participants with formal power analysis (Cohen’s d ≥ 0.5, power=0.80, α=0.05)</w:t>
      </w:r>
      <w:r>
        <w:t xml:space="preserve"> </w:t>
      </w:r>
      <w:r>
        <w:t xml:space="preserve">-</w:t>
      </w:r>
      <w:r>
        <w:t xml:space="preserve"> </w:t>
      </w:r>
      <w:r>
        <w:rPr>
          <w:b/>
          <w:bCs/>
        </w:rPr>
        <w:t xml:space="preserve">Parameter assumptions:</w:t>
      </w:r>
      <w:r>
        <w:t xml:space="preserve"> </w:t>
      </w:r>
      <w:r>
        <w:t xml:space="preserve">EMA α=0.3 and confidence thresholds derived from time-series literature; require empirical validation against ground-truth personality assessments (BFI-44)</w:t>
      </w:r>
      <w:r>
        <w:t xml:space="preserve"> </w:t>
      </w:r>
      <w:r>
        <w:t xml:space="preserve">-</w:t>
      </w:r>
      <w:r>
        <w:t xml:space="preserve"> </w:t>
      </w:r>
      <w:r>
        <w:rPr>
          <w:b/>
          <w:bCs/>
        </w:rPr>
        <w:t xml:space="preserve">Intersectional bias risk:</w:t>
      </w:r>
      <w:r>
        <w:t xml:space="preserve"> </w:t>
      </w:r>
      <w:r>
        <w:t xml:space="preserve">Trait-to-directive mappings may oversimplify without cultural context consideration</w:t>
      </w:r>
      <w:r>
        <w:t xml:space="preserve"> </w:t>
      </w:r>
      <w:r>
        <w:t xml:space="preserve">-</w:t>
      </w:r>
      <w:r>
        <w:t xml:space="preserve"> </w:t>
      </w:r>
      <w:r>
        <w:rPr>
          <w:b/>
          <w:bCs/>
        </w:rPr>
        <w:t xml:space="preserve">Single use case:</w:t>
      </w:r>
      <w:r>
        <w:t xml:space="preserve"> </w:t>
      </w:r>
      <w:r>
        <w:t xml:space="preserve">Workplace coaching focus; cross-domain reusability requires validation</w:t>
      </w:r>
      <w:r>
        <w:t xml:space="preserve"> </w:t>
      </w:r>
      <w:r>
        <w:t xml:space="preserve">-</w:t>
      </w:r>
      <w:r>
        <w:t xml:space="preserve"> </w:t>
      </w:r>
      <w:r>
        <w:rPr>
          <w:b/>
          <w:bCs/>
        </w:rPr>
        <w:t xml:space="preserve">Western framework:</w:t>
      </w:r>
      <w:r>
        <w:t xml:space="preserve"> </w:t>
      </w:r>
      <w:r>
        <w:t xml:space="preserve">Big Five validated primarily in WEIRD populations; cross-cultural adaptation deferred</w:t>
      </w:r>
      <w:r>
        <w:t xml:space="preserve"> </w:t>
      </w:r>
      <w:r>
        <w:t xml:space="preserve">-</w:t>
      </w:r>
      <w:r>
        <w:t xml:space="preserve"> </w:t>
      </w:r>
      <w:r>
        <w:rPr>
          <w:b/>
          <w:bCs/>
        </w:rPr>
        <w:t xml:space="preserve">English-only:</w:t>
      </w:r>
      <w:r>
        <w:t xml:space="preserve"> </w:t>
      </w:r>
      <w:r>
        <w:t xml:space="preserve">Multilingual support planned for future work</w:t>
      </w:r>
    </w:p>
    <w:p>
      <w:pPr>
        <w:pStyle w:val="BodyText"/>
      </w:pPr>
      <w:r>
        <w:rPr>
          <w:b/>
          <w:bCs/>
        </w:rPr>
        <w:t xml:space="preserve">Thesis validation plan:</w:t>
      </w:r>
      <w:r>
        <w:t xml:space="preserve"> </w:t>
      </w:r>
      <w:r>
        <w:t xml:space="preserve">Large-scale data collection with stratified sampling, convergence reliability analysis with distribution visualizations, and consultation with domain experts (subject to availability). All results will report effect sizes (Cohen’s d with 95% CIs) alongside p-values.</w:t>
      </w:r>
    </w:p>
    <w:p>
      <w:r>
        <w:pict>
          <v:rect style="width:0;height:1.5pt" o:hralign="center" o:hrstd="t" o:hr="t"/>
        </w:pict>
      </w:r>
    </w:p>
    <w:bookmarkEnd w:id="14"/>
    <w:bookmarkStart w:id="15" w:name="data-management-overview"/>
    <w:p>
      <w:pPr>
        <w:pStyle w:val="Heading3"/>
      </w:pPr>
      <w:r>
        <w:t xml:space="preserve">1.6 Data Management Overview</w:t>
      </w:r>
    </w:p>
    <w:p>
      <w:pPr>
        <w:pStyle w:val="FirstParagraph"/>
      </w:pPr>
      <w:r>
        <w:t xml:space="preserve">This study adheres to GDPR principles and university research ethics guidelines. Data collection includes conversation logs, personality trait estimates (OCEAN scores with confidence values), session metadata, and evaluation metrics, stored in a local PostgreSQL database with AES-256 encryption. The preliminary study uses synthetic data only (no IRB approval required); the thesis phase with human participants will require ethics committee approval before recruitment. Access is role-based (primary investigator and supervisor only); no PII is collected; participants control retention and deletion. LLM APIs (OpenAI GPT-4, Gemini) will be configured per vendor data retention policies with explicit opt-out from training data use where available. Reproducibility artifacts (anonymized conversation samples, code, schemas) will be released; aggregated results only are published. Complete details are provided in Appendix D.</w:t>
      </w:r>
    </w:p>
    <w:p>
      <w:r>
        <w:pict>
          <v:rect style="width:0;height:1.5pt" o:hralign="center" o:hrstd="t" o:hr="t"/>
        </w:pict>
      </w:r>
    </w:p>
    <w:bookmarkEnd w:id="15"/>
    <w:bookmarkStart w:id="16" w:name="X5af2ebfde19773986291a4906d860053681ac7a"/>
    <w:p>
      <w:pPr>
        <w:pStyle w:val="Heading3"/>
      </w:pPr>
      <w:r>
        <w:t xml:space="preserve">1.7 Prior Work: Devdas (2025) and Methodological Continuity</w:t>
      </w:r>
    </w:p>
    <w:p>
      <w:pPr>
        <w:pStyle w:val="FirstParagraph"/>
      </w:pPr>
      <w:r>
        <w:t xml:space="preserve">Devdas (2025) provides crucial experimental validation that personality‑adaptive assistants can outperform non‑adaptive baselines, demonstrating substantial performance gains in controlled simulations for emotional support scenarios.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2"/>
        </w:numPr>
      </w:pPr>
      <w:r>
        <w:rPr>
          <w:b/>
          <w:bCs/>
        </w:rPr>
        <w:t xml:space="preserve">Continuous trait inference with temporal smoothing:</w:t>
      </w:r>
      <w:r>
        <w:t xml:space="preserve"> </w:t>
      </w:r>
      <w:r>
        <w:t xml:space="preserve">Adopts continuous trait values (−1.0 to +1.0) with EMA smoothing designed to stabilize multi‑turn inference and reduce volatility.</w:t>
      </w:r>
    </w:p>
    <w:p>
      <w:pPr>
        <w:pStyle w:val="Compact"/>
        <w:numPr>
          <w:ilvl w:val="0"/>
          <w:numId w:val="1002"/>
        </w:numPr>
      </w:pPr>
      <w:r>
        <w:rPr>
          <w:b/>
          <w:bCs/>
        </w:rPr>
        <w:t xml:space="preserve">Modular, contract-based architecture:</w:t>
      </w:r>
      <w:r>
        <w:t xml:space="preserve"> </w:t>
      </w:r>
      <w:r>
        <w:t xml:space="preserve">Each stage (detect → regulate → generate → verify) uses stable JSON contracts—standardized data formats—designed to support provider‑agnostic component swapping.</w:t>
      </w:r>
    </w:p>
    <w:p>
      <w:pPr>
        <w:pStyle w:val="Compact"/>
        <w:numPr>
          <w:ilvl w:val="0"/>
          <w:numId w:val="1002"/>
        </w:numPr>
      </w:pPr>
      <w:r>
        <w:rPr>
          <w:b/>
          <w:bCs/>
        </w:rPr>
        <w:t xml:space="preserve">Comprehensive auditability:</w:t>
      </w:r>
      <w:r>
        <w:t xml:space="preserve"> </w:t>
      </w:r>
      <w:r>
        <w:t xml:space="preserve">State and logs persisted in a relational database with per‑turn structured traces designed to enable quality assurance and longitudinal analysis.</w:t>
      </w:r>
    </w:p>
    <w:p>
      <w:pPr>
        <w:pStyle w:val="Compact"/>
        <w:numPr>
          <w:ilvl w:val="0"/>
          <w:numId w:val="1002"/>
        </w:numPr>
      </w:pPr>
      <w:r>
        <w:rPr>
          <w:b/>
          <w:bCs/>
        </w:rPr>
        <w:t xml:space="preserve">Domain-agnostic design:</w:t>
      </w:r>
      <w:r>
        <w:t xml:space="preserve"> </w:t>
      </w:r>
      <w:r>
        <w:t xml:space="preserve">Modular specification designed to enable rapid reconfiguration across domains via policy‑pack configuration rather than code modification (to be validated in thesis phase).</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6"/>
    <w:bookmarkEnd w:id="17"/>
    <w:bookmarkStart w:id="22" w:name="topic-definition"/>
    <w:p>
      <w:pPr>
        <w:pStyle w:val="Heading2"/>
      </w:pPr>
      <w:r>
        <w:t xml:space="preserve">2. Topic Definition</w:t>
      </w:r>
    </w:p>
    <w:bookmarkStart w:id="18"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8"/>
    <w:bookmarkStart w:id="19"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Workplace coaching was prioritized over clinical mental health applications due to: (1) strong alignment with Zurich Model motivations (security for stress management, affiliation for team dynamics, arousal for goal-setting), (2) lower ethical and regulatory risks (non-clinical coaching boundary avoids medical device regulations and stricter IRB requirements), and (3) clearer transferability pathway to adjacent domains (education, customer service) sharing similar stress-management frameworks.</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9"/>
    <w:bookmarkStart w:id="20" w:name="implementation-specifications"/>
    <w:p>
      <w:pPr>
        <w:pStyle w:val="Heading3"/>
      </w:pPr>
      <w:r>
        <w:t xml:space="preserve">2.3 Implementation Specifications</w:t>
      </w:r>
    </w:p>
    <w:p>
      <w:pPr>
        <w:pStyle w:val="FirstParagraph"/>
      </w:pPr>
      <w:r>
        <w:rPr>
          <w:b/>
          <w:bCs/>
        </w:rPr>
        <w:t xml:space="preserve">LLM model selection.</w:t>
      </w:r>
      <w:r>
        <w:t xml:space="preserve"> </w:t>
      </w:r>
      <w:r>
        <w:t xml:space="preserve">We employ OpenAI GPT-4 as the primary model for personality detection and response generation, with Gemini-1.5-Pro as a cost-effective alternative. GPT-4 offers excellent structured JSON output through native function calling and strong personality inference capabilities validated in prior work (Miotto et al., 2022).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 Vendor-specific details (API versions, uptime, costs, timeouts) are provided in Appendix E for planning purposes.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pct" w:w="5000"/>
        <w:tblLayout w:type="fixed"/>
        <w:tblLook w:firstRow="1" w:lastRow="0" w:firstColumn="0" w:lastColumn="0" w:noHBand="0" w:noVBand="0" w:val="0020"/>
      </w:tblPr>
      <w:tblGrid>
        <w:gridCol w:w="2066"/>
        <w:gridCol w:w="2926"/>
        <w:gridCol w:w="2926"/>
      </w:tblGrid>
      <w:tr>
        <w:trPr>
          <w:tblHeader w:val="on"/>
        </w:trPr>
        <w:tc>
          <w:tcPr/>
          <w:p>
            <w:pPr>
              <w:pStyle w:val="Compact"/>
            </w:pPr>
            <w:r>
              <w:t xml:space="preserve">Claim Type</w:t>
            </w:r>
          </w:p>
        </w:tc>
        <w:tc>
          <w:tcPr/>
          <w:p>
            <w:pPr>
              <w:pStyle w:val="Compact"/>
            </w:pPr>
            <w:r>
              <w:t xml:space="preserve">Evidence Status</w:t>
            </w:r>
          </w:p>
        </w:tc>
        <w:tc>
          <w:tcPr/>
          <w:p>
            <w:pPr>
              <w:pStyle w:val="Compact"/>
            </w:pPr>
            <w:r>
              <w:t xml:space="preserve">Validation Plan</w:t>
            </w:r>
          </w:p>
        </w:tc>
      </w:tr>
      <w:tr>
        <w:tc>
          <w:tcPr/>
          <w:p>
            <w:pPr>
              <w:pStyle w:val="Compact"/>
            </w:pPr>
            <w:r>
              <w:rPr>
                <w:b/>
                <w:bCs/>
              </w:rPr>
              <w:t xml:space="preserve">Architecture specifications</w:t>
            </w:r>
          </w:p>
        </w:tc>
        <w:tc>
          <w:tcPr/>
          <w:p>
            <w:pPr>
              <w:pStyle w:val="Compact"/>
            </w:pPr>
            <w:r>
              <w:t xml:space="preserve">Design complete</w:t>
            </w:r>
          </w:p>
        </w:tc>
        <w:tc>
          <w:tcPr/>
          <w:p>
            <w:pPr>
              <w:pStyle w:val="Compact"/>
            </w:pPr>
            <w:r>
              <w:t xml:space="preserve">Implementation in thesis Weeks 7-10</w:t>
            </w:r>
          </w:p>
        </w:tc>
      </w:tr>
      <w:tr>
        <w:tc>
          <w:tcPr/>
          <w:p>
            <w:pPr>
              <w:pStyle w:val="Compact"/>
            </w:pPr>
            <w:r>
              <w:rPr>
                <w:b/>
                <w:bCs/>
              </w:rPr>
              <w:t xml:space="preserve">EMA parameters (α=0.3)</w:t>
            </w:r>
          </w:p>
        </w:tc>
        <w:tc>
          <w:tcPr/>
          <w:p>
            <w:pPr>
              <w:pStyle w:val="Compact"/>
            </w:pPr>
            <w:r>
              <w:t xml:space="preserve">Theory-derived</w:t>
            </w:r>
          </w:p>
        </w:tc>
        <w:tc>
          <w:tcPr/>
          <w:p>
            <w:pPr>
              <w:pStyle w:val="Compact"/>
            </w:pPr>
            <w:r>
              <w:t xml:space="preserve">Empirical validation in thesis Weeks 11-14 (N≥250)</w:t>
            </w:r>
          </w:p>
        </w:tc>
      </w:tr>
      <w:tr>
        <w:tc>
          <w:tcPr/>
          <w:p>
            <w:pPr>
              <w:pStyle w:val="Compact"/>
            </w:pPr>
            <w:r>
              <w:rPr>
                <w:b/>
                <w:bCs/>
              </w:rPr>
              <w:t xml:space="preserve">Performance thresholds</w:t>
            </w:r>
          </w:p>
        </w:tc>
        <w:tc>
          <w:tcPr/>
          <w:p>
            <w:pPr>
              <w:pStyle w:val="Compact"/>
            </w:pPr>
            <w:r>
              <w:t xml:space="preserve">Target hypotheses</w:t>
            </w:r>
          </w:p>
        </w:tc>
        <w:tc>
          <w:tcPr/>
          <w:p>
            <w:pPr>
              <w:pStyle w:val="Compact"/>
            </w:pPr>
            <w:r>
              <w:t xml:space="preserve">Human validation in thesis Weeks 15-16 (n=30-50)</w:t>
            </w:r>
          </w:p>
        </w:tc>
      </w:tr>
      <w:tr>
        <w:tc>
          <w:tcPr/>
          <w:p>
            <w:pPr>
              <w:pStyle w:val="Compact"/>
            </w:pPr>
            <w:r>
              <w:rPr>
                <w:b/>
                <w:bCs/>
              </w:rPr>
              <w:t xml:space="preserve">Cross-domain reusability</w:t>
            </w:r>
          </w:p>
        </w:tc>
        <w:tc>
          <w:tcPr/>
          <w:p>
            <w:pPr>
              <w:pStyle w:val="Compact"/>
            </w:pPr>
            <w:r>
              <w:t xml:space="preserve">Design claim</w:t>
            </w:r>
          </w:p>
        </w:tc>
        <w:tc>
          <w:tcPr/>
          <w:p>
            <w:pPr>
              <w:pStyle w:val="Compact"/>
            </w:pPr>
            <w:r>
              <w:t xml:space="preserve">Timed experiments in thesis Weeks 8-10</w:t>
            </w:r>
          </w:p>
        </w:tc>
      </w:tr>
    </w:tbl>
    <w:p>
      <w:pPr>
        <w:pStyle w:val="BodyText"/>
      </w:pPr>
      <w:r>
        <w:rPr>
          <w:b/>
          <w:bCs/>
        </w:rPr>
        <w:t xml:space="preserve">Table 2. Evaluation Metrics and Target Thresholds</w:t>
      </w:r>
    </w:p>
    <w:tbl>
      <w:tblPr>
        <w:tblStyle w:val="Table"/>
        <w:tblW w:type="pct" w:w="5000"/>
        <w:tblLayout w:type="fixed"/>
        <w:tblLook w:firstRow="1" w:lastRow="0" w:firstColumn="0" w:lastColumn="0" w:noHBand="0" w:noVBand="0" w:val="0020"/>
      </w:tblPr>
      <w:tblGrid>
        <w:gridCol w:w="1408"/>
        <w:gridCol w:w="3168"/>
        <w:gridCol w:w="3344"/>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20"/>
    <w:bookmarkStart w:id="21" w:name="Xef5e0b382381b15117babb731a7d018574406c8"/>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w:t>
      </w:r>
      <w:r>
        <w:t xml:space="preserve"> </w:t>
      </w:r>
      <w:r>
        <w:t xml:space="preserve">-</w:t>
      </w:r>
      <w:r>
        <w:t xml:space="preserve"> </w:t>
      </w:r>
      <w:r>
        <w:rPr>
          <w:b/>
          <w:bCs/>
        </w:rPr>
        <w:t xml:space="preserve">Vent &amp; Validate:</w:t>
      </w:r>
      <w:r>
        <w:t xml:space="preserve"> </w:t>
      </w:r>
      <w:r>
        <w:t xml:space="preserve">Empathetic processing of stressors; high-N receives extra reassurance, low-A gets direct acknowledgment</w:t>
      </w:r>
      <w:r>
        <w:t xml:space="preserve"> </w:t>
      </w:r>
      <w:r>
        <w:t xml:space="preserve">-</w:t>
      </w:r>
      <w:r>
        <w:t xml:space="preserve"> </w:t>
      </w:r>
      <w:r>
        <w:rPr>
          <w:b/>
          <w:bCs/>
        </w:rPr>
        <w:t xml:space="preserve">Plan &amp; Structure:</w:t>
      </w:r>
      <w:r>
        <w:t xml:space="preserve"> </w:t>
      </w:r>
      <w:r>
        <w:t xml:space="preserve">Prioritization guidance; high-C receives detailed steps, low-C gets flexible options</w:t>
      </w:r>
      <w:r>
        <w:br/>
      </w:r>
      <w:r>
        <w:t xml:space="preserve">-</w:t>
      </w:r>
      <w:r>
        <w:t xml:space="preserve"> </w:t>
      </w:r>
      <w:r>
        <w:rPr>
          <w:b/>
          <w:bCs/>
        </w:rPr>
        <w:t xml:space="preserve">Cope &amp; Rehearse:</w:t>
      </w:r>
      <w:r>
        <w:t xml:space="preserve"> </w:t>
      </w:r>
      <w:r>
        <w:t xml:space="preserve">Immediate regulation techniques; high-E uses social strategies, low-E uses solitary methods</w:t>
      </w:r>
    </w:p>
    <w:p>
      <w:pPr>
        <w:pStyle w:val="BodyText"/>
      </w:pPr>
      <w:r>
        <w:rPr>
          <w:b/>
          <w:bCs/>
        </w:rPr>
        <w:t xml:space="preserve">Evidence-based techniques:</w:t>
      </w:r>
      <w:r>
        <w:t xml:space="preserve"> </w:t>
      </w:r>
      <w:r>
        <w:t xml:space="preserve">Integrates MCII goal-obstacle planning, cognitive reappraisal, grounding exercises (5-4-3-2-1, box breathing), and micro-planning strategies.</w:t>
      </w:r>
    </w:p>
    <w:p>
      <w:pPr>
        <w:pStyle w:val="BodyText"/>
      </w:pPr>
      <w:r>
        <w:rPr>
          <w:b/>
          <w:bCs/>
        </w:rPr>
        <w:t xml:space="preserve">Safety boundaries:</w:t>
      </w:r>
      <w:r>
        <w:t xml:space="preserve"> </w:t>
      </w:r>
      <w:r>
        <w:t xml:space="preserve">Non-clinical coaching scope; no medical advice, diagnosis, or crisis intervention beyond referral.</w:t>
      </w:r>
    </w:p>
    <w:p>
      <w:r>
        <w:pict>
          <v:rect style="width:0;height:1.5pt" o:hralign="center" o:hrstd="t" o:hr="t"/>
        </w:pict>
      </w:r>
    </w:p>
    <w:bookmarkEnd w:id="21"/>
    <w:bookmarkEnd w:id="22"/>
    <w:bookmarkStart w:id="27" w:name="research-questions"/>
    <w:p>
      <w:pPr>
        <w:pStyle w:val="Heading2"/>
      </w:pPr>
      <w:r>
        <w:t xml:space="preserve">3. Research Questions</w:t>
      </w:r>
    </w:p>
    <w:bookmarkStart w:id="23" w:name="primary-research-question"/>
    <w:p>
      <w:pPr>
        <w:pStyle w:val="Heading3"/>
      </w:pPr>
      <w:r>
        <w:t xml:space="preserve">3.1 Primary Research Question</w:t>
      </w:r>
    </w:p>
    <w:p>
      <w:pPr>
        <w:pStyle w:val="FirstParagraph"/>
      </w:pPr>
      <w:r>
        <w:t xml:space="preserve">What architectural mechanisms enable reliable, reproducible personality-aware dialogue adaptation in LLM-based systems, and how do they influence conversational quality in workplace stress coaching contexts?</w:t>
      </w:r>
    </w:p>
    <w:p>
      <w:pPr>
        <w:pStyle w:val="BodyText"/>
      </w:pPr>
      <w:r>
        <w:t xml:space="preserve">This design science question addresses the construction and evaluation of personality-adaptive chatbot architectures, encompassing technical challenges (modular systems integrating continuous detection with psychologically grounded regulation), algorithmic challenges (temporal stability, confidence-aware adaptation), psychological challenges (translating Big Five/Zurich Model frameworks into behavioral directives), and empirical validation (demonstrating measurable improvements in conversational quality versus non-adaptive baselines).</w:t>
      </w:r>
    </w:p>
    <w:bookmarkEnd w:id="23"/>
    <w:bookmarkStart w:id="24" w:name="X618f3e273d7ba69423e1b033dc899bfa35a2664"/>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(α=0.3) achieve stable, confidence-weighted personality estimates within 6–8 turns? Target measurement: trait variance σ_T &lt;0.15 over 5-turn windows and Pearson correlation r≥0.75 against ground-truth profiles (thesis phase validation).</w:t>
      </w:r>
    </w:p>
    <w:p>
      <w:pPr>
        <w:pStyle w:val="BodyText"/>
      </w:pPr>
      <w:r>
        <w:rPr>
          <w:b/>
          <w:bCs/>
        </w:rPr>
        <w:t xml:space="preserve">RQ2 - Regulation Strategies:</w:t>
      </w:r>
      <w:r>
        <w:t xml:space="preserve"> </w:t>
      </w:r>
      <w:r>
        <w:t xml:space="preserve">Do intensity-scaled directives mapped to three coaching modes (Vent &amp; Validate, Plan &amp; Structure, Cope &amp; Rehearse) improve tone appropriateness and needs satisfaction versus non-adaptive baseline? Target: average score improvement (regulated vs. baseline) via paired t-test (Cohen’s d≥0.5).</w:t>
      </w:r>
    </w:p>
    <w:p>
      <w:pPr>
        <w:pStyle w:val="BodyText"/>
      </w:pPr>
      <w:r>
        <w:rPr>
          <w:b/>
          <w:bCs/>
        </w:rPr>
        <w:t xml:space="preserve">RQ3 - Evaluation Methodology:</w:t>
      </w:r>
      <w:r>
        <w:t xml:space="preserve"> </w:t>
      </w:r>
      <w:r>
        <w:t xml:space="preserve">Does the scripted, blinded LLM evaluator yield ≥0.85 inter-run consistency and detect ≥20% performance gains with 95% CI? Target measurement: inter-run reliability (Pearson r≥0.85) and human-LLM agreement (Cohen’s κ≥0.70, thesis phase validation).</w:t>
      </w:r>
    </w:p>
    <w:p>
      <w:pPr>
        <w:pStyle w:val="BodyText"/>
      </w:pPr>
      <w:r>
        <w:rPr>
          <w:b/>
          <w:bCs/>
        </w:rPr>
        <w:t xml:space="preserve">RQ4 - System Architecture:</w:t>
      </w:r>
      <w:r>
        <w:t xml:space="preserve"> </w:t>
      </w:r>
      <w:r>
        <w:t xml:space="preserve">Does the Personality Adapter with config-driven policy packs enable domain transfer without code changes while maintaining ≥99.5% JSON compliance and 100% graceful fallback coverage? Target: policy pack swap time &lt;30 min (to be validated in thesis phase via Experiment E5 with two independent implementers) and reproducibility via seed fixation and version locking. For example, adapting to education involves swapping</w:t>
      </w:r>
      <w:r>
        <w:t xml:space="preserve"> </w:t>
      </w:r>
      <w:r>
        <w:t xml:space="preserve">“deadline anxiety”</w:t>
      </w:r>
      <w:r>
        <w:t xml:space="preserve"> </w:t>
      </w:r>
      <w:r>
        <w:t xml:space="preserve">for</w:t>
      </w:r>
      <w:r>
        <w:t xml:space="preserve"> </w:t>
      </w:r>
      <w:r>
        <w:t xml:space="preserve">“exam stress”</w:t>
      </w:r>
      <w:r>
        <w:t xml:space="preserve"> </w:t>
      </w:r>
      <w:r>
        <w:t xml:space="preserve">and</w:t>
      </w:r>
      <w:r>
        <w:t xml:space="preserve"> </w:t>
      </w:r>
      <w:r>
        <w:t xml:space="preserve">“team dynamics”</w:t>
      </w:r>
      <w:r>
        <w:t xml:space="preserve"> </w:t>
      </w:r>
      <w:r>
        <w:t xml:space="preserve">for</w:t>
      </w:r>
      <w:r>
        <w:t xml:space="preserve"> </w:t>
      </w:r>
      <w:r>
        <w:t xml:space="preserve">“peer collaboration”</w:t>
      </w:r>
      <w:r>
        <w:t xml:space="preserve"> </w:t>
      </w:r>
      <w:r>
        <w:t xml:space="preserve">in policy pack YAML files, leveraging the same detection→regulation pipeline.</w:t>
      </w:r>
    </w:p>
    <w:p>
      <w:pPr>
        <w:pStyle w:val="BodyText"/>
      </w:pPr>
      <w:r>
        <w:rPr>
          <w:b/>
          <w:bCs/>
        </w:rPr>
        <w:t xml:space="preserve">RQ5 - Generalization and Limitations:</w:t>
      </w:r>
      <w:r>
        <w:t xml:space="preserve"> </w:t>
      </w:r>
      <w:r>
        <w:t xml:space="preserve">How do results vary between extreme profiles (Type A: +0.8, Type B: -0.8) and mixed profiles, and what scope limitations constrain transfer to live user interactions? Documents profile-stratified performance analysis (planned) and simulation-to-human validity gaps.</w:t>
      </w:r>
    </w:p>
    <w:bookmarkEnd w:id="24"/>
    <w:bookmarkStart w:id="25" w:name="success-criteria-architecture-oriented"/>
    <w:p>
      <w:pPr>
        <w:pStyle w:val="Heading3"/>
      </w:pPr>
      <w:r>
        <w:t xml:space="preserve">3.3 Success Criteria (Architecture-Oriented)</w:t>
      </w:r>
    </w:p>
    <w:p>
      <w:pPr>
        <w:pStyle w:val="FirstParagraph"/>
      </w:pPr>
      <w:r>
        <w:t xml:space="preserve">To build a reusable, reliable, and personality-adaptable chatbot architecture, we define explicit success criteria (to be validated in thesis phase):</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Effectiveness (Target):</w:t>
      </w:r>
      <w:r>
        <w:t xml:space="preserve"> </w:t>
      </w:r>
      <w:r>
        <w:t xml:space="preserve">Primary outcome: ≥ 20% improvement on evaluation criteria (tone, relevance/coherence, needs) with 95% CI. Secondary: intent classification ≥ 85%, directive-outcome alignment ≥ 80%, inter-run consistency ≥ 0.85.</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w:t>
      </w:r>
    </w:p>
    <w:bookmarkEnd w:id="25"/>
    <w:bookmarkStart w:id="26" w:name="mapping-to-methodology"/>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6"/>
    <w:bookmarkEnd w:id="27"/>
    <w:bookmarkStart w:id="35" w:name="methodology"/>
    <w:p>
      <w:pPr>
        <w:pStyle w:val="Heading2"/>
      </w:pPr>
      <w:r>
        <w:t xml:space="preserve">4. Methodology</w:t>
      </w:r>
    </w:p>
    <w:bookmarkStart w:id="28" w:name="architecture-and-workflow"/>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w:t>
      </w:r>
    </w:p>
    <w:p>
      <w:pPr>
        <w:pStyle w:val="BodyText"/>
      </w:pPr>
      <w:r>
        <w:t xml:space="preserve">]</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p>
    <w:p>
      <w:pPr>
        <w:pStyle w:val="FirstParagraph"/>
      </w:pPr>
      <w:r>
        <w:rPr>
          <w:i/>
          <w:iCs/>
        </w:rPr>
        <w:t xml:space="preserve">Docker Compose deployment for Next.js frontend, N8N workflow, PostgreSQL, and Redis. Internal networking and persistent volumes enable durability; external LLM endpoints are accessed over HTTPS.</w:t>
      </w:r>
    </w:p>
    <w:p>
      <w:pPr>
        <w:pStyle w:val="BodyText"/>
      </w:pPr>
      <w:r>
        <w:rPr>
          <w:b/>
          <w:bCs/>
        </w:rPr>
        <w:t xml:space="preserve">Table 3.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8"/>
    <w:bookmarkStart w:id="29" w:name="X39d81d102258ff7914db23be3b5f285888b87b3"/>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03"/>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03"/>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03"/>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03"/>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(&lt;0.4) are filtered to prevent noise corruption.</w:t>
      </w:r>
    </w:p>
    <w:bookmarkEnd w:id="29"/>
    <w:bookmarkStart w:id="30" w:name="X7b1786571cc242f0339264d2bee7bb375d7cf4a"/>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30"/>
    <w:bookmarkStart w:id="31" w:name="X42d8d02b0524a04d7e0b69d461c580d55cf1f92"/>
    <w:p>
      <w:pPr>
        <w:pStyle w:val="Heading3"/>
      </w:pPr>
      <w:r>
        <w:t xml:space="preserve">4.4 Generation Module: Quote-and-Bound Response Production</w:t>
      </w:r>
    </w:p>
    <w:p>
      <w:pPr>
        <w:pStyle w:val="FirstParagraph"/>
      </w:pPr>
      <w:r>
        <w:rPr>
          <w:b/>
          <w:bCs/>
        </w:rPr>
        <w:t xml:space="preserve">Dialog Grounding and Safety Constraints (Critical Guideline):</w:t>
      </w:r>
    </w:p>
    <w:p>
      <w:pPr>
        <w:pStyle w:val="BodyText"/>
      </w:pP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Response Constraints:</w:t>
      </w:r>
      <w:r>
        <w:t xml:space="preserve"> </w:t>
      </w:r>
      <w:r>
        <w:t xml:space="preserve">-</w:t>
      </w:r>
      <w:r>
        <w:t xml:space="preserve"> </w:t>
      </w:r>
      <w:r>
        <w:rPr>
          <w:b/>
          <w:bCs/>
        </w:rPr>
        <w:t xml:space="preserve">Grounding:</w:t>
      </w:r>
      <w:r>
        <w:t xml:space="preserve"> </w:t>
      </w:r>
      <w:r>
        <w:t xml:space="preserve">Strict adherence to user’s conversational input; no external claims or information</w:t>
      </w:r>
      <w:r>
        <w:t xml:space="preserve"> </w:t>
      </w:r>
      <w:r>
        <w:t xml:space="preserve">-</w:t>
      </w:r>
      <w:r>
        <w:t xml:space="preserve"> </w:t>
      </w:r>
      <w:r>
        <w:rPr>
          <w:b/>
          <w:bCs/>
        </w:rPr>
        <w:t xml:space="preserve">Length:</w:t>
      </w:r>
      <w:r>
        <w:t xml:space="preserve"> </w:t>
      </w:r>
      <w:r>
        <w:t xml:space="preserve">70-150 words to ensure substantive but focused responses</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20-second timeout</w:t>
      </w:r>
      <w:r>
        <w:t xml:space="preserve"> </w:t>
      </w:r>
      <w:r>
        <w:t xml:space="preserve">-</w:t>
      </w:r>
      <w:r>
        <w:t xml:space="preserve"> </w:t>
      </w:r>
      <w:r>
        <w:rPr>
          <w:b/>
          <w:bCs/>
        </w:rPr>
        <w:t xml:space="preserve">Safety:</w:t>
      </w:r>
      <w:r>
        <w:t xml:space="preserve"> </w:t>
      </w:r>
      <w:r>
        <w:t xml:space="preserve">If stress level ≥3 (see Table 3 for 0-4 scale measurement) and crisis indicators (e.g., self-harm/violence terms) are detected, return a neutral, supportive message with escalation guidance; never provide clinical advice</w:t>
      </w:r>
    </w:p>
    <w:p>
      <w:pPr>
        <w:pStyle w:val="BodyText"/>
      </w:pPr>
      <w:r>
        <w:rPr>
          <w:b/>
          <w:bCs/>
        </w:rPr>
        <w:t xml:space="preserve">Prompt Construction:</w:t>
      </w:r>
      <w:r>
        <w:t xml:space="preserve"> </w:t>
      </w:r>
      <w:r>
        <w:t xml:space="preserve">Integrates behavioral directives with strict grounding constraints (see Appendix A.2).</w:t>
      </w:r>
    </w:p>
    <w:p>
      <w:pPr>
        <w:pStyle w:val="BodyText"/>
      </w:pPr>
      <w:r>
        <w:rPr>
          <w:b/>
          <w:bCs/>
        </w:rPr>
        <w:t xml:space="preserve">Error Handling:</w:t>
      </w:r>
      <w:r>
        <w:t xml:space="preserve"> </w:t>
      </w:r>
      <w:r>
        <w:t xml:space="preserve">Neutral fallback on failure:</w:t>
      </w:r>
      <w:r>
        <w:t xml:space="preserve"> </w:t>
      </w:r>
      <w:r>
        <w:t xml:space="preserve">“I’m here to support you. Could you tell me more about how you’re feeling?”</w:t>
      </w:r>
      <w:r>
        <w:t xml:space="preserve"> </w:t>
      </w:r>
      <w:r>
        <w:t xml:space="preserve">Full session context maintained for debugging.</w:t>
      </w:r>
    </w:p>
    <w:bookmarkEnd w:id="31"/>
    <w:bookmarkStart w:id="32" w:name="data-management-and-simulation"/>
    <w:p>
      <w:pPr>
        <w:pStyle w:val="Heading3"/>
      </w:pPr>
      <w:r>
        <w:t xml:space="preserve">4.5 Data Management and Simulation</w:t>
      </w:r>
    </w:p>
    <w:p>
      <w:pPr>
        <w:pStyle w:val="FirstParagraph"/>
      </w:pPr>
      <w:r>
        <w:rPr>
          <w:b/>
          <w:bCs/>
        </w:rPr>
        <w:t xml:space="preserve">PostgreSQL Database:</w:t>
      </w:r>
      <w:r>
        <w:t xml:space="preserve"> </w:t>
      </w:r>
      <w:r>
        <w:t xml:space="preserve">Four core tables persist state for longitudinal analysis:</w:t>
      </w:r>
      <w:r>
        <w:t xml:space="preserve"> </w:t>
      </w:r>
      <w:r>
        <w:rPr>
          <w:rStyle w:val="VerbatimChar"/>
        </w:rPr>
        <w:t xml:space="preserve">chat_sessions</w:t>
      </w:r>
      <w:r>
        <w:t xml:space="preserve"> </w:t>
      </w:r>
      <w:r>
        <w:t xml:space="preserve">(metadata),</w:t>
      </w:r>
      <w:r>
        <w:t xml:space="preserve"> </w:t>
      </w:r>
      <w:r>
        <w:rPr>
          <w:rStyle w:val="VerbatimChar"/>
        </w:rPr>
        <w:t xml:space="preserve">conversation_turns</w:t>
      </w:r>
      <w:r>
        <w:t xml:space="preserve"> </w:t>
      </w:r>
      <w:r>
        <w:t xml:space="preserve">(dialogue history with directives and coaching modes),</w:t>
      </w:r>
      <w:r>
        <w:t xml:space="preserve"> </w:t>
      </w:r>
      <w:r>
        <w:rPr>
          <w:rStyle w:val="VerbatimChar"/>
        </w:rPr>
        <w:t xml:space="preserve">personality_states</w:t>
      </w:r>
      <w:r>
        <w:t xml:space="preserve"> </w:t>
      </w:r>
      <w:r>
        <w:t xml:space="preserve">(EMA-smoothed OCEAN values, confidence, stability flags),</w:t>
      </w:r>
      <w:r>
        <w:t xml:space="preserve"> </w:t>
      </w:r>
      <w:r>
        <w:rPr>
          <w:rStyle w:val="VerbatimChar"/>
        </w:rPr>
        <w:t xml:space="preserve">performance_metrics</w:t>
      </w:r>
      <w:r>
        <w:t xml:space="preserve"> </w:t>
      </w:r>
      <w:r>
        <w:t xml:space="preserve">(latencies, tokens). Helper functions retrieve latest personality state and conversation history for context windows. Data flow: Load previous state → Detection (GPT-4) → EMA smoothing (α=0.3) → Save to PostgreSQL → Next turn retrieves smoothed state for continuity.</w:t>
      </w:r>
    </w:p>
    <w:p>
      <w:pPr>
        <w:pStyle w:val="BodyText"/>
      </w:pPr>
      <w:r>
        <w:rPr>
          <w:b/>
          <w:bCs/>
        </w:rPr>
        <w:t xml:space="preserve">Table 5. PostgreSQL Schema Overview</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Simulation Protocol:</w:t>
      </w:r>
      <w:r>
        <w:t xml:space="preserve"> </w:t>
      </w:r>
      <w:r>
        <w:t xml:space="preserve">Three personality profiles (Type A: high OCEAN +0.8 except low N; Type B: low OCEAN -0.8 except high N; Type C: mixed profiles) engage in three stress scenarios (workload overload, deadline anxiety, interpersonal conflict) covering all coaching modes. Conversations: 8-10 turns, 10-15 sessions per profile × 3 scenarios = 90-135 total conversations. Convergence tracked with</w:t>
      </w:r>
      <w:r>
        <w:t xml:space="preserve"> </w:t>
      </w:r>
      <w:r>
        <w:rPr>
          <w:rStyle w:val="VerbatimChar"/>
        </w:rPr>
        <w:t xml:space="preserve">stable=TRUE</w:t>
      </w:r>
      <w:r>
        <w:t xml:space="preserve"> </w:t>
      </w:r>
      <w:r>
        <w:t xml:space="preserve">target at turns 6-8 for ≥80% sessions. Baseline: parallel conversations using generic assistant without personality adaptation. Export: CSV/JSONL with per-turn OCEAN evolution, directives, coaching modes, stability flags, and convergence metrics.</w:t>
      </w:r>
    </w:p>
    <w:bookmarkEnd w:id="32"/>
    <w:bookmarkStart w:id="33" w:name="evaluation-framework"/>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r>
        <w:t xml:space="preserve"> </w:t>
      </w:r>
      <w:r>
        <w:t xml:space="preserve">1.</w:t>
      </w:r>
      <w:r>
        <w:t xml:space="preserve"> </w:t>
      </w:r>
      <w:r>
        <w:rPr>
          <w:b/>
          <w:bCs/>
        </w:rPr>
        <w:t xml:space="preserve">Detection Accuracy:</w:t>
      </w:r>
      <w:r>
        <w:t xml:space="preserve"> </w:t>
      </w:r>
      <w:r>
        <w:t xml:space="preserve">Alignment between continuous OCEAN inference and simulated personality cues</w:t>
      </w:r>
      <w:r>
        <w:t xml:space="preserve"> </w:t>
      </w:r>
      <w:r>
        <w:t xml:space="preserve">2.</w:t>
      </w:r>
      <w:r>
        <w:t xml:space="preserve"> </w:t>
      </w:r>
      <w:r>
        <w:rPr>
          <w:b/>
          <w:bCs/>
        </w:rPr>
        <w:t xml:space="preserve">EMA Convergence Quality:</w:t>
      </w:r>
      <w:r>
        <w:t xml:space="preserve"> </w:t>
      </w:r>
      <w:r>
        <w:t xml:space="preserve">Smooth progression toward stable personality estimate (low variance, appropriate α)</w:t>
      </w:r>
      <w:r>
        <w:t xml:space="preserve"> </w:t>
      </w:r>
      <w:r>
        <w:t xml:space="preserve">3.</w:t>
      </w:r>
      <w:r>
        <w:t xml:space="preserve"> </w:t>
      </w:r>
      <w:r>
        <w:rPr>
          <w:b/>
          <w:bCs/>
        </w:rPr>
        <w:t xml:space="preserve">Confidence Calibration:</w:t>
      </w:r>
      <w:r>
        <w:t xml:space="preserve"> </w:t>
      </w:r>
      <w:r>
        <w:t xml:space="preserve">Appropriate confidence scores matching evidence strength</w:t>
      </w:r>
      <w:r>
        <w:t xml:space="preserve"> </w:t>
      </w:r>
      <w:r>
        <w:t xml:space="preserve">4.</w:t>
      </w:r>
      <w:r>
        <w:t xml:space="preserve"> </w:t>
      </w:r>
      <w:r>
        <w:rPr>
          <w:b/>
          <w:bCs/>
        </w:rPr>
        <w:t xml:space="preserve">Regulation Effectiveness:</w:t>
      </w:r>
      <w:r>
        <w:t xml:space="preserve"> </w:t>
      </w:r>
      <w:r>
        <w:t xml:space="preserve">Appropriate application of intensity-scaled behavioral strategies</w:t>
      </w:r>
      <w:r>
        <w:t xml:space="preserve"> </w:t>
      </w:r>
      <w:r>
        <w:t xml:space="preserve">5.</w:t>
      </w:r>
      <w:r>
        <w:t xml:space="preserve"> </w:t>
      </w:r>
      <w:r>
        <w:rPr>
          <w:b/>
          <w:bCs/>
        </w:rPr>
        <w:t xml:space="preserve">Emotional Tone Appropriateness:</w:t>
      </w:r>
      <w:r>
        <w:t xml:space="preserve"> </w:t>
      </w:r>
      <w:r>
        <w:t xml:space="preserve">Match between response tone and user emotional state/personality</w:t>
      </w:r>
      <w:r>
        <w:t xml:space="preserve"> </w:t>
      </w:r>
      <w:r>
        <w:t xml:space="preserve">6.</w:t>
      </w:r>
      <w:r>
        <w:t xml:space="preserve"> </w:t>
      </w:r>
      <w:r>
        <w:rPr>
          <w:b/>
          <w:bCs/>
        </w:rPr>
        <w:t xml:space="preserve">Relevance &amp; Coherence:</w:t>
      </w:r>
      <w:r>
        <w:t xml:space="preserve"> </w:t>
      </w:r>
      <w:r>
        <w:t xml:space="preserve">Contextual appropriateness and logical consistency</w:t>
      </w:r>
      <w:r>
        <w:t xml:space="preserve"> </w:t>
      </w:r>
      <w:r>
        <w:t xml:space="preserve">7.</w:t>
      </w:r>
      <w:r>
        <w:t xml:space="preserve"> </w:t>
      </w:r>
      <w:r>
        <w:rPr>
          <w:b/>
          <w:bCs/>
        </w:rPr>
        <w:t xml:space="preserve">Personality Needs Addressed:</w:t>
      </w:r>
      <w:r>
        <w:t xml:space="preserve"> </w:t>
      </w:r>
      <w:r>
        <w:t xml:space="preserve">Satisfaction of trait-specific emotional and interactional requirements</w:t>
      </w:r>
    </w:p>
    <w:p>
      <w:pPr>
        <w:pStyle w:val="BodyText"/>
      </w:pPr>
      <w:r>
        <w:rPr>
          <w:i/>
          <w:iCs/>
        </w:rPr>
        <w:t xml:space="preserve">For Baseline Assistants (3 criteria):</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br/>
      </w:r>
      <w:r>
        <w:t xml:space="preserve">3.</w:t>
      </w:r>
      <w:r>
        <w:t xml:space="preserve"> </w:t>
      </w:r>
      <w:r>
        <w:rPr>
          <w:b/>
          <w:bCs/>
        </w:rPr>
        <w:t xml:space="preserve">Personality Needs Addressed</w:t>
      </w:r>
    </w:p>
    <w:p>
      <w:pPr>
        <w:pStyle w:val="BodyText"/>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r>
        <w:t xml:space="preserve"> </w:t>
      </w:r>
      <w:r>
        <w:t xml:space="preserve">-</w:t>
      </w:r>
      <w:r>
        <w:t xml:space="preserve"> </w:t>
      </w:r>
      <w:r>
        <w:rPr>
          <w:b/>
          <w:bCs/>
        </w:rPr>
        <w:t xml:space="preserve">Row ID:</w:t>
      </w:r>
      <w:r>
        <w:t xml:space="preserve"> </w:t>
      </w:r>
      <w:r>
        <w:t xml:space="preserve">Unique identifier for tracking individual assessments</w:t>
      </w:r>
      <w:r>
        <w:t xml:space="preserve"> </w:t>
      </w:r>
      <w:r>
        <w:t xml:space="preserve">-</w:t>
      </w:r>
      <w:r>
        <w:t xml:space="preserve"> </w:t>
      </w:r>
      <w:r>
        <w:rPr>
          <w:b/>
          <w:bCs/>
        </w:rPr>
        <w:t xml:space="preserve">Profile Type:</w:t>
      </w:r>
      <w:r>
        <w:t xml:space="preserve"> </w:t>
      </w:r>
      <w:r>
        <w:t xml:space="preserve">Simulated personality profile (Type A: high OCEAN; Type B: low OCEAN; Type C: mixed)</w:t>
      </w:r>
      <w:r>
        <w:t xml:space="preserve"> </w:t>
      </w:r>
      <w:r>
        <w:t xml:space="preserve">-</w:t>
      </w:r>
      <w:r>
        <w:t xml:space="preserve"> </w:t>
      </w:r>
      <w:r>
        <w:rPr>
          <w:b/>
          <w:bCs/>
        </w:rPr>
        <w:t xml:space="preserve">Turn Number:</w:t>
      </w:r>
      <w:r>
        <w:t xml:space="preserve"> </w:t>
      </w:r>
      <w:r>
        <w:t xml:space="preserve">Position within conversation sequence (1-10)</w:t>
      </w:r>
      <w:r>
        <w:t xml:space="preserve"> </w:t>
      </w:r>
      <w:r>
        <w:t xml:space="preserve">-</w:t>
      </w:r>
      <w:r>
        <w:t xml:space="preserve"> </w:t>
      </w:r>
      <w:r>
        <w:rPr>
          <w:b/>
          <w:bCs/>
        </w:rPr>
        <w:t xml:space="preserve">User Message:</w:t>
      </w:r>
      <w:r>
        <w:t xml:space="preserve"> </w:t>
      </w:r>
      <w:r>
        <w:t xml:space="preserve">Original user input text</w:t>
      </w:r>
      <w:r>
        <w:t xml:space="preserve"> </w:t>
      </w:r>
      <w:r>
        <w:t xml:space="preserve">-</w:t>
      </w:r>
      <w:r>
        <w:t xml:space="preserve"> </w:t>
      </w:r>
      <w:r>
        <w:rPr>
          <w:b/>
          <w:bCs/>
        </w:rPr>
        <w:t xml:space="preserve">Assistant Reply:</w:t>
      </w:r>
      <w:r>
        <w:t xml:space="preserve"> </w:t>
      </w:r>
      <w:r>
        <w:t xml:space="preserve">Generated system response</w:t>
      </w:r>
    </w:p>
    <w:p>
      <w:pPr>
        <w:pStyle w:val="BodyText"/>
      </w:pPr>
      <w:r>
        <w:rPr>
          <w:b/>
          <w:bCs/>
        </w:rPr>
        <w:t xml:space="preserve">Personality State Fields:</w:t>
      </w:r>
      <w:r>
        <w:t xml:space="preserve"> </w:t>
      </w:r>
      <w:r>
        <w:t xml:space="preserve">-</w:t>
      </w:r>
      <w:r>
        <w:t xml:space="preserve"> </w:t>
      </w:r>
      <w:r>
        <w:rPr>
          <w:b/>
          <w:bCs/>
        </w:rPr>
        <w:t xml:space="preserve">OCEAN Values (Smoothed):</w:t>
      </w:r>
      <w:r>
        <w:t xml:space="preserve"> </w:t>
      </w:r>
      <w:r>
        <w:t xml:space="preserve">EMA-smoothed continuous trait estimates (e.g., O:0.78, C:0.65, E:0.82, A:0.71, N:-0.68)</w:t>
      </w:r>
      <w:r>
        <w:t xml:space="preserve"> </w:t>
      </w:r>
      <w:r>
        <w:t xml:space="preserve">-</w:t>
      </w:r>
      <w:r>
        <w:t xml:space="preserve"> </w:t>
      </w:r>
      <w:r>
        <w:rPr>
          <w:b/>
          <w:bCs/>
        </w:rPr>
        <w:t xml:space="preserve">Confidence Scores:</w:t>
      </w:r>
      <w:r>
        <w:t xml:space="preserve"> </w:t>
      </w:r>
      <w:r>
        <w:t xml:space="preserve">Per-trait confidence assessments (range 0.0-1.0)</w:t>
      </w:r>
      <w:r>
        <w:t xml:space="preserve"> </w:t>
      </w:r>
      <w:r>
        <w:t xml:space="preserve">-</w:t>
      </w:r>
      <w:r>
        <w:t xml:space="preserve"> </w:t>
      </w:r>
      <w:r>
        <w:rPr>
          <w:b/>
          <w:bCs/>
        </w:rPr>
        <w:t xml:space="preserve">Stability Flag:</w:t>
      </w:r>
      <w:r>
        <w:t xml:space="preserve"> </w:t>
      </w:r>
      <w:r>
        <w:t xml:space="preserve">Boolean indicator (TRUE/FALSE) signaling stable personality estimate (≥6 turns, variance &lt;0.15)</w:t>
      </w:r>
      <w:r>
        <w:t xml:space="preserve"> </w:t>
      </w:r>
      <w:r>
        <w:t xml:space="preserve">-</w:t>
      </w:r>
      <w:r>
        <w:t xml:space="preserve"> </w:t>
      </w:r>
      <w:r>
        <w:rPr>
          <w:b/>
          <w:bCs/>
        </w:rPr>
        <w:t xml:space="preserve">Applied Directives:</w:t>
      </w:r>
      <w:r>
        <w:t xml:space="preserve"> </w:t>
      </w:r>
      <w:r>
        <w:t xml:space="preserve">Array of behavioral directives activated (e.g., [</w:t>
      </w:r>
      <w:r>
        <w:t xml:space="preserve">“Introduce novel ideas”</w:t>
      </w:r>
      <w:r>
        <w:t xml:space="preserve">,</w:t>
      </w:r>
      <w:r>
        <w:t xml:space="preserve"> </w:t>
      </w:r>
      <w:r>
        <w:t xml:space="preserve">“Energetic tone”</w:t>
      </w:r>
      <w:r>
        <w:t xml:space="preserve">,</w:t>
      </w:r>
      <w:r>
        <w:t xml:space="preserve"> </w:t>
      </w:r>
      <w:r>
        <w:t xml:space="preserve">“Structured steps”</w:t>
      </w:r>
      <w:r>
        <w:t xml:space="preserve">])</w:t>
      </w:r>
    </w:p>
    <w:p>
      <w:pPr>
        <w:pStyle w:val="BodyText"/>
      </w:pPr>
      <w:r>
        <w:rPr>
          <w:b/>
          <w:bCs/>
        </w:rPr>
        <w:t xml:space="preserve">Evaluation Criteria Scores (0-2 scale):</w:t>
      </w:r>
      <w:r>
        <w:t xml:space="preserve"> </w:t>
      </w:r>
      <w:r>
        <w:t xml:space="preserve">-</w:t>
      </w:r>
      <w:r>
        <w:t xml:space="preserve"> </w:t>
      </w:r>
      <w:r>
        <w:rPr>
          <w:b/>
          <w:bCs/>
        </w:rPr>
        <w:t xml:space="preserve">Detection Accuracy (Det.Acc):</w:t>
      </w:r>
      <w:r>
        <w:t xml:space="preserve"> </w:t>
      </w:r>
      <w:r>
        <w:t xml:space="preserve">Alignment between inferred OCEAN and personality cues</w:t>
      </w:r>
      <w:r>
        <w:t xml:space="preserve"> </w:t>
      </w:r>
      <w:r>
        <w:t xml:space="preserve">-</w:t>
      </w:r>
      <w:r>
        <w:t xml:space="preserve"> </w:t>
      </w:r>
      <w:r>
        <w:rPr>
          <w:b/>
          <w:bCs/>
        </w:rPr>
        <w:t xml:space="preserve">EMA Convergence (EMA.Conv):</w:t>
      </w:r>
      <w:r>
        <w:t xml:space="preserve"> </w:t>
      </w:r>
      <w:r>
        <w:t xml:space="preserve">Quality of temporal smoothing and stability progression</w:t>
      </w:r>
      <w:r>
        <w:t xml:space="preserve"> </w:t>
      </w:r>
      <w:r>
        <w:t xml:space="preserve">-</w:t>
      </w:r>
      <w:r>
        <w:t xml:space="preserve"> </w:t>
      </w:r>
      <w:r>
        <w:rPr>
          <w:b/>
          <w:bCs/>
        </w:rPr>
        <w:t xml:space="preserve">Confidence Calibration (Conf.Cal):</w:t>
      </w:r>
      <w:r>
        <w:t xml:space="preserve"> </w:t>
      </w:r>
      <w:r>
        <w:t xml:space="preserve">Appropriateness of confidence scores relative to evidence</w:t>
      </w:r>
      <w:r>
        <w:t xml:space="preserve"> </w:t>
      </w:r>
      <w:r>
        <w:t xml:space="preserve">-</w:t>
      </w:r>
      <w:r>
        <w:t xml:space="preserve"> </w:t>
      </w:r>
      <w:r>
        <w:rPr>
          <w:b/>
          <w:bCs/>
        </w:rPr>
        <w:t xml:space="preserve">Regulation Effectiveness (Reg.Eff):</w:t>
      </w:r>
      <w:r>
        <w:t xml:space="preserve"> </w:t>
      </w:r>
      <w:r>
        <w:t xml:space="preserve">Correct application of behavioral directives</w:t>
      </w:r>
      <w:r>
        <w:t xml:space="preserve"> </w:t>
      </w:r>
      <w:r>
        <w:t xml:space="preserve">-</w:t>
      </w:r>
      <w:r>
        <w:t xml:space="preserve"> </w:t>
      </w:r>
      <w:r>
        <w:rPr>
          <w:b/>
          <w:bCs/>
        </w:rPr>
        <w:t xml:space="preserve">Emotional Tone (Tone):</w:t>
      </w:r>
      <w:r>
        <w:t xml:space="preserve"> </w:t>
      </w:r>
      <w:r>
        <w:t xml:space="preserve">Match between response tone and user state/personality</w:t>
      </w:r>
      <w:r>
        <w:t xml:space="preserve"> </w:t>
      </w:r>
      <w:r>
        <w:t xml:space="preserve">-</w:t>
      </w:r>
      <w:r>
        <w:t xml:space="preserve"> </w:t>
      </w:r>
      <w:r>
        <w:rPr>
          <w:b/>
          <w:bCs/>
        </w:rPr>
        <w:t xml:space="preserve">Relevance &amp; Coherence (Rel&amp;Coh):</w:t>
      </w:r>
      <w:r>
        <w:t xml:space="preserve"> </w:t>
      </w:r>
      <w:r>
        <w:t xml:space="preserve">Contextual appropriateness and logical consistency</w:t>
      </w:r>
      <w:r>
        <w:t xml:space="preserve"> </w:t>
      </w:r>
      <w:r>
        <w:t xml:space="preserve">-</w:t>
      </w:r>
      <w:r>
        <w:t xml:space="preserve"> </w:t>
      </w:r>
      <w:r>
        <w:rPr>
          <w:b/>
          <w:bCs/>
        </w:rPr>
        <w:t xml:space="preserve">Personality Needs (Needs):</w:t>
      </w:r>
      <w:r>
        <w:t xml:space="preserve"> </w:t>
      </w:r>
      <w:r>
        <w:t xml:space="preserve">Satisfaction of trait-specific requirements</w:t>
      </w:r>
      <w:r>
        <w:t xml:space="preserve"> </w:t>
      </w:r>
      <w:r>
        <w:t xml:space="preserve">-</w:t>
      </w:r>
      <w:r>
        <w:t xml:space="preserve"> </w:t>
      </w:r>
      <w:r>
        <w:rPr>
          <w:b/>
          <w:bCs/>
        </w:rPr>
        <w:t xml:space="preserve">Total Score:</w:t>
      </w:r>
      <w:r>
        <w:t xml:space="preserve"> </w:t>
      </w:r>
      <w:r>
        <w:t xml:space="preserve">Sum of all criterion scores (0-14 for regulated; 0-6 for baseline)</w:t>
      </w:r>
    </w:p>
    <w:p>
      <w:pPr>
        <w:pStyle w:val="BodyText"/>
      </w:pPr>
      <w:r>
        <w:rPr>
          <w:b/>
          <w:bCs/>
        </w:rPr>
        <w:t xml:space="preserve">Example Evaluation Records:</w:t>
      </w:r>
    </w:p>
    <w:p>
      <w:pPr>
        <w:pStyle w:val="BodyText"/>
      </w:pPr>
      <w:r>
        <w:rPr>
          <w:i/>
          <w:iCs/>
        </w:rPr>
        <w:t xml:space="preserve">Type A Profile (High OCEAN), Turn 6:</w:t>
      </w:r>
      <w:r>
        <w:t xml:space="preserve"> </w:t>
      </w:r>
      <w:r>
        <w:t xml:space="preserve">- User:</w:t>
      </w:r>
      <w:r>
        <w:t xml:space="preserve"> </w:t>
      </w:r>
      <w:r>
        <w:t xml:space="preserve">“I’m excited to try new approaches…”</w:t>
      </w:r>
      <w:r>
        <w:t xml:space="preserve"> </w:t>
      </w:r>
      <w:r>
        <w:t xml:space="preserve">- Assistant:</w:t>
      </w:r>
      <w:r>
        <w:t xml:space="preserve"> </w:t>
      </w:r>
      <w:r>
        <w:t xml:space="preserve">“That’s wonderful! Let’s explore some creative strategies…”</w:t>
      </w:r>
      <w:r>
        <w:t xml:space="preserve"> </w:t>
      </w:r>
      <w:r>
        <w:t xml:space="preserve">- OCEAN: O:0.78, C:0.65, E:0.82, A:0.71, N:-0.68 (Stable: TRUE)</w:t>
      </w:r>
      <w:r>
        <w:t xml:space="preserve"> </w:t>
      </w:r>
      <w:r>
        <w:t xml:space="preserve">- Directives: Introduce novel ideas, Energetic tone, Structured steps</w:t>
      </w:r>
      <w:r>
        <w:t xml:space="preserve"> </w:t>
      </w:r>
      <w:r>
        <w:t xml:space="preserve">- Scores: Det.Acc=2, EMA.Conv=2, Conf.Cal=2, Reg.Eff=2, Tone=2, Rel&amp;Coh=2, Needs=2 (Total: 14/14)</w:t>
      </w:r>
    </w:p>
    <w:p>
      <w:pPr>
        <w:pStyle w:val="BodyText"/>
      </w:pPr>
      <w:r>
        <w:rPr>
          <w:i/>
          <w:iCs/>
        </w:rPr>
        <w:t xml:space="preserve">Type B Profile (Low OCEAN), Turn 6:</w:t>
      </w:r>
      <w:r>
        <w:t xml:space="preserve"> </w:t>
      </w:r>
      <w:r>
        <w:t xml:space="preserve">- User:</w:t>
      </w:r>
      <w:r>
        <w:t xml:space="preserve"> </w:t>
      </w:r>
      <w:r>
        <w:t xml:space="preserve">“Everything feels uncertain…”</w:t>
      </w:r>
      <w:r>
        <w:t xml:space="preserve"> </w:t>
      </w:r>
      <w:r>
        <w:t xml:space="preserve">- Assistant:</w:t>
      </w:r>
      <w:r>
        <w:t xml:space="preserve"> </w:t>
      </w:r>
      <w:r>
        <w:t xml:space="preserve">“I understand uncertainty is difficult. Let’s focus on what you can control…”</w:t>
      </w:r>
      <w:r>
        <w:t xml:space="preserve"> </w:t>
      </w:r>
      <w:r>
        <w:t xml:space="preserve">- OCEAN: O:-0.72, C:-0.68, E:-0.75, A:-0.61, N:0.79 (Stable: TRUE)</w:t>
      </w:r>
      <w:r>
        <w:t xml:space="preserve"> </w:t>
      </w:r>
      <w:r>
        <w:t xml:space="preserve">- Directives: Familiar examples, Calm tone, Flexible guidance, Extra comfort</w:t>
      </w:r>
      <w:r>
        <w:t xml:space="preserve"> </w:t>
      </w:r>
      <w:r>
        <w:t xml:space="preserve">- Scores: Det.Acc=2, EMA.Conv=2, Conf.Cal=2, Reg.Eff=2, Tone=2, Rel&amp;Coh=2, Needs=2 (Total: 14/14)</w:t>
      </w:r>
    </w:p>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Thesis Phase Experimental Validation (Preregistered):</w:t>
      </w:r>
    </w:p>
    <w:tbl>
      <w:tblPr>
        <w:tblStyle w:val="Table"/>
        <w:tblW w:type="pct" w:w="5000"/>
        <w:tblLayout w:type="fixed"/>
        <w:tblLook w:firstRow="1" w:lastRow="0" w:firstColumn="0" w:lastColumn="0" w:noHBand="0" w:noVBand="0" w:val="0020"/>
      </w:tblPr>
      <w:tblGrid>
        <w:gridCol w:w="1939"/>
        <w:gridCol w:w="1777"/>
        <w:gridCol w:w="1293"/>
        <w:gridCol w:w="2909"/>
      </w:tblGrid>
      <w:tr>
        <w:trPr>
          <w:tblHeader w:val="on"/>
        </w:trPr>
        <w:tc>
          <w:tcPr/>
          <w:p>
            <w:pPr>
              <w:pStyle w:val="Compact"/>
            </w:pPr>
            <w:r>
              <w:t xml:space="preserve">Experiment</w:t>
            </w:r>
          </w:p>
        </w:tc>
        <w:tc>
          <w:tcPr/>
          <w:p>
            <w:pPr>
              <w:pStyle w:val="Compact"/>
            </w:pPr>
            <w:r>
              <w:t xml:space="preserve">Objective</w:t>
            </w:r>
          </w:p>
        </w:tc>
        <w:tc>
          <w:tcPr/>
          <w:p>
            <w:pPr>
              <w:pStyle w:val="Compact"/>
            </w:pPr>
            <w:r>
              <w:t xml:space="preserve">Method</w:t>
            </w:r>
          </w:p>
        </w:tc>
        <w:tc>
          <w:tcPr/>
          <w:p>
            <w:pPr>
              <w:pStyle w:val="Compact"/>
            </w:pPr>
            <w:r>
              <w:t xml:space="preserve">Success Criteria</w:t>
            </w:r>
          </w:p>
        </w:tc>
      </w:tr>
      <w:tr>
        <w:tc>
          <w:tcPr/>
          <w:p>
            <w:pPr>
              <w:pStyle w:val="Compact"/>
            </w:pPr>
            <w:r>
              <w:rPr>
                <w:b/>
                <w:bCs/>
              </w:rPr>
              <w:t xml:space="preserve">E1: Detection Validity</w:t>
            </w:r>
          </w:p>
        </w:tc>
        <w:tc>
          <w:tcPr/>
          <w:p>
            <w:pPr>
              <w:pStyle w:val="Compact"/>
            </w:pPr>
            <w:r>
              <w:t xml:space="preserve">Validate OCEAN inference accuracy</w:t>
            </w:r>
          </w:p>
        </w:tc>
        <w:tc>
          <w:tcPr/>
          <w:p>
            <w:pPr>
              <w:pStyle w:val="Compact"/>
            </w:pPr>
            <w:r>
              <w:t xml:space="preserve">n=30-50 participants complete BFI-44; correlate with system inferences</w:t>
            </w:r>
          </w:p>
        </w:tc>
        <w:tc>
          <w:tcPr/>
          <w:p>
            <w:pPr>
              <w:pStyle w:val="Compact"/>
            </w:pPr>
            <w:r>
              <w:t xml:space="preserve">Pearson r≥0.75 per trait</w:t>
            </w:r>
          </w:p>
        </w:tc>
      </w:tr>
      <w:tr>
        <w:tc>
          <w:tcPr/>
          <w:p>
            <w:pPr>
              <w:pStyle w:val="Compact"/>
            </w:pPr>
            <w:r>
              <w:rPr>
                <w:b/>
                <w:bCs/>
              </w:rPr>
              <w:t xml:space="preserve">E2: EMA Sensitivity</w:t>
            </w:r>
          </w:p>
        </w:tc>
        <w:tc>
          <w:tcPr/>
          <w:p>
            <w:pPr>
              <w:pStyle w:val="Compact"/>
            </w:pPr>
            <w:r>
              <w:t xml:space="preserve">Validate α=0.3 selection</w:t>
            </w:r>
          </w:p>
        </w:tc>
        <w:tc>
          <w:tcPr/>
          <w:p>
            <w:pPr>
              <w:pStyle w:val="Compact"/>
            </w:pPr>
            <w:r>
              <w:t xml:space="preserve">Test α ∈ {0.1, 0.2, 0.3, 0.4, 0.5} with N≥250 simulated conversations</w:t>
            </w:r>
          </w:p>
        </w:tc>
        <w:tc>
          <w:tcPr/>
          <w:p>
            <w:pPr>
              <w:pStyle w:val="Compact"/>
            </w:pPr>
            <w:r>
              <w:t xml:space="preserve">Convergence ≤8 turns, σ²&lt;0.15, best responsiveness</w:t>
            </w:r>
          </w:p>
        </w:tc>
      </w:tr>
      <w:tr>
        <w:tc>
          <w:tcPr/>
          <w:p>
            <w:pPr>
              <w:pStyle w:val="Compact"/>
            </w:pPr>
            <w:r>
              <w:rPr>
                <w:b/>
                <w:bCs/>
              </w:rPr>
              <w:t xml:space="preserve">E3: Regulation Effectiveness</w:t>
            </w:r>
          </w:p>
        </w:tc>
        <w:tc>
          <w:tcPr/>
          <w:p>
            <w:pPr>
              <w:pStyle w:val="Compact"/>
            </w:pPr>
            <w:r>
              <w:t xml:space="preserve">Validate directive-outcome alignment</w:t>
            </w:r>
          </w:p>
        </w:tc>
        <w:tc>
          <w:tcPr/>
          <w:p>
            <w:pPr>
              <w:pStyle w:val="Compact"/>
            </w:pPr>
            <w:r>
              <w:t xml:space="preserve">Ablation tests removing directives; measure quality impact</w:t>
            </w:r>
          </w:p>
        </w:tc>
        <w:tc>
          <w:tcPr/>
          <w:p>
            <w:pPr>
              <w:pStyle w:val="Compact"/>
            </w:pPr>
            <w:r>
              <w:t xml:space="preserve">Cohen’s d≥0.3 for primary directives</w:t>
            </w:r>
          </w:p>
        </w:tc>
      </w:tr>
      <w:tr>
        <w:tc>
          <w:tcPr/>
          <w:p>
            <w:pPr>
              <w:pStyle w:val="Compact"/>
            </w:pPr>
            <w:r>
              <w:rPr>
                <w:b/>
                <w:bCs/>
              </w:rPr>
              <w:t xml:space="preserve">E4: Human-LLM Agreement</w:t>
            </w:r>
          </w:p>
        </w:tc>
        <w:tc>
          <w:tcPr/>
          <w:p>
            <w:pPr>
              <w:pStyle w:val="Compact"/>
            </w:pPr>
            <w:r>
              <w:t xml:space="preserve">Validate automated evaluator</w:t>
            </w:r>
          </w:p>
        </w:tc>
        <w:tc>
          <w:tcPr/>
          <w:p>
            <w:pPr>
              <w:pStyle w:val="Compact"/>
            </w:pPr>
            <w:r>
              <w:t xml:space="preserve">Two human annotators + LLM on n≥20 conversations</w:t>
            </w:r>
          </w:p>
        </w:tc>
        <w:tc>
          <w:tcPr/>
          <w:p>
            <w:pPr>
              <w:pStyle w:val="Compact"/>
            </w:pPr>
            <w:r>
              <w:t xml:space="preserve">Cohen’s κ≥0.70 (release gate)</w:t>
            </w:r>
          </w:p>
        </w:tc>
      </w:tr>
      <w:tr>
        <w:tc>
          <w:tcPr/>
          <w:p>
            <w:pPr>
              <w:pStyle w:val="Compact"/>
            </w:pPr>
            <w:r>
              <w:rPr>
                <w:b/>
                <w:bCs/>
              </w:rPr>
              <w:t xml:space="preserve">E5: Policy Pack Transfer</w:t>
            </w:r>
          </w:p>
        </w:tc>
        <w:tc>
          <w:tcPr/>
          <w:p>
            <w:pPr>
              <w:pStyle w:val="Compact"/>
            </w:pPr>
            <w:r>
              <w:t xml:space="preserve">Validate cross-domain reusability</w:t>
            </w:r>
          </w:p>
        </w:tc>
        <w:tc>
          <w:tcPr/>
          <w:p>
            <w:pPr>
              <w:pStyle w:val="Compact"/>
            </w:pPr>
            <w:r>
              <w:t xml:space="preserve">Two independent implementers swap education/customer service packs</w:t>
            </w:r>
          </w:p>
        </w:tc>
        <w:tc>
          <w:tcPr/>
          <w:p>
            <w:pPr>
              <w:pStyle w:val="Compact"/>
            </w:pPr>
            <w:r>
              <w:t xml:space="preserve">Median time ≤30 min, zero code changes</w:t>
            </w:r>
          </w:p>
        </w:tc>
      </w:tr>
    </w:tbl>
    <w:p>
      <w:pPr>
        <w:pStyle w:val="BodyText"/>
      </w:pPr>
      <w:r>
        <w:rPr>
          <w:b/>
          <w:bCs/>
        </w:rPr>
        <w:t xml:space="preserve">Baseline Conditions:</w:t>
      </w:r>
      <w:r>
        <w:t xml:space="preserve"> </w:t>
      </w:r>
      <w:r>
        <w:t xml:space="preserve">Generic (non-adaptive), memory-only (mem0-style), detection-only (no regulation). Target metrics: Cohen’s d≥0.5, p&lt;0.05, ≥20% relative improvement.</w:t>
      </w:r>
    </w:p>
    <w:bookmarkEnd w:id="33"/>
    <w:bookmarkStart w:id="34" w:name="system-advantages-and-reproducibility"/>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dialog-only grounding; automated CSV export for analysis.</w:t>
      </w:r>
    </w:p>
    <w:p>
      <w:r>
        <w:pict>
          <v:rect style="width:0;height:1.5pt" o:hralign="center" o:hrstd="t" o:hr="t"/>
        </w:pict>
      </w:r>
    </w:p>
    <w:bookmarkEnd w:id="34"/>
    <w:bookmarkEnd w:id="35"/>
    <w:bookmarkStart w:id="42" w:name="technology-software-and-applications"/>
    <w:p>
      <w:pPr>
        <w:pStyle w:val="Heading2"/>
      </w:pPr>
      <w:r>
        <w:t xml:space="preserve">5. Technology, Software, and Applications</w:t>
      </w:r>
    </w:p>
    <w:bookmarkStart w:id="36" w:name="core-technology-stack"/>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 for detection (temp 0.3, 300 tokens, 30s timeout) and generation (temp 0.7, 220 tokens, 20s timeout), with Gemini-1.5-Pro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36"/>
    <w:bookmarkStart w:id="37" w:name="development-and-testing"/>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37"/>
    <w:bookmarkStart w:id="38" w:name="security-and-privacy"/>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38"/>
    <w:bookmarkStart w:id="39" w:name="computational-costs-and-performance"/>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 Detailed vendor-specific costs, latency estimates, and token usage projections are provided in Appendix E (based on 2024 pricing; subject to verification in thesis phase).</w:t>
      </w:r>
    </w:p>
    <w:bookmarkEnd w:id="39"/>
    <w:bookmarkStart w:id="40" w:name="deployment-and-maintenance"/>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0"/>
    <w:bookmarkStart w:id="41" w:name="Xb47330f310c6729c524a3a4c84b917d419cbcc7"/>
    <w:p>
      <w:pPr>
        <w:pStyle w:val="Heading3"/>
      </w:pPr>
      <w:r>
        <w:t xml:space="preserve">5.6 Frontend Architecture: React/Next.js Human-Centered Interface</w:t>
      </w:r>
    </w:p>
    <w:p>
      <w:pPr>
        <w:pStyle w:val="FirstParagraph"/>
      </w:pPr>
      <w:r>
        <w:t xml:space="preserve">Five innovation areas (condensed):</w:t>
      </w:r>
    </w:p>
    <w:p>
      <w:pPr>
        <w:pStyle w:val="Compact"/>
        <w:numPr>
          <w:ilvl w:val="0"/>
          <w:numId w:val="1004"/>
        </w:numPr>
      </w:pPr>
      <w:r>
        <w:t xml:space="preserve">Progressive Personality Visualization</w:t>
      </w:r>
    </w:p>
    <w:p>
      <w:pPr>
        <w:pStyle w:val="Compact"/>
        <w:numPr>
          <w:ilvl w:val="0"/>
          <w:numId w:val="1005"/>
        </w:numPr>
      </w:pPr>
      <w:r>
        <w:t xml:space="preserve">Levels: icon status → tooltip traits → expandable radar + EMA trends</w:t>
      </w:r>
    </w:p>
    <w:p>
      <w:pPr>
        <w:pStyle w:val="Compact"/>
        <w:numPr>
          <w:ilvl w:val="0"/>
          <w:numId w:val="1005"/>
        </w:numPr>
      </w:pPr>
      <w:r>
        <w:t xml:space="preserve">Goal: reduce cognitive load while maintaining awareness (SUS target ≥75)</w:t>
      </w:r>
    </w:p>
    <w:p>
      <w:pPr>
        <w:pStyle w:val="Compact"/>
        <w:numPr>
          <w:ilvl w:val="0"/>
          <w:numId w:val="1006"/>
        </w:numPr>
      </w:pPr>
      <w:r>
        <w:t xml:space="preserve">Transparent Control Panel</w:t>
      </w:r>
    </w:p>
    <w:p>
      <w:pPr>
        <w:pStyle w:val="Compact"/>
        <w:numPr>
          <w:ilvl w:val="0"/>
          <w:numId w:val="1007"/>
        </w:numPr>
      </w:pPr>
      <w:r>
        <w:t xml:space="preserve">Trait override sliders; visible directives; policy pack selector</w:t>
      </w:r>
    </w:p>
    <w:p>
      <w:pPr>
        <w:pStyle w:val="Compact"/>
        <w:numPr>
          <w:ilvl w:val="0"/>
          <w:numId w:val="1007"/>
        </w:numPr>
      </w:pPr>
      <w:r>
        <w:t xml:space="preserve">Goal: increase trust and appropriateness (target ≥4.0/5.0)</w:t>
      </w:r>
    </w:p>
    <w:p>
      <w:pPr>
        <w:pStyle w:val="Compact"/>
        <w:numPr>
          <w:ilvl w:val="0"/>
          <w:numId w:val="1008"/>
        </w:numPr>
      </w:pPr>
      <w:r>
        <w:t xml:space="preserve">Performance Monitoring</w:t>
      </w:r>
    </w:p>
    <w:p>
      <w:pPr>
        <w:pStyle w:val="Compact"/>
        <w:numPr>
          <w:ilvl w:val="0"/>
          <w:numId w:val="1009"/>
        </w:numPr>
      </w:pPr>
      <w:r>
        <w:t xml:space="preserve">Real-time latency display; adaptive streaming; timeout warnings</w:t>
      </w:r>
    </w:p>
    <w:p>
      <w:pPr>
        <w:pStyle w:val="Compact"/>
        <w:numPr>
          <w:ilvl w:val="0"/>
          <w:numId w:val="1009"/>
        </w:numPr>
      </w:pPr>
      <w:r>
        <w:t xml:space="preserve">Goal: mitigate frustration; track per-session performance</w:t>
      </w:r>
    </w:p>
    <w:p>
      <w:pPr>
        <w:pStyle w:val="Compact"/>
        <w:numPr>
          <w:ilvl w:val="0"/>
          <w:numId w:val="1010"/>
        </w:numPr>
      </w:pPr>
      <w:r>
        <w:t xml:space="preserve">Accessibility-First Design (WCAG 2.1 AA)</w:t>
      </w:r>
    </w:p>
    <w:p>
      <w:pPr>
        <w:pStyle w:val="Compact"/>
        <w:numPr>
          <w:ilvl w:val="0"/>
          <w:numId w:val="1011"/>
        </w:numPr>
      </w:pPr>
      <w:r>
        <w:t xml:space="preserve">Screen reader labels; keyboard navigation; high contrast; scalable type</w:t>
      </w:r>
    </w:p>
    <w:p>
      <w:pPr>
        <w:pStyle w:val="Compact"/>
        <w:numPr>
          <w:ilvl w:val="0"/>
          <w:numId w:val="1011"/>
        </w:numPr>
      </w:pPr>
      <w:r>
        <w:t xml:space="preserve">Goal: inclusive interaction; plan voice I/O as future extension</w:t>
      </w:r>
    </w:p>
    <w:p>
      <w:pPr>
        <w:pStyle w:val="Compact"/>
        <w:numPr>
          <w:ilvl w:val="0"/>
          <w:numId w:val="1012"/>
        </w:numPr>
      </w:pPr>
      <w:r>
        <w:t xml:space="preserve">Frontend as Research Instrument</w:t>
      </w:r>
    </w:p>
    <w:p>
      <w:pPr>
        <w:pStyle w:val="Compact"/>
        <w:numPr>
          <w:ilvl w:val="0"/>
          <w:numId w:val="1013"/>
        </w:numPr>
      </w:pPr>
      <w:r>
        <w:t xml:space="preserve">Feature flags; session interaction recording; heatmaps; exit surveys</w:t>
      </w:r>
    </w:p>
    <w:p>
      <w:pPr>
        <w:pStyle w:val="Compact"/>
        <w:numPr>
          <w:ilvl w:val="0"/>
          <w:numId w:val="1013"/>
        </w:numPr>
      </w:pPr>
      <w:r>
        <w:t xml:space="preserve">Experiments: visualization, transparency, performance (n≈150 total)</w:t>
      </w:r>
    </w:p>
    <w:p>
      <w:r>
        <w:pict>
          <v:rect style="width:0;height:1.5pt" o:hralign="center" o:hrstd="t" o:hr="t"/>
        </w:pict>
      </w:r>
    </w:p>
    <w:bookmarkEnd w:id="41"/>
    <w:bookmarkEnd w:id="42"/>
    <w:bookmarkStart w:id="46" w:name="project-plan-and-risk-management"/>
    <w:p>
      <w:pPr>
        <w:pStyle w:val="Heading2"/>
      </w:pPr>
      <w:r>
        <w:t xml:space="preserve">6. Project Plan and Risk Management</w:t>
      </w:r>
    </w:p>
    <w:bookmarkStart w:id="43" w:name="thesis-proposal-and-structure"/>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r>
        <w:t xml:space="preserve"> </w:t>
      </w:r>
      <w:r>
        <w:t xml:space="preserve">1. Human Validation (Weeks 15-16): n=30-50 human participants with BFI-44 ground truth; target r≥0.75 detection correlation, κ≥0.80 inter-rater reliability</w:t>
      </w:r>
      <w:r>
        <w:t xml:space="preserve"> </w:t>
      </w:r>
      <w:r>
        <w:t xml:space="preserve">2. Large-Scale Simulation (Weeks 11-14): N≥250 simulated conversations for A/B testing vs. mem0/LangChain baseline; target ≥20% improvement on emotional tone and needs satisfaction</w:t>
      </w:r>
      <w:r>
        <w:t xml:space="preserve"> </w:t>
      </w:r>
      <w:r>
        <w:t xml:space="preserve">3. Cross-Domain Demonstration (Weeks 8-10): Education and customer service policy pack swaps; target &lt;30 min transfer time, zero breaking changes</w:t>
      </w:r>
    </w:p>
    <w:bookmarkEnd w:id="43"/>
    <w:bookmarkStart w:id="44" w:name="twenty-week-work-plan"/>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pct" w:w="5000"/>
        <w:tblLayout w:type="fixed"/>
        <w:tblLook w:firstRow="1" w:lastRow="0" w:firstColumn="0" w:lastColumn="0" w:noHBand="0" w:noVBand="0" w:val="0020"/>
      </w:tblPr>
      <w:tblGrid>
        <w:gridCol w:w="780"/>
        <w:gridCol w:w="1003"/>
        <w:gridCol w:w="2119"/>
        <w:gridCol w:w="2007"/>
        <w:gridCol w:w="2007"/>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(N≥250);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ethics board consultation.</w:t>
      </w:r>
    </w:p>
    <w:bookmarkEnd w:id="44"/>
    <w:bookmarkStart w:id="45" w:name="risk-management"/>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providers (GPT-4, Claude) ready; thesis phase human evaluation fallback (n=30-50); scope adjustment gates (e.g., evaluator &lt;0.75 → switch to human sample).</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45"/>
    <w:bookmarkEnd w:id="46"/>
    <w:bookmarkStart w:id="48" w:name="future-work"/>
    <w:p>
      <w:pPr>
        <w:pStyle w:val="Heading2"/>
      </w:pPr>
      <w:r>
        <w:t xml:space="preserve">7. Future Work</w:t>
      </w:r>
    </w:p>
    <w:bookmarkStart w:id="47" w:name="future-research-directions"/>
    <w:p>
      <w:pPr>
        <w:pStyle w:val="Heading3"/>
      </w:pPr>
      <w:r>
        <w:t xml:space="preserve">7.1 Future Research Directions</w:t>
      </w:r>
    </w:p>
    <w:p>
      <w:pPr>
        <w:pStyle w:val="FirstParagraph"/>
      </w:pPr>
      <w:r>
        <w:t xml:space="preserve">Future work includes human validation (n=150), cross-cultural adaptation, multimodal personality detection (voice, facial expression), longitudinal trait evolution tracking, and clinical application with IRB oversight. The thesis phase addresses immediate limitations through stratified sampling, expert directive review, and memory-personality hybrid comparison studies.</w:t>
      </w:r>
    </w:p>
    <w:p>
      <w:r>
        <w:pict>
          <v:rect style="width:0;height:1.5pt" o:hralign="center" o:hrstd="t" o:hr="t"/>
        </w:pict>
      </w:r>
    </w:p>
    <w:bookmarkEnd w:id="47"/>
    <w:bookmarkEnd w:id="48"/>
    <w:bookmarkStart w:id="49" w:name="references"/>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 https://doi.org/10.48550/arXiv.2310.02374</w:t>
      </w:r>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 https://doi.org/10.1007/978-3-030-49186-4_31</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 https://doi.org/10.1109/MSP.2021.3106890</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 https://doi.org/10.1007/s11205-020-02304-z</w:t>
      </w:r>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 https://doi.org/10.1111/jopy.12797</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 https://doi.org/10.1111/1467-6494.00112</w:t>
      </w:r>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 https://doi.org/10.1037/1040-3590.4.1.5</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 https://doi.org/10.14283/jarlife.2024.2</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 https://doi.org/10.1109/ICCBD-AI59465.2023.00064</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 https://doi.org/10.1016/j.socscimed.2011.11.028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 https://doi.org/10.1007/978-3-031-53302-0_25</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 https://doi.org/10.1145/3613905.3650964</w:t>
      </w:r>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 https://doi.org/10.1007/s41233-020-00033-2</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 https://doi.org/10.1371/journal.pone.0219663</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 https://doi.org/10.1207/S15327566IJCE0401_04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 https://doi.org/10.1177/0898264317704533</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 https://doi.org/10.1111/j.1467-6494.1992.tb00970.x</w:t>
      </w:r>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 https://doi.org/10.1037/0022-3514.88.3.547</w:t>
      </w:r>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 https://github.com/mem0ai/mem0</w:t>
      </w:r>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 https://doi.org/10.48550/arXiv.2209.14338</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 https://doi.org/10.1177/2333721415582119</w:t>
      </w:r>
    </w:p>
    <w:p>
      <w:pPr>
        <w:pStyle w:val="BodyText"/>
      </w:pPr>
      <w:r>
        <w:t xml:space="preserve">OpenAI. (2024).</w:t>
      </w:r>
      <w:r>
        <w:t xml:space="preserve"> </w:t>
      </w:r>
      <w:r>
        <w:rPr>
          <w:i/>
          <w:iCs/>
        </w:rPr>
        <w:t xml:space="preserve">ChatGPT memory and personalization</w:t>
      </w:r>
      <w:r>
        <w:t xml:space="preserve">. OpenAI. Retrieved October 10, 2024, from https://openai.com/blog/memory-and-new-controls-for-chatgpt</w:t>
      </w:r>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 https://doi.org/10.1037/pspp0000020</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 https://doi.org/10.1101/19000414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 https://doi.org/10.2196/24712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 https://doi.org/10.1145/3631700.3665185</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 https://doi.org/10.2196/16235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 https://doi.org/10.24251/HICSS.2022.200</w:t>
      </w:r>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 https://doi.org/10.1016/j.jrp.2010.04.001</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 https://doi.org/10.48550/arXiv.2403.15699</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 https://doi.org/10.48550/arXiv.2308.11584</w:t>
      </w:r>
    </w:p>
    <w:p>
      <w:r>
        <w:pict>
          <v:rect style="width:0;height:1.5pt" o:hralign="center" o:hrstd="t" o:hr="t"/>
        </w:pict>
      </w:r>
    </w:p>
    <w:bookmarkEnd w:id="49"/>
    <w:bookmarkStart w:id="54" w:name="appendix"/>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50"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r>
        <w:t xml:space="preserve"> </w:t>
      </w:r>
      <w:r>
        <w:t xml:space="preserve">- This prompt is executed by the Verification Node in the N8N workflow (see Section 4.1, Table 3)</w:t>
      </w:r>
      <w:r>
        <w:t xml:space="preserve"> </w:t>
      </w:r>
      <w:r>
        <w:t xml:space="preserve">- Model: GPT-4 or Gemini-1.5-Pro with temperature=0 for consistency</w:t>
      </w:r>
      <w:r>
        <w:t xml:space="preserve"> </w:t>
      </w:r>
      <w:r>
        <w:t xml:space="preserve">- 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r>
        <w:t xml:space="preserve"> </w:t>
      </w:r>
      <w:r>
        <w:t xml:space="preserve">- Output is parsed using regex pattern to extract five criterion scores</w:t>
      </w:r>
      <w:r>
        <w:t xml:space="preserve"> </w:t>
      </w:r>
      <w:r>
        <w:t xml:space="preserve">- Failed parses default to neutral baseline scores (all</w:t>
      </w:r>
      <w:r>
        <w:t xml:space="preserve"> </w:t>
      </w:r>
      <w:r>
        <w:t xml:space="preserve">“Partial”</w:t>
      </w:r>
      <w:r>
        <w:t xml:space="preserve">) to maintain workflow stability</w:t>
      </w:r>
    </w:p>
    <w:bookmarkEnd w:id="50"/>
    <w:bookmarkStart w:id="51" w:name="X2b4c8eb625b16064858bc4b3c8f9c6790c1a192"/>
    <w:p>
      <w:pPr>
        <w:pStyle w:val="Heading3"/>
      </w:pPr>
      <w:r>
        <w:t xml:space="preserve">Appendix B. Evaluation Rubric and Scoring Guidelines</w:t>
      </w:r>
    </w:p>
    <w:p>
      <w:pPr>
        <w:pStyle w:val="FirstParagraph"/>
      </w:pPr>
      <w:r>
        <w:rPr>
          <w:b/>
          <w:bCs/>
        </w:rPr>
        <w:t xml:space="preserve">Table B.1. Evaluation Criteria</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perfectly 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Highly relevant, coherent response. Partial: Generally relevant. No: Off-topic/incoherent.</w:t>
            </w:r>
          </w:p>
        </w:tc>
      </w:tr>
      <w:tr>
        <w:tc>
          <w:tcPr/>
          <w:p>
            <w:pPr>
              <w:pStyle w:val="Compact"/>
            </w:pPr>
            <w:r>
              <w:rPr>
                <w:b/>
                <w:bCs/>
              </w:rPr>
              <w:t xml:space="preserve">Personality Needs</w:t>
            </w:r>
          </w:p>
        </w:tc>
        <w:tc>
          <w:tcPr/>
          <w:p>
            <w:pPr>
              <w:pStyle w:val="Compact"/>
            </w:pPr>
            <w: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51"/>
    <w:bookmarkStart w:id="52"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Appendix D. Glossary of Key Terms</w:t>
            </w:r>
          </w:p>
        </w:tc>
      </w:tr>
      <w:tr>
        <w:tc>
          <w:tcPr/>
          <w:p>
            <w:pPr>
              <w:pStyle w:val="Compact"/>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tc>
      </w:tr>
      <w:tr>
        <w:tc>
          <w:tcPr/>
          <w:p>
            <w:pPr>
              <w:pStyle w:val="Compact"/>
            </w:pPr>
            <w:r>
              <w:rPr>
                <w:b/>
                <w:bCs/>
              </w:rPr>
              <w:t xml:space="preserve">Type A/B/C Personality Profiles (Simulation Reference):</w:t>
            </w:r>
          </w:p>
        </w:tc>
      </w:tr>
      <w:tr>
        <w:tc>
          <w:tcPr/>
          <w:p>
            <w:pPr>
              <w:pStyle w:val="Compact"/>
            </w:pPr>
            <w:r>
              <w:t xml:space="preserve">| Profile Type | O | C | E | A | N | Behavioral Characteristics | Use in Study |</w:t>
            </w:r>
            <w:r>
              <w:t xml:space="preserve"> </w:t>
            </w:r>
            <w:r>
              <w:t xml:space="preserve">|————–|—|—|—|—|—|—————————|————–|</w:t>
            </w:r>
            <w:r>
              <w:t xml:space="preserve"> </w:t>
            </w:r>
            <w:r>
              <w:t xml:space="preserve">|</w:t>
            </w:r>
            <w:r>
              <w:t xml:space="preserve"> </w:t>
            </w:r>
            <w:r>
              <w:rPr>
                <w:b/>
                <w:bCs/>
              </w:rPr>
              <w:t xml:space="preserve">Type A: High OCEAN</w:t>
            </w:r>
            <w:r>
              <w:t xml:space="preserve"> </w:t>
            </w:r>
            <w:r>
              <w:t xml:space="preserve">| +0.8 | +0.8 | +0.8 | +0.8 |</w:t>
            </w:r>
            <w:r>
              <w:t xml:space="preserve"> </w:t>
            </w:r>
            <w:r>
              <w:rPr>
                <w:b/>
                <w:bCs/>
              </w:rPr>
              <w:t xml:space="preserve">-0.8</w:t>
            </w:r>
            <w:r>
              <w:t xml:space="preserve"> </w:t>
            </w:r>
            <w:r>
              <w:t xml:space="preserve">(low) | Curious, organized, sociable, cooperative, emotionally stable. Responds well to novelty, structure, collaborative tone, and confident guidance. | Tests system adaptation to highly functional, proactive users |</w:t>
            </w:r>
            <w:r>
              <w:t xml:space="preserve"> </w:t>
            </w:r>
            <w:r>
              <w:t xml:space="preserve">|</w:t>
            </w:r>
            <w:r>
              <w:t xml:space="preserve"> </w:t>
            </w:r>
            <w:r>
              <w:rPr>
                <w:b/>
                <w:bCs/>
              </w:rPr>
              <w:t xml:space="preserve">Type B: Low OCEAN</w:t>
            </w:r>
            <w:r>
              <w:t xml:space="preserve"> </w:t>
            </w:r>
            <w:r>
              <w:t xml:space="preserve">| -0.8 | -0.8 | -0.8 | -0.8 |</w:t>
            </w:r>
            <w:r>
              <w:t xml:space="preserve"> </w:t>
            </w:r>
            <w:r>
              <w:rPr>
                <w:b/>
                <w:bCs/>
              </w:rPr>
              <w:t xml:space="preserve">+0.8</w:t>
            </w:r>
            <w:r>
              <w:t xml:space="preserve"> </w:t>
            </w:r>
            <w:r>
              <w:t xml:space="preserve">(high) | Prefers familiarity, flexible plans, solitary work, autonomy, and reassurance. Needs calm tone, familiar examples, and extra emotional support. | Tests system adaptation to anxious, cautious users requiring sensitivity |</w:t>
            </w:r>
            <w:r>
              <w:t xml:space="preserve"> </w:t>
            </w:r>
            <w:r>
              <w:t xml:space="preserve">|</w:t>
            </w:r>
            <w:r>
              <w:t xml:space="preserve"> </w:t>
            </w:r>
            <w:r>
              <w:rPr>
                <w:b/>
                <w:bCs/>
              </w:rPr>
              <w:t xml:space="preserve">Type C: Mixed/Balanced</w:t>
            </w:r>
            <w:r>
              <w:t xml:space="preserve"> </w:t>
            </w:r>
            <w:r>
              <w:t xml:space="preserve">| +0.3 | -0.4 | +0.6 | +0.2 | -0.5 | Moderate curiosity, low structure preference, high sociability, moderate cooperation, moderate stability. Requires nuanced, multi-dimensional adaptation. | Tests system’s ability to handle realistic, complex personality profiles |</w:t>
            </w:r>
          </w:p>
        </w:tc>
      </w:tr>
      <w:tr>
        <w:tc>
          <w:tcPr/>
          <w:p>
            <w:pPr>
              <w:pStyle w:val="Compact"/>
            </w:pPr>
            <w:r>
              <w:rPr>
                <w:i/>
                <w:iCs/>
              </w:rPr>
              <w:t xml:space="preserve">Notes:</w:t>
            </w:r>
            <w:r>
              <w:t xml:space="preserve"> </w:t>
            </w:r>
            <w:r>
              <w:t xml:space="preserve">- 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r>
              <w:t xml:space="preserve"> </w:t>
            </w:r>
            <w:r>
              <w:t xml:space="preserve">- Simulation uses these archetypes to ensure system handles full spectrum of personality variation.</w:t>
            </w:r>
            <w:r>
              <w:t xml:space="preserve"> </w:t>
            </w:r>
            <w:r>
              <w:t xml:space="preserve">- Thesis phase includes additional profiles (e.g., High N + High C, Low E + High O) to test specific trait interactions.</w:t>
            </w:r>
          </w:p>
        </w:tc>
      </w:tr>
      <w:tr>
        <w:tc>
          <w:tcPr/>
          <w:p>
            <w:pPr>
              <w:pStyle w:val="Compac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tc>
      </w:tr>
      <w:tr>
        <w:tc>
          <w:tcPr/>
          <w:p>
            <w:pPr>
              <w:pStyle w:val="Compac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tc>
      </w:tr>
      <w:tr>
        <w:tc>
          <w:tcPr/>
          <w:p>
            <w:pPr>
              <w:pStyle w:val="Compact"/>
            </w:pPr>
            <w:r>
              <w:rPr>
                <w:b/>
                <w:bCs/>
              </w:rPr>
              <w:t xml:space="preserve">JSON Contracts:</w:t>
            </w:r>
            <w:r>
              <w:t xml:space="preserve"> </w:t>
            </w:r>
            <w:r>
              <w:t xml:space="preserve">Standardized data formats (JSON) defining exact structure of inputs/outputs for each system module, ensuring interoperability and systematic testing.</w:t>
            </w:r>
          </w:p>
        </w:tc>
      </w:tr>
      <w:tr>
        <w:tc>
          <w:tcPr/>
          <w:p>
            <w:pPr>
              <w:pStyle w:val="Compac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tc>
      </w:tr>
      <w:tr>
        <w:tc>
          <w:tcPr/>
          <w:p>
            <w:pPr>
              <w:pStyle w:val="Compac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tc>
      </w:tr>
      <w:tr>
        <w:tc>
          <w:tcPr/>
          <w:p>
            <w:pPr>
              <w:pStyle w:val="Compac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tc>
      </w:tr>
      <w:tr>
        <w:tc>
          <w:tcPr/>
          <w:p>
            <w:pPr>
              <w:pStyle w:val="Compac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tc>
      </w:tr>
      <w:tr>
        <w:tc>
          <w:tcPr/>
          <w:p>
            <w:pPr>
              <w:pStyle w:val="Compact"/>
            </w:pPr>
            <w:r>
              <w:rPr>
                <w:b/>
                <w:bCs/>
              </w:rPr>
              <w:t xml:space="preserve">Grounding vs. Hallucination (Detailed):</w:t>
            </w:r>
            <w:r>
              <w:t xml:space="preserve"> </w:t>
            </w:r>
            <w:r>
              <w:t xml:space="preserve">-</w:t>
            </w:r>
            <w:r>
              <w:t xml:space="preserve"> </w:t>
            </w:r>
            <w:r>
              <w:rPr>
                <w:b/>
                <w:bCs/>
              </w:rPr>
              <w:t xml:space="preserve">Grounded response:</w:t>
            </w:r>
            <w:r>
              <w:t xml:space="preserve"> </w:t>
            </w:r>
            <w:r>
              <w:t xml:space="preserve">“You mentioned feeling overwhelmed by deadlines. Let’s prioritize your tasks.”</w:t>
            </w:r>
            <w:r>
              <w:t xml:space="preserve"> </w:t>
            </w:r>
            <w:r>
              <w:t xml:space="preserve">→ Directly references user’s stated concern</w:t>
            </w:r>
            <w:r>
              <w:t xml:space="preserve"> </w:t>
            </w:r>
            <w:r>
              <w:t xml:space="preserve">-</w:t>
            </w:r>
            <w:r>
              <w:t xml:space="preserve"> </w:t>
            </w:r>
            <w:r>
              <w:rPr>
                <w:b/>
                <w:bCs/>
              </w:rPr>
              <w:t xml:space="preserve">Hallucinated response:</w:t>
            </w:r>
            <w:r>
              <w:t xml:space="preserve"> </w:t>
            </w:r>
            <w:r>
              <w:t xml:space="preserve">“I see you’re working on the Smith project with tight deadlines.”</w:t>
            </w:r>
            <w:r>
              <w:t xml:space="preserve"> </w:t>
            </w:r>
            <w:r>
              <w:t xml:space="preserve">→ Fabricates specific project details not mentioned by user</w:t>
            </w:r>
            <w:r>
              <w:t xml:space="preserve"> </w:t>
            </w:r>
            <w:r>
              <w:t xml:space="preserve">-</w:t>
            </w:r>
            <w:r>
              <w:t xml:space="preserve"> </w:t>
            </w: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w:t>
            </w:r>
            <w:r>
              <w:t xml:space="preserve">“Base responses ONLY on user input”</w:t>
            </w:r>
            <w:r>
              <w:t xml:space="preserve">), (2) verification module checking for external claims, and (3) neutral fallbacks when context is insufficient.</w:t>
            </w:r>
          </w:p>
        </w:tc>
      </w:tr>
      <w:tr>
        <w:tc>
          <w:tcPr/>
          <w:p>
            <w:pPr>
              <w:pStyle w:val="Compac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tc>
      </w:tr>
      <w:tr>
        <w:tc>
          <w:tcPr/>
          <w:p>
            <w:pPr>
              <w:pStyle w:val="Compac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r>
              <w:t xml:space="preserve"> </w:t>
            </w:r>
            <w:r>
              <w:t xml:space="preserve">-</w:t>
            </w:r>
            <w:r>
              <w:t xml:space="preserve"> </w:t>
            </w:r>
            <w:r>
              <w:rPr>
                <w:b/>
                <w:bCs/>
              </w:rPr>
              <w:t xml:space="preserve">Well-calibrated:</w:t>
            </w:r>
            <w:r>
              <w:t xml:space="preserve"> </w:t>
            </w:r>
            <w:r>
              <w:t xml:space="preserve">If the system assigns confidence=0.8 to Extraversion=+0.6, then 80% of such predictions should be accurate (within ±0.2 of ground truth)</w:t>
            </w:r>
            <w:r>
              <w:t xml:space="preserve"> </w:t>
            </w:r>
            <w:r>
              <w:t xml:space="preserve">-</w:t>
            </w:r>
            <w:r>
              <w:t xml:space="preserve"> </w:t>
            </w:r>
            <w:r>
              <w:rPr>
                <w:b/>
                <w:bCs/>
              </w:rPr>
              <w:t xml:space="preserve">Overconfident (poorly calibrated):</w:t>
            </w:r>
            <w:r>
              <w:t xml:space="preserve"> </w:t>
            </w:r>
            <w:r>
              <w:t xml:space="preserve">System assigns confidence=0.9 but only 60% of predictions are accurate → unreliable, may trigger inappropriate adaptations</w:t>
            </w:r>
            <w:r>
              <w:t xml:space="preserve"> </w:t>
            </w:r>
            <w:r>
              <w:t xml:space="preserve">-</w:t>
            </w:r>
            <w:r>
              <w:t xml:space="preserve"> </w:t>
            </w:r>
            <w:r>
              <w:rPr>
                <w:b/>
                <w:bCs/>
              </w:rPr>
              <w:t xml:space="preserve">Underconfident:</w:t>
            </w:r>
            <w:r>
              <w:t xml:space="preserve"> </w:t>
            </w:r>
            <w:r>
              <w:t xml:space="preserve">System assigns confidence=0.5 but 85% of predictions are accurate → missed opportunities for personality adaptation</w:t>
            </w:r>
            <w:r>
              <w:t xml:space="preserve"> </w:t>
            </w:r>
            <w:r>
              <w:t xml:space="preserve">-</w:t>
            </w:r>
            <w:r>
              <w:t xml:space="preserve"> </w:t>
            </w: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tc>
      </w:tr>
      <w:tr>
        <w:tc>
          <w:tcPr/>
          <w:p>
            <w:pPr>
              <w:pStyle w:val="Compac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tc>
      </w:tr>
      <w:tr>
        <w:tc>
          <w:tcPr/>
          <w:p>
            <w:pPr>
              <w:pStyle w:val="Compac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tc>
      </w:tr>
      <w:tr>
        <w:tc>
          <w:tcPr/>
          <w:p>
            <w:pPr>
              <w:pStyle w:val="Compac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tc>
      </w:tr>
      <w:tr>
        <w:tc>
          <w:tcPr/>
          <w:p>
            <w:pPr>
              <w:pStyle w:val="Compac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tc>
      </w:tr>
      <w:tr>
        <w:tc>
          <w:tcPr/>
          <w:p>
            <w:pPr>
              <w:pStyle w:val="Compac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tc>
      </w:tr>
      <w:tr>
        <w:tc>
          <w:tcPr/>
          <w:p>
            <w:pPr>
              <w:pStyle w:val="Compac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tc>
      </w:tr>
    </w:tbl>
    <w:bookmarkEnd w:id="52"/>
    <w:bookmarkStart w:id="53" w:name="X8600f5f6a97ce3bbf6fced0039b895ec78d238d"/>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pct" w:w="5000"/>
        <w:tblLayout w:type="fixed"/>
        <w:tblLook w:firstRow="1" w:lastRow="0" w:firstColumn="0" w:lastColumn="0" w:noHBand="0" w:noVBand="0" w:val="0020"/>
      </w:tblPr>
      <w:tblGrid>
        <w:gridCol w:w="754"/>
        <w:gridCol w:w="1357"/>
        <w:gridCol w:w="1357"/>
        <w:gridCol w:w="1734"/>
        <w:gridCol w:w="2187"/>
        <w:gridCol w:w="528"/>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r>
        <w:t xml:space="preserve"> </w:t>
      </w:r>
      <w:r>
        <w:t xml:space="preserve">- Per turn:</w:t>
      </w:r>
      <w:r>
        <w:t xml:space="preserve"> </w:t>
      </w:r>
      <w:r>
        <w:t xml:space="preserve">- OpenAI GPT-4.1 (Standard): 300×$0.003/1K + 220×$0.012/1K ≈</w:t>
      </w:r>
      <w:r>
        <w:t xml:space="preserve"> </w:t>
      </w:r>
      <w:r>
        <w:rPr>
          <w:b/>
          <w:bCs/>
        </w:rPr>
        <w:t xml:space="preserve">$0.00354</w:t>
      </w:r>
      <w:r>
        <w:t xml:space="preserve"> </w:t>
      </w:r>
      <w:r>
        <w:t xml:space="preserve">- Gemini 2.5 Pro (Standard): 300×$0.00125/1K + 220×$0.01/1K ≈</w:t>
      </w:r>
      <w:r>
        <w:t xml:space="preserve"> </w:t>
      </w:r>
      <w:r>
        <w:rPr>
          <w:b/>
          <w:bCs/>
        </w:rPr>
        <w:t xml:space="preserve">$0.00258</w:t>
      </w:r>
      <w:r>
        <w:t xml:space="preserve"> </w:t>
      </w:r>
      <w:r>
        <w:t xml:space="preserve">- Gemini 2.5 Pro (Batch, async): 300×$0.000625/1K + 220×$0.005/1K ≈</w:t>
      </w:r>
      <w:r>
        <w:t xml:space="preserve"> </w:t>
      </w:r>
      <w:r>
        <w:rPr>
          <w:b/>
          <w:bCs/>
        </w:rPr>
        <w:t xml:space="preserve">$0.00129</w:t>
      </w:r>
      <w:r>
        <w:t xml:space="preserve"> </w:t>
      </w:r>
      <w:r>
        <w:t xml:space="preserve">- Projected totals (Standard, online):</w:t>
      </w:r>
      <w:r>
        <w:t xml:space="preserve"> </w:t>
      </w:r>
      <w:r>
        <w:t xml:space="preserve">- 8-turn conversation: GPT-4.1 ≈</w:t>
      </w:r>
      <w:r>
        <w:t xml:space="preserve"> </w:t>
      </w:r>
      <w:r>
        <w:rPr>
          <w:b/>
          <w:bCs/>
        </w:rPr>
        <w:t xml:space="preserve">$0.028</w:t>
      </w:r>
      <w:r>
        <w:t xml:space="preserve">; Gemini Pro ≈</w:t>
      </w:r>
      <w:r>
        <w:t xml:space="preserve"> </w:t>
      </w:r>
      <w:r>
        <w:rPr>
          <w:b/>
          <w:bCs/>
        </w:rPr>
        <w:t xml:space="preserve">$0.021</w:t>
      </w:r>
      <w:r>
        <w:t xml:space="preserve"> </w:t>
      </w:r>
      <w:r>
        <w:t xml:space="preserve">- 1,000 conversations/month: GPT-4.1 ≈</w:t>
      </w:r>
      <w:r>
        <w:t xml:space="preserve"> </w:t>
      </w:r>
      <w:r>
        <w:rPr>
          <w:b/>
          <w:bCs/>
        </w:rPr>
        <w:t xml:space="preserve">$28</w:t>
      </w:r>
      <w:r>
        <w:t xml:space="preserve">; Gemini Pro ≈</w:t>
      </w:r>
      <w:r>
        <w:t xml:space="preserve"> </w:t>
      </w:r>
      <w:r>
        <w:rPr>
          <w:b/>
          <w:bCs/>
        </w:rPr>
        <w:t xml:space="preserve">$21</w:t>
      </w:r>
      <w:r>
        <w:t xml:space="preserve"> </w:t>
      </w:r>
      <w:r>
        <w:t xml:space="preserve">- 10k users × 10 convos/month (100k convos): GPT-4.1 ≈</w:t>
      </w:r>
      <w:r>
        <w:t xml:space="preserve"> </w:t>
      </w:r>
      <w:r>
        <w:rPr>
          <w:b/>
          <w:bCs/>
        </w:rPr>
        <w:t xml:space="preserve">$2,830</w:t>
      </w:r>
      <w:r>
        <w:t xml:space="preserve">; Gemini Pro ≈</w:t>
      </w:r>
      <w:r>
        <w:t xml:space="preserve"> </w:t>
      </w:r>
      <w:r>
        <w:rPr>
          <w:b/>
          <w:bCs/>
        </w:rPr>
        <w:t xml:space="preserve">$2,060</w:t>
      </w:r>
    </w:p>
    <w:p>
      <w:pPr>
        <w:pStyle w:val="BodyText"/>
      </w:pPr>
      <w:r>
        <w:rPr>
          <w:b/>
          <w:bCs/>
        </w:rPr>
        <w:t xml:space="preserve">Latency targets (internal SLOs):</w:t>
      </w:r>
      <w:r>
        <w:t xml:space="preserve"> </w:t>
      </w:r>
      <w:r>
        <w:t xml:space="preserve">- Detection latency: Target &lt;1.5s (p95)</w:t>
      </w:r>
      <w:r>
        <w:t xml:space="preserve"> </w:t>
      </w:r>
      <w:r>
        <w:t xml:space="preserve">- Generation latency: Target &lt;1.5s (p95)</w:t>
      </w:r>
      <w:r>
        <w:t xml:space="preserve"> </w:t>
      </w:r>
      <w:r>
        <w:t xml:space="preserve">- End-to-end: Target &lt;2.5s (p95)</w:t>
      </w:r>
      <w:r>
        <w:t xml:space="preserve"> </w:t>
      </w:r>
      <w:r>
        <w:t xml:space="preserve">- Database operations: Target &lt;100ms (p95)</w:t>
      </w:r>
    </w:p>
    <w:p>
      <w:pPr>
        <w:pStyle w:val="BodyText"/>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2025-10-20T06:22:09Z</dcterms:created>
  <dcterms:modified xsi:type="dcterms:W3CDTF">2025-10-20T06:22:09Z</dcterms:modified>
</cp:coreProperties>
</file>

<file path=docProps/custom.xml><?xml version="1.0" encoding="utf-8"?>
<Properties xmlns="http://schemas.openxmlformats.org/officeDocument/2006/custom-properties" xmlns:vt="http://schemas.openxmlformats.org/officeDocument/2006/docPropsVTypes"/>
</file>