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18, 2025</w:t>
      </w:r>
      <w:r>
        <w:br/>
      </w:r>
      <w:r>
        <w:rPr>
          <w:b/>
          <w:bCs/>
        </w:rPr>
        <w:t xml:space="preserve">Version:</w:t>
      </w:r>
      <w:r>
        <w:t xml:space="preserve"> </w:t>
      </w:r>
      <w:r>
        <w:t xml:space="preserve">2.5</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in human-centered AI applications. While conversational AI offers scalable solutions for emotional support and personalized interaction across workplace coaching, mental health, education, and customer service, most digital assistants remain generic and fail to adapt to individual personality differences, limiting their effectiveness in providing contextually appropriate assistance. This master's thesis specifies a modular, workflow-orchestrated architecture for personality-aware dialogue, integrating Big Five (OCEAN) personality detection with Zurich Model-aligned behavior regulation to create a reproducible research infrastructure supporting domain-specific applications.</w:t>
      </w:r>
    </w:p>
    <w:p>
      <w:pPr>
        <w:pStyle w:val="BodyText"/>
      </w:pPr>
      <w:r>
        <w:t xml:space="preserve">Building on Devdas (2025), who demonstrated substantial performance gains using a detection→regulation→generation pipeline, this preliminary study specifies a production-ready system architecture. The design prioritizes temporal stability, reproducibility, cross-domain deployment, and human-centered interaction.</w:t>
      </w:r>
    </w:p>
    <w:p>
      <w:pPr>
        <w:pStyle w:val="BodyText"/>
      </w:pPr>
      <w:r>
        <w:t xml:space="preserve">The architecture combines a workflow orchestration backend (N8N) with a React/Next.js frontend, enabling clean separation between conversation logic and interface delivery. Five core innovations advance prior work: (1) temporal smoothing via exponential moving average (EMA) designed to achieve stable trait assessment; (2) configurable policy packs designed to enable domain transfer without code modifications; (3) comprehensive audit trail infrastructure; (4) convergence with industrial memory systems (complementing factual recall with motivational modeling); and (5) human-centered frontend with progressive visualization, transparent controls, and accessibility compliance (WCAG 2.1 AA - Web Content Accessibility Guidelines).</w:t>
      </w:r>
    </w:p>
    <w:p>
      <w:pPr>
        <w:pStyle w:val="BodyText"/>
      </w:pPr>
      <w:r>
        <w:t xml:space="preserve">The system design adapts conversational tone, pacing, warmth, and novelty proportionally to detected personality trait profiles. All responses are grounded in user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design offering three personality-tailored coaching modes: Vent &amp; Validate (empathetic listening for high neuroticism), Plan &amp; Structure (goal-oriented guidance for high conscientiousness), and Cope &amp; Rehearse (practical stress management adaptable across profiles). The planned evaluation framework uses structured criteria to assess detection accuracy, tone appropriateness, trait stability, and user satisfaction. The thesis phase will implement A/B comparison studies (N≥250 simulated conversations) and human validation (n=30-50 participants) to optimize personalization strategies and confirm response effectiveness.</w:t>
      </w:r>
    </w:p>
    <w:p>
      <w:r>
        <w:pict>
          <v:rect style="width:0;height:1.5pt" o:hralign="center" o:hrstd="t" o:hr="t"/>
        </w:pict>
      </w:r>
    </w:p>
    <w:bookmarkEnd w:id="9"/>
    <w:bookmarkStart w:id="17"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support—face-to-face counseling, employee assistance programs (EAPs), phone helplines, and in-person tutoring—faces three structural constraints: (1)</w:t>
      </w:r>
      <w:r>
        <w:t xml:space="preserve"> </w:t>
      </w:r>
      <w:r>
        <w:rPr>
          <w:b/>
          <w:bCs/>
        </w:rPr>
        <w:t xml:space="preserve">limited scalability</w:t>
      </w:r>
      <w:r>
        <w:t xml:space="preserve"> </w:t>
      </w:r>
      <w:r>
        <w:t xml:space="preserve">(human practitioners can serve only limited client loads, creating waitlists and access barriers); (2)</w:t>
      </w:r>
      <w:r>
        <w:t xml:space="preserve"> </w:t>
      </w:r>
      <w:r>
        <w:rPr>
          <w:b/>
          <w:bCs/>
        </w:rPr>
        <w:t xml:space="preserve">cost barriers</w:t>
      </w:r>
      <w:r>
        <w:t xml:space="preserve"> </w:t>
      </w:r>
      <w:r>
        <w:t xml:space="preserve">(hourly rates of $50-200+ restrict accessibility); and (3)</w:t>
      </w:r>
      <w:r>
        <w:t xml:space="preserve"> </w:t>
      </w:r>
      <w:r>
        <w:rPr>
          <w:b/>
          <w:bCs/>
        </w:rPr>
        <w:t xml:space="preserve">geographic limitations</w:t>
      </w:r>
      <w:r>
        <w:t xml:space="preserve"> </w:t>
      </w:r>
      <w:r>
        <w:t xml:space="preserve">(requiring physical proximity or specific time zones). Meanwhile, existing digital alternatives—rule-based chatbots, FAQ systems, and generic virtual assistants—achieve scalability but deliver one-size-fits-all responses that ignore personality differences, failing to provide the adaptive, empathetic support that human practitioners offer. This creates a critical gap: we need systems that combine the scalability of digital solutions with the personalized adaptation of human support.</w:t>
      </w:r>
    </w:p>
    <w:p>
      <w:pPr>
        <w:pStyle w:val="BodyText"/>
      </w:pPr>
      <w:r>
        <w:rPr>
          <w:b/>
          <w:bCs/>
        </w:rPr>
        <w:t xml:space="preserve">Domain-specific requirements and the personalization gap.</w:t>
      </w:r>
      <w:r>
        <w:t xml:space="preserve"> </w:t>
      </w:r>
      <w:r>
        <w:t xml:space="preserve">Personality-aware interaction is critical across workplace productivity (task prioritization, stress management), education (learning pace adaptation, anxiety-sensitive guidance), customer service (communication style matching), and mental health (therapeutic alliance building). 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We synthesize three technical constraints limiting current conversational AI effectiveness: (1) insufficient theoretical grounding in design and evaluation, producing inconsistent user experiences and lack of validated personalization frameworks (Følstad &amp; Brandtzæg, 2020 document UX pain points including misinterpretation and scarcity of theory-grounded studies); (2) gaps in personalization beyond surface memory of facts and preferences; and (3) weak transparency and reproducible evaluation practices. Recent LLM work enables more nuanced multi-turn dialogue (Zheng et al., 2023; Abbasian et al., 2023), but robust mechanisms for stable memory with multi-attribute control and transparent, generalizable evaluation remain active research challenges.</w:t>
      </w:r>
    </w:p>
    <w:p>
      <w:pPr>
        <w:pStyle w:val="BodyText"/>
      </w:pPr>
      <w:r>
        <w:rPr>
          <w:b/>
          <w:bCs/>
        </w:rPr>
        <w:t xml:space="preserve">Memory-based personalization versus motivational modeling.</w:t>
      </w:r>
      <w:r>
        <w:t xml:space="preserve"> </w:t>
      </w:r>
      <w:r>
        <w:t xml:space="preserve">Recent industry deployments (ChatGPT Memory, mem0, LangChain Memory) prioritize memory-centric personalization, storing user statements as vector embeddings for similarity-based retrieval across sessions (OpenAI, 2024; mem0, 2024).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preferences but cannot infer whether a preference for structured plans stems from high conscientiousness (requiring organization) or high neuroticism (needing security), leading to generic responses that miss underlying motivational and emotional drivers.</w:t>
      </w:r>
    </w:p>
    <w:bookmarkEnd w:id="11"/>
    <w:bookmarkStart w:id="12" w:name="Xa72ea5b9f3367a5d1a445ed39675f08c82a223c"/>
    <w:p>
      <w:pPr>
        <w:pStyle w:val="Heading3"/>
      </w:pPr>
      <w:r>
        <w:t xml:space="preserve">1.3 Motivation and Contributions</w:t>
      </w:r>
    </w:p>
    <w:p>
      <w:pPr>
        <w:pStyle w:val="FirstParagraph"/>
      </w:pPr>
      <w:r>
        <w:t xml:space="preserve">Despite growing interest in personality-aware conversational AI, existing systems rarely integrate continuous understanding of individual differences (personality, motivations, communication preferences) with psychologically grounded regulation and reproducible evaluation frameworks.</w:t>
      </w:r>
      <w:r>
        <w:t xml:space="preserve"> </w:t>
      </w:r>
      <w:r>
        <w:rPr>
          <w:b/>
          <w:bCs/>
        </w:rPr>
        <w:t xml:space="preserve">Three key opportunities</w:t>
      </w:r>
      <w:r>
        <w:t xml:space="preserve"> </w:t>
      </w:r>
      <w:r>
        <w:t xml:space="preserve">motivate this research:</w:t>
      </w:r>
    </w:p>
    <w:p>
      <w:pPr>
        <w:pStyle w:val="Compact"/>
        <w:numPr>
          <w:ilvl w:val="0"/>
          <w:numId w:val="1001"/>
        </w:numPr>
      </w:pPr>
      <w:r>
        <w:rPr>
          <w:b/>
          <w:bCs/>
        </w:rPr>
        <w:t xml:space="preserve">Scaling personalized support without scaling costs:</w:t>
      </w:r>
      <w:r>
        <w:t xml:space="preserve"> </w:t>
      </w:r>
      <w:r>
        <w:t xml:space="preserve">Continuous personality adaptation enables digital systems to deliver individualized support that matches human practitioners' empathy and responsiveness, addressing the capacity crisis in workplace coaching, education, and mental health services while maintaining accessibility and affordability.</w:t>
      </w:r>
    </w:p>
    <w:p>
      <w:pPr>
        <w:pStyle w:val="Compact"/>
        <w:numPr>
          <w:ilvl w:val="0"/>
          <w:numId w:val="1001"/>
        </w:numPr>
      </w:pPr>
      <w:r>
        <w:rPr>
          <w:b/>
          <w:bCs/>
        </w:rPr>
        <w:t xml:space="preserve">Building user trust through psychological validity:</w:t>
      </w:r>
      <w:r>
        <w:t xml:space="preserve"> </w:t>
      </w:r>
      <w:r>
        <w:t xml:space="preserve">Grounding adaptations in validated personality science (Big Five, Zurich Model) ensures that systems respond to genuine psychological needs rather than superficial preferences, increasing user acceptance and long-term engagement across diverse cultural contexts.</w:t>
      </w:r>
    </w:p>
    <w:p>
      <w:pPr>
        <w:pStyle w:val="Compact"/>
        <w:numPr>
          <w:ilvl w:val="0"/>
          <w:numId w:val="1001"/>
        </w:numPr>
      </w:pPr>
      <w:r>
        <w:rPr>
          <w:b/>
          <w:bCs/>
        </w:rPr>
        <w:t xml:space="preserve">Enabling organizational adoption through reliability:</w:t>
      </w:r>
      <w:r>
        <w:t xml:space="preserve"> </w:t>
      </w:r>
      <w:r>
        <w:t xml:space="preserve">Providing reproducible evaluation protocols, audit trails, and deterministic interfaces addresses enterprise requirements for quality assurance, compliance, and evidence-based deployment, facilitating transition from research prototypes to production systems.</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for emotional support scenarios. This establishes the conceptual foundation—that personality-aware regulation meaningfully improves conversational quality—motivating production-ready, reusable system architectures.</w:t>
      </w:r>
    </w:p>
    <w:p>
      <w:pPr>
        <w:pStyle w:val="BodyText"/>
      </w:pPr>
      <w:r>
        <w:rPr>
          <w:b/>
          <w:bCs/>
        </w:rPr>
        <w:t xml:space="preserve">This thesis specifies five key architectural innovations beyond prior work:</w:t>
      </w:r>
    </w:p>
    <w:p>
      <w:pPr>
        <w:pStyle w:val="Compact"/>
        <w:numPr>
          <w:ilvl w:val="0"/>
          <w:numId w:val="1002"/>
        </w:numPr>
      </w:pPr>
      <w:r>
        <w:rPr>
          <w:b/>
          <w:bCs/>
        </w:rPr>
        <w:t xml:space="preserve">Temporal stability via EMA smoothing</w:t>
      </w:r>
      <w:r>
        <w:t xml:space="preserve"> </w:t>
      </w:r>
      <w:r>
        <w:t xml:space="preserve">- Addresses Devdas' (2025) single-turn detection volatility through exponential moving average with confidence filtering (Section 4.1)</w:t>
      </w:r>
    </w:p>
    <w:p>
      <w:pPr>
        <w:pStyle w:val="Compact"/>
        <w:numPr>
          <w:ilvl w:val="0"/>
          <w:numId w:val="1002"/>
        </w:numPr>
      </w:pPr>
      <w:r>
        <w:rPr>
          <w:b/>
          <w:bCs/>
        </w:rPr>
        <w:t xml:space="preserve">Production-ready containerized system</w:t>
      </w:r>
      <w:r>
        <w:t xml:space="preserve"> </w:t>
      </w:r>
      <w:r>
        <w:t xml:space="preserve">- N8N + PostgreSQL + Redis with RESTful APIs for deployment and longitudinal analysis (Section 4.1, Figure 2)</w:t>
      </w:r>
    </w:p>
    <w:p>
      <w:pPr>
        <w:pStyle w:val="Compact"/>
        <w:numPr>
          <w:ilvl w:val="0"/>
          <w:numId w:val="1002"/>
        </w:numPr>
      </w:pPr>
      <w:r>
        <w:rPr>
          <w:b/>
          <w:bCs/>
        </w:rPr>
        <w:t xml:space="preserve">Cross-domain policy packs</w:t>
      </w:r>
      <w:r>
        <w:t xml:space="preserve"> </w:t>
      </w:r>
      <w:r>
        <w:t xml:space="preserve">- Configurable YAML/JSON behavioral rules enabling domain transfer without code changes (Section 2.2)</w:t>
      </w:r>
    </w:p>
    <w:p>
      <w:pPr>
        <w:pStyle w:val="Compact"/>
        <w:numPr>
          <w:ilvl w:val="0"/>
          <w:numId w:val="1002"/>
        </w:numPr>
      </w:pPr>
      <w:r>
        <w:rPr>
          <w:b/>
          <w:bCs/>
        </w:rPr>
        <w:t xml:space="preserve">Memory-personality convergence</w:t>
      </w:r>
      <w:r>
        <w:t xml:space="preserve"> </w:t>
      </w:r>
      <w:r>
        <w:t xml:space="preserve">- Complements industrial factual memory (ChatGPT Memory, mem0) with motivational behavioral modeling (Section 1.2)</w:t>
      </w:r>
    </w:p>
    <w:p>
      <w:pPr>
        <w:pStyle w:val="Compact"/>
        <w:numPr>
          <w:ilvl w:val="0"/>
          <w:numId w:val="1002"/>
        </w:numPr>
      </w:pPr>
      <w:r>
        <w:rPr>
          <w:b/>
          <w:bCs/>
        </w:rPr>
        <w:t xml:space="preserve">Human-centered frontend research instrument</w:t>
      </w:r>
      <w:r>
        <w:t xml:space="preserve"> </w:t>
      </w:r>
      <w:r>
        <w:t xml:space="preserve">- React/Next.js interface with progressive visualization, transparent controls, performance monitoring, and accessibility compliance for studying UI impact on trust and engagement (Section 5.6)</w:t>
      </w:r>
    </w:p>
    <w:p>
      <w:pPr>
        <w:pStyle w:val="FirstParagraph"/>
      </w:pPr>
      <w:r>
        <w:t xml:space="preserve">These contributions specify a reproducible, deployable system architecture designed for scientific investigation and practical human-centered applications. The design prioritizes durable memory for cross-session continuity, multi-attribute response control (tone, structure, pacing, warmth), and human-centered interface design enabling transparent, controllable, and accessible personality-aware interactions.</w:t>
      </w:r>
    </w:p>
    <w:p>
      <w:r>
        <w:pict>
          <v:rect style="width:0;height:1.5pt" o:hralign="center" o:hrstd="t" o:hr="t"/>
        </w:pict>
      </w:r>
    </w:p>
    <w:bookmarkEnd w:id="12"/>
    <w:bookmarkStart w:id="13" w:name="Xca643e2d341a1a8e30b421026792f56102b5f96"/>
    <w:p>
      <w:pPr>
        <w:pStyle w:val="Heading3"/>
      </w:pPr>
      <w:r>
        <w:t xml:space="preserve">1.4 Ethical Considerations</w:t>
      </w:r>
    </w:p>
    <w:p>
      <w:pPr>
        <w:pStyle w:val="FirstParagraph"/>
      </w:pPr>
      <w:r>
        <w:t xml:space="preserve">Personality-aware systems raise critical ethical challenges requiring careful architectural responses.</w:t>
      </w:r>
      <w:r>
        <w:t xml:space="preserve"> </w:t>
      </w:r>
      <w:r>
        <w:rPr>
          <w:b/>
          <w:bCs/>
        </w:rPr>
        <w:t xml:space="preserve">Privacy and data protection:</w:t>
      </w:r>
      <w:r>
        <w:t xml:space="preserve"> </w:t>
      </w:r>
      <w:r>
        <w:t xml:space="preserve">All personality inferences and conversation logs are stored locally with explicit user consent; users control retention periods and can request deletion at any time; data minimization principles apply (Section 1.6).</w:t>
      </w:r>
      <w:r>
        <w:t xml:space="preserve"> </w:t>
      </w:r>
      <w:r>
        <w:rPr>
          <w:b/>
          <w:bCs/>
        </w:rPr>
        <w:t xml:space="preserve">Cultural bias mitigation:</w:t>
      </w:r>
      <w:r>
        <w:t xml:space="preserve"> </w:t>
      </w:r>
      <w:r>
        <w:t xml:space="preserve">The system employs linguistic features rather than culturally specific content, implements confidence thresholds (≥0.4) preventing action on uncertain assessments, and supports manual trait calibration (Church, 2000; McCrae &amp; Terracciano, 2005).</w:t>
      </w:r>
      <w:r>
        <w:t xml:space="preserve"> </w:t>
      </w:r>
      <w:r>
        <w:rPr>
          <w:b/>
          <w:bCs/>
        </w:rPr>
        <w:t xml:space="preserve">Stereotype prevention:</w:t>
      </w:r>
      <w:r>
        <w:t xml:space="preserve"> </w:t>
      </w:r>
      <w:r>
        <w:t xml:space="preserve">Continuous trait updates prevent rigid categorization; auditable policy packs enable correction of inappropriate mappings; neutral fallbacks activate when confidence is low.</w:t>
      </w:r>
      <w:r>
        <w:t xml:space="preserve"> </w:t>
      </w:r>
      <w:r>
        <w:rPr>
          <w:b/>
          <w:bCs/>
        </w:rPr>
        <w:t xml:space="preserve">Sensitive data handling:</w:t>
      </w:r>
      <w:r>
        <w:t xml:space="preserve"> </w:t>
      </w:r>
      <w:r>
        <w:t xml:space="preserve">End-to-end encryption, role-based access controls, automated crisis detection (suicidal ideation, self-harm) with escalation protocols, and clear disclaimers that the system complements but does not replace professional care.</w:t>
      </w:r>
      <w:r>
        <w:t xml:space="preserve"> </w:t>
      </w:r>
      <w:r>
        <w:rPr>
          <w:b/>
          <w:bCs/>
        </w:rPr>
        <w:t xml:space="preserve">Transparency:</w:t>
      </w:r>
      <w:r>
        <w:t xml:space="preserve"> </w:t>
      </w:r>
      <w:r>
        <w:t xml:space="preserve">Per-turn audit trails enable users to view inferred profiles, understand response generation, and provide feedback, supporting informed consent and trust.</w:t>
      </w:r>
    </w:p>
    <w:p>
      <w:r>
        <w:pict>
          <v:rect style="width:0;height:1.5pt" o:hralign="center" o:hrstd="t" o:hr="t"/>
        </w:pict>
      </w:r>
    </w:p>
    <w:bookmarkEnd w:id="13"/>
    <w:bookmarkStart w:id="14" w:name="X2c56b2de8661c39354971116fe7981449a00406"/>
    <w:p>
      <w:pPr>
        <w:pStyle w:val="Heading3"/>
      </w:pPr>
      <w:r>
        <w:t xml:space="preserve">1.5 Study Scope and Validation Plan</w:t>
      </w:r>
    </w:p>
    <w:p>
      <w:pPr>
        <w:pStyle w:val="FirstParagraph"/>
      </w:pPr>
      <w:r>
        <w:t xml:space="preserve">This preliminary study focuses on architectural development and proof-of-concept validation through system design and simulated scenarios. Key limitations requiring empirical validation in the thesis phase include: (1) EMA bias amplification from unrepresentative early turns (α=0.3 requires 8-12 turns for convergence); (2) lack of human participant data (thesis will employ formal power analysis targeting N≥250 conversations with stratified sampling, effect size expectations Cohen's d ≥ 0.5, power=0.80, α=0.05); and (3) intersectional bias in trait-to-directive mappings. Additional validation challenges including adversarial robustness testing and cross-cultural generalization are deferred to future work (see Section 7).</w:t>
      </w:r>
    </w:p>
    <w:p>
      <w:pPr>
        <w:pStyle w:val="BodyText"/>
      </w:pPr>
      <w:r>
        <w:t xml:space="preserve">The thesis phase will address immediate limitations through: (a) large-scale data collection with stratified sampling across profile types and scenarios, reporting detailed sample composition and 95% CIs; (b) convergence reliability analysis with distribution visualizations (convergence curves with confidence bands, boxplots, trait heatmaps, stability plots); and (c) expert review by clinical psychologists and cultural competence specialists. All thesis results will report effect sizes (Cohen's d with 95% CIs) alongside p-values for practical significance. Detailed validity threats and mitigation strategies are discussed in Section 6.</w:t>
      </w:r>
    </w:p>
    <w:p>
      <w:r>
        <w:pict>
          <v:rect style="width:0;height:1.5pt" o:hralign="center" o:hrstd="t" o:hr="t"/>
        </w:pict>
      </w:r>
    </w:p>
    <w:bookmarkEnd w:id="14"/>
    <w:bookmarkStart w:id="15" w:name="X9fca9c1a37b537aecb37e7b7881b32f17058722"/>
    <w:p>
      <w:pPr>
        <w:pStyle w:val="Heading3"/>
      </w:pPr>
      <w:r>
        <w:t xml:space="preserve">1.6 Data Management Overview</w:t>
      </w:r>
    </w:p>
    <w:p>
      <w:pPr>
        <w:pStyle w:val="FirstParagraph"/>
      </w:pPr>
      <w:r>
        <w:t xml:space="preserve">This study adheres to GDPR principles and university research ethics guidelines. Data collection includes conversation logs, personality trait estimates (OCEAN scores with confidence values), session metadata, and evaluation metrics, stored in a local PostgreSQL database with AES-256 encryption. The preliminary study uses synthetic data only (no IRB approval required); the thesis phase with human participants will require ethics committee approval before recruitment. Access is role-based (primary investigator and supervisor only); no PII is collected; participants control retention and deletion. LLM APIs (OpenAI GPT-4, Gemini) will be configured per vendor data retention policies with explicit opt-out from training data use where available. Reproducibility artifacts (anonymized conversation samples, code, schemas) will be released; aggregated results only are published. Complete details are provided in Appendix D.</w:t>
      </w:r>
    </w:p>
    <w:p>
      <w:r>
        <w:pict>
          <v:rect style="width:0;height:1.5pt" o:hralign="center" o:hrstd="t" o:hr="t"/>
        </w:pict>
      </w:r>
    </w:p>
    <w:bookmarkEnd w:id="15"/>
    <w:bookmarkStart w:id="16" w:name="Xbb4d6f4ae6708d54a3ede8c6b2149b39bd3caa7"/>
    <w:p>
      <w:pPr>
        <w:pStyle w:val="Heading3"/>
      </w:pPr>
      <w:r>
        <w:t xml:space="preserve">1.7 Prior Work: Devdas (2025) and Methodological Continuity</w:t>
      </w:r>
    </w:p>
    <w:p>
      <w:pPr>
        <w:pStyle w:val="FirstParagraph"/>
      </w:pPr>
      <w:r>
        <w:t xml:space="preserve">Devdas (2025) provides crucial experimental validation that personality‑adaptive assistants can outperform non‑adaptive baselines, demonstrating substantial performance gains in controlled simulations for emotional support scenarios.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3"/>
        </w:numPr>
      </w:pPr>
      <w:r>
        <w:rPr>
          <w:b/>
          <w:bCs/>
        </w:rPr>
        <w:t xml:space="preserve">Continuous trait inference with temporal smoothing:</w:t>
      </w:r>
      <w:r>
        <w:t xml:space="preserve"> </w:t>
      </w:r>
      <w:r>
        <w:t xml:space="preserve">Adopts continuous trait values (−1.0 to +1.0) with EMA smoothing designed to stabilize multi‑turn inference and reduce volatility.</w:t>
      </w:r>
    </w:p>
    <w:p>
      <w:pPr>
        <w:pStyle w:val="Compact"/>
        <w:numPr>
          <w:ilvl w:val="0"/>
          <w:numId w:val="1003"/>
        </w:numPr>
      </w:pPr>
      <w:r>
        <w:rPr>
          <w:b/>
          <w:bCs/>
        </w:rPr>
        <w:t xml:space="preserve">Modular, contract-based architecture:</w:t>
      </w:r>
      <w:r>
        <w:t xml:space="preserve"> </w:t>
      </w:r>
      <w:r>
        <w:t xml:space="preserve">Each stage (detect → regulate → generate → verify) uses stable JSON contracts—standardized data formats—designed to support provider‑agnostic component swapping.</w:t>
      </w:r>
    </w:p>
    <w:p>
      <w:pPr>
        <w:pStyle w:val="Compact"/>
        <w:numPr>
          <w:ilvl w:val="0"/>
          <w:numId w:val="1003"/>
        </w:numPr>
      </w:pPr>
      <w:r>
        <w:rPr>
          <w:b/>
          <w:bCs/>
        </w:rPr>
        <w:t xml:space="preserve">Comprehensive auditability:</w:t>
      </w:r>
      <w:r>
        <w:t xml:space="preserve"> </w:t>
      </w:r>
      <w:r>
        <w:t xml:space="preserve">State and logs persisted in a relational database with per‑turn structured traces designed to enable quality assurance and longitudinal analysis.</w:t>
      </w:r>
    </w:p>
    <w:p>
      <w:pPr>
        <w:pStyle w:val="Compact"/>
        <w:numPr>
          <w:ilvl w:val="0"/>
          <w:numId w:val="1003"/>
        </w:numPr>
      </w:pPr>
      <w:r>
        <w:rPr>
          <w:b/>
          <w:bCs/>
        </w:rPr>
        <w:t xml:space="preserve">Domain-agnostic design:</w:t>
      </w:r>
      <w:r>
        <w:t xml:space="preserve"> </w:t>
      </w:r>
      <w:r>
        <w:t xml:space="preserve">Modular specification designed to enable rapid reconfiguration across domains via policy‑pack configuration rather than code modification (to be validated in thesis phase).</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6"/>
    <w:bookmarkEnd w:id="17"/>
    <w:bookmarkStart w:id="22" w:name="Xc96737346c9ae6330e4aae4f85978af39435585"/>
    <w:p>
      <w:pPr>
        <w:pStyle w:val="Heading2"/>
      </w:pPr>
      <w:r>
        <w:t xml:space="preserve">2. Topic Definition</w:t>
      </w:r>
    </w:p>
    <w:bookmarkStart w:id="18"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8"/>
    <w:bookmarkStart w:id="19"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9"/>
    <w:bookmarkStart w:id="20"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as the primary model for personality detection and response generation, with</w:t>
      </w:r>
      <w:r>
        <w:t xml:space="preserve"> </w:t>
      </w:r>
      <w:r>
        <w:rPr>
          <w:b/>
          <w:bCs/>
        </w:rPr>
        <w:t xml:space="preserve">Gemini-1.5-Pro</w:t>
      </w:r>
      <w:r>
        <w:t xml:space="preserve"> </w:t>
      </w:r>
      <w:r>
        <w:t xml:space="preserve">as a cost-effective alternative for high-volume deployment. GPT-4 offers excellent structured JSON output through native function calling, strong personality inference capabilities validated in prior work (Miotto et al., 2022), and high API stability (99.9% uptime SLA).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i/>
          <w:iCs/>
        </w:rPr>
        <w:t xml:space="preserve">Note: Thresholds derived from prior conversational AI evaluation studies (Zhang et al., 2024; Devdas, 2025) and personality assessment reliability standards (Costa &amp; McCrae, 1992). All targets to be validated in thesis phase with N≥250 simulated conversations and n=30-50 human participants.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These parameters are derived from standard EMA practice in time-series analysis and will be validated against human ground-truth data (BFI-44) in the thesis phase. The optimization targets convergence speed (6-8 turns) and post-stabilization variance (&lt; 0.15) based on personality psychology literature suggesting trait stability emerges after 5-10 behavioral observations (Costa &amp; McCrae, 1992).</w:t>
      </w:r>
    </w:p>
    <w:bookmarkEnd w:id="20"/>
    <w:bookmarkStart w:id="21"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w:t>
      </w:r>
    </w:p>
    <w:p>
      <w:pPr>
        <w:pStyle w:val="Compact"/>
        <w:numPr>
          <w:ilvl w:val="0"/>
          <w:numId w:val="1004"/>
        </w:numPr>
      </w:pPr>
      <w:r>
        <w:rPr>
          <w:b/>
          <w:bCs/>
        </w:rPr>
        <w:t xml:space="preserve">Vent &amp; Validate:</w:t>
      </w:r>
      <w:r>
        <w:t xml:space="preserve"> </w:t>
      </w:r>
      <w:r>
        <w:t xml:space="preserve">Empathetic processing of stressors; high-N receives extra reassurance, low-A gets direct acknowledgment</w:t>
      </w:r>
    </w:p>
    <w:p>
      <w:pPr>
        <w:pStyle w:val="Compact"/>
        <w:numPr>
          <w:ilvl w:val="0"/>
          <w:numId w:val="1004"/>
        </w:numPr>
      </w:pPr>
      <w:r>
        <w:rPr>
          <w:b/>
          <w:bCs/>
        </w:rPr>
        <w:t xml:space="preserve">Plan &amp; Structure:</w:t>
      </w:r>
      <w:r>
        <w:t xml:space="preserve"> </w:t>
      </w:r>
      <w:r>
        <w:t xml:space="preserve">Prioritization guidance; high-C receives detailed steps, low-C gets flexible options</w:t>
      </w:r>
    </w:p>
    <w:p>
      <w:pPr>
        <w:pStyle w:val="Compact"/>
        <w:numPr>
          <w:ilvl w:val="0"/>
          <w:numId w:val="1004"/>
        </w:numPr>
      </w:pPr>
      <w:r>
        <w:rPr>
          <w:b/>
          <w:bCs/>
        </w:rPr>
        <w:t xml:space="preserve">Cope &amp; Rehearse:</w:t>
      </w:r>
      <w:r>
        <w:t xml:space="preserve"> </w:t>
      </w:r>
      <w:r>
        <w:t xml:space="preserve">Immediate regulation techniques; high-E uses social strategies, low-E uses solitary methods</w:t>
      </w:r>
    </w:p>
    <w:p>
      <w:pPr>
        <w:pStyle w:val="FirstParagraph"/>
      </w:pPr>
      <w:r>
        <w:rPr>
          <w:b/>
          <w:bCs/>
        </w:rPr>
        <w:t xml:space="preserve">Evidence-based techniques:</w:t>
      </w:r>
      <w:r>
        <w:t xml:space="preserve"> </w:t>
      </w:r>
      <w:r>
        <w:t xml:space="preserve">Integrates MCII goal-obstacle planning, cognitive reappraisal, grounding exercises (5-4-3-2-1, box breathing), and micro-planning strategies.</w:t>
      </w:r>
    </w:p>
    <w:p>
      <w:pPr>
        <w:pStyle w:val="BodyText"/>
      </w:pPr>
      <w:r>
        <w:rPr>
          <w:b/>
          <w:bCs/>
        </w:rPr>
        <w:t xml:space="preserve">Safety boundaries:</w:t>
      </w:r>
      <w:r>
        <w:t xml:space="preserve"> </w:t>
      </w:r>
      <w:r>
        <w:t xml:space="preserve">Non-clinical coaching scope; no medical advice, diagnosis, or crisis intervention beyond referral.</w:t>
      </w:r>
    </w:p>
    <w:p>
      <w:r>
        <w:pict>
          <v:rect style="width:0;height:1.5pt" o:hralign="center" o:hrstd="t" o:hr="t"/>
        </w:pict>
      </w:r>
    </w:p>
    <w:bookmarkEnd w:id="21"/>
    <w:bookmarkEnd w:id="22"/>
    <w:bookmarkStart w:id="27" w:name="Xf5a973038885d26b34c79a0213677e66fb9e0dd"/>
    <w:p>
      <w:pPr>
        <w:pStyle w:val="Heading2"/>
      </w:pPr>
      <w:r>
        <w:t xml:space="preserve">3. Research Questions</w:t>
      </w:r>
    </w:p>
    <w:bookmarkStart w:id="23" w:name="X8fae51dd3a88b5cbbc4dc5122d1bccb85be3994"/>
    <w:p>
      <w:pPr>
        <w:pStyle w:val="Heading3"/>
      </w:pPr>
      <w:r>
        <w:t xml:space="preserve">3.1 Primary Research Question</w:t>
      </w:r>
    </w:p>
    <w:p>
      <w:pPr>
        <w:pStyle w:val="FirstParagraph"/>
      </w:pPr>
      <w:r>
        <w:t xml:space="preserve">What architectural mechanisms enable reliable, reproducible personality-aware dialogue adaptation in LLM-based systems, and how do they influence conversational quality in workplace stress coaching contexts?</w:t>
      </w:r>
    </w:p>
    <w:p>
      <w:pPr>
        <w:pStyle w:val="BodyText"/>
      </w:pPr>
      <w:r>
        <w:t xml:space="preserve">This design science question addresses the construction and evaluation of personality-adaptive chatbot architectures, encompassing technical challenges (modular systems integrating continuous detection with psychologically grounded regulation), algorithmic challenges (temporal stability, confidence-aware adaptation), psychological challenges (translating Big Five/Zurich Model frameworks into behavioral directives), and empirical validation (demonstrating measurable improvements in conversational quality versus non-adaptive baselines).</w:t>
      </w:r>
    </w:p>
    <w:bookmarkEnd w:id="23"/>
    <w:bookmarkStart w:id="24"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(α=0.3) achieve stable, confidence-weighted personality estimates within 6–8 turns? Target measurement: trait variance σ_T &lt;0.15 over 5-turn windows and Pearson correlation r≥0.75 against ground-truth profiles (thesis phase validation).</w:t>
      </w:r>
    </w:p>
    <w:p>
      <w:pPr>
        <w:pStyle w:val="BodyText"/>
      </w:pPr>
      <w:r>
        <w:rPr>
          <w:b/>
          <w:bCs/>
        </w:rPr>
        <w:t xml:space="preserve">RQ2 - Regulation Strategies:</w:t>
      </w:r>
      <w:r>
        <w:t xml:space="preserve"> </w:t>
      </w:r>
      <w:r>
        <w:t xml:space="preserve">Do intensity-scaled directives mapped to three coaching modes (Vent &amp; Validate, Plan &amp; Structure, Cope &amp; Rehearse) improve tone appropriateness and needs satisfaction versus non-adaptive baseline? Target: average score improvement (regulated vs. baseline) via paired t-test (Cohen's d≥0.5).</w:t>
      </w:r>
    </w:p>
    <w:p>
      <w:pPr>
        <w:pStyle w:val="BodyText"/>
      </w:pPr>
      <w:r>
        <w:rPr>
          <w:b/>
          <w:bCs/>
        </w:rPr>
        <w:t xml:space="preserve">RQ3 - Evaluation Methodology:</w:t>
      </w:r>
      <w:r>
        <w:t xml:space="preserve"> </w:t>
      </w:r>
      <w:r>
        <w:t xml:space="preserve">Does the scripted, blinded LLM evaluator yield ≥0.85 inter-run consistency and detect ≥20% performance gains with 95% CI? Target measurement: inter-run reliability (Pearson r≥0.85) and human-LLM agreement (Cohen's κ≥0.70, thesis phase validation).</w:t>
      </w:r>
    </w:p>
    <w:p>
      <w:pPr>
        <w:pStyle w:val="BodyText"/>
      </w:pPr>
      <w:r>
        <w:rPr>
          <w:b/>
          <w:bCs/>
        </w:rPr>
        <w:t xml:space="preserve">RQ4 - System Architecture:</w:t>
      </w:r>
      <w:r>
        <w:t xml:space="preserve"> </w:t>
      </w:r>
      <w:r>
        <w:t xml:space="preserve">Does the Personality Adapter with config-driven policy packs enable domain transfer without code changes while maintaining ≥99.5% JSON compliance and 100% graceful fallback coverage? Target: policy pack swap time &lt;30 min (to be validated in thesis phase) and reproducibility via seed fixation and version locking.</w:t>
      </w:r>
    </w:p>
    <w:p>
      <w:pPr>
        <w:pStyle w:val="BodyText"/>
      </w:pPr>
      <w:r>
        <w:rPr>
          <w:b/>
          <w:bCs/>
        </w:rPr>
        <w:t xml:space="preserve">RQ5 - Generalization and Limitations:</w:t>
      </w:r>
      <w:r>
        <w:t xml:space="preserve"> </w:t>
      </w:r>
      <w:r>
        <w:t xml:space="preserve">How do results vary between extreme profiles (Type A: +0.8, Type B: -0.8) and mixed profiles, and what scope limitations constrain transfer to live user interactions? Documents profile-stratified performance analysis (planned) and simulation-to-human validity gaps.</w:t>
      </w:r>
    </w:p>
    <w:bookmarkEnd w:id="24"/>
    <w:bookmarkStart w:id="25"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we define explicit success criteria (to be validated in thesis phase):</w:t>
      </w:r>
    </w:p>
    <w:p>
      <w:pPr>
        <w:pStyle w:val="BodyText"/>
      </w:pPr>
      <w:r>
        <w:rPr>
          <w:b/>
          <w:bCs/>
        </w:rPr>
        <w:t xml:space="preserve">Reusability (Designed):</w:t>
      </w:r>
      <w:r>
        <w:t xml:space="preserve"> </w:t>
      </w:r>
      <w:r>
        <w:t xml:space="preserve">Stable API contracts for detect→regulate→generate pipeline; config-driven policy packs (YAML/JSON) designed to enable domain transfer without code changes; portable evaluator harness with pluggable metrics.</w:t>
      </w:r>
      <w:r>
        <w:t xml:space="preserve"> </w:t>
      </w:r>
      <w:r>
        <w:rPr>
          <w:b/>
          <w:bCs/>
        </w:rPr>
        <w:t xml:space="preserve">Target threshold:</w:t>
      </w:r>
      <w:r>
        <w:t xml:space="preserve"> </w:t>
      </w:r>
      <w:r>
        <w:t xml:space="preserve">Policy pack swap &lt; 30 min (requires thesis-phase timed experiments); zero breaking changes.</w:t>
      </w:r>
    </w:p>
    <w:p>
      <w:pPr>
        <w:pStyle w:val="BodyText"/>
      </w:pPr>
      <w:r>
        <w:rPr>
          <w:b/>
          <w:bCs/>
        </w:rPr>
        <w:t xml:space="preserve">Reliability (Target):</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Effectiveness (Target):</w:t>
      </w:r>
      <w:r>
        <w:t xml:space="preserve"> </w:t>
      </w:r>
      <w:r>
        <w:t xml:space="preserve">Primary outcome: ≥ 20% improvement on evaluation criteria (tone, relevance/coherence, needs) with 95% CI. Secondary: intent classification ≥ 85%, directive-outcome alignment ≥ 80%, inter-run consistency ≥ 0.85.</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w:t>
      </w:r>
    </w:p>
    <w:bookmarkEnd w:id="25"/>
    <w:bookmarkStart w:id="26"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6"/>
    <w:bookmarkEnd w:id="27"/>
    <w:bookmarkStart w:id="35" w:name="X4e0404407b2823f6ed5ea6a6c1651c2e996b033"/>
    <w:p>
      <w:pPr>
        <w:pStyle w:val="Heading2"/>
      </w:pPr>
      <w:r>
        <w:t xml:space="preserve">4. Methodology</w:t>
      </w:r>
    </w:p>
    <w:bookmarkStart w:id="28"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architecture overview showing the modular pipeline processing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r>
        <w:br/>
      </w:r>
      <w:r>
        <w:br/>
      </w:r>
      <w:r>
        <w:rPr>
          <w:rStyle w:val="VerbatimChar"/>
        </w:rPr>
        <w:t xml:space="preserve">External Services:</w:t>
      </w:r>
      <w:r>
        <w:br/>
      </w:r>
      <w:r>
        <w:rPr>
          <w:rStyle w:val="VerbatimChar"/>
        </w:rPr>
        <w:t xml:space="preserve">  • Gemini API: https://generativelanguage.googleapis.com/v1/</w:t>
      </w:r>
      <w:r>
        <w:br/>
      </w:r>
      <w:r>
        <w:rPr>
          <w:rStyle w:val="VerbatimChar"/>
        </w:rPr>
        <w:t xml:space="preserve">  • OpenAI API (Fallback): https://api.openai.com/v1/</w:t>
      </w:r>
    </w:p>
    <w:p>
      <w:pPr>
        <w:pStyle w:val="FirstParagraph"/>
      </w:pPr>
      <w:r>
        <w:rPr>
          <w:i/>
          <w:iCs/>
        </w:rPr>
        <w:t xml:space="preserve">System deployment architecture showing containerized microservices orchestrated via Docker Compose. The Next.js frontend provides user interface and API routes (port 3000), N8N workflow engine handles personality detection and response generation (port 5678), PostgreSQL database persists conversation state and personality profiles (port 5432), and Redis provides caching and rate limiting (port 6379). All components communicate via internal Docker network with persistent volumes for data durability. External LLM APIs are accessed through secure HTTPS endpoints.</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8"/>
    <w:bookmarkStart w:id="29"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05"/>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05"/>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05"/>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05"/>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(&lt;0.4) are filtered to prevent noise corruption.</w:t>
      </w:r>
    </w:p>
    <w:bookmarkEnd w:id="29"/>
    <w:bookmarkStart w:id="30"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30"/>
    <w:bookmarkStart w:id="31"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06"/>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06"/>
        </w:numPr>
      </w:pPr>
      <w:r>
        <w:rPr>
          <w:b/>
          <w:bCs/>
        </w:rPr>
        <w:t xml:space="preserve">Length:</w:t>
      </w:r>
      <w:r>
        <w:t xml:space="preserve"> </w:t>
      </w:r>
      <w:r>
        <w:t xml:space="preserve">70-150 words to ensure substantive but focused responses</w:t>
      </w:r>
    </w:p>
    <w:p>
      <w:pPr>
        <w:pStyle w:val="Compact"/>
        <w:numPr>
          <w:ilvl w:val="0"/>
          <w:numId w:val="1006"/>
        </w:numPr>
      </w:pPr>
      <w:r>
        <w:rPr>
          <w:b/>
          <w:bCs/>
        </w:rPr>
        <w:t xml:space="preserve">Interaction:</w:t>
      </w:r>
      <w:r>
        <w:t xml:space="preserve"> </w:t>
      </w:r>
      <w:r>
        <w:t xml:space="preserve">Maximum 2 questions per response to maintain conversational flow</w:t>
      </w:r>
    </w:p>
    <w:p>
      <w:pPr>
        <w:pStyle w:val="Compact"/>
        <w:numPr>
          <w:ilvl w:val="0"/>
          <w:numId w:val="1006"/>
        </w:numPr>
      </w:pPr>
      <w:r>
        <w:rPr>
          <w:b/>
          <w:bCs/>
        </w:rPr>
        <w:t xml:space="preserve">Parameters:</w:t>
      </w:r>
      <w:r>
        <w:t xml:space="preserve"> </w:t>
      </w:r>
      <w:r>
        <w:t xml:space="preserve">Temperature 0.7, max_tokens 220, 20-second timeout</w:t>
      </w:r>
    </w:p>
    <w:p>
      <w:pPr>
        <w:pStyle w:val="Compact"/>
        <w:numPr>
          <w:ilvl w:val="0"/>
          <w:numId w:val="1006"/>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31"/>
    <w:bookmarkStart w:id="32" w:name="X7a002756999d86a59d44f0eddfed7fcf520ffe7"/>
    <w:p>
      <w:pPr>
        <w:pStyle w:val="Heading3"/>
      </w:pPr>
      <w:r>
        <w:t xml:space="preserve">4.6 Data Management and Simulation</w:t>
      </w:r>
    </w:p>
    <w:p>
      <w:pPr>
        <w:pStyle w:val="FirstParagraph"/>
      </w:pPr>
      <w:r>
        <w:rPr>
          <w:b/>
          <w:bCs/>
        </w:rPr>
        <w:t xml:space="preserve">PostgreSQL Database:</w:t>
      </w:r>
      <w:r>
        <w:t xml:space="preserve"> </w:t>
      </w:r>
      <w:r>
        <w:t xml:space="preserve">Four core tables persist state for longitudinal analysis:</w:t>
      </w:r>
      <w:r>
        <w:t xml:space="preserve"> </w:t>
      </w:r>
      <w:r>
        <w:rPr>
          <w:rStyle w:val="VerbatimChar"/>
        </w:rPr>
        <w:t xml:space="preserve">chat_sessions</w:t>
      </w:r>
      <w:r>
        <w:t xml:space="preserve"> </w:t>
      </w:r>
      <w:r>
        <w:t xml:space="preserve">(metadata),</w:t>
      </w:r>
      <w:r>
        <w:t xml:space="preserve"> </w:t>
      </w:r>
      <w:r>
        <w:rPr>
          <w:rStyle w:val="VerbatimChar"/>
        </w:rPr>
        <w:t xml:space="preserve">conversation_turns</w:t>
      </w:r>
      <w:r>
        <w:t xml:space="preserve"> </w:t>
      </w:r>
      <w:r>
        <w:t xml:space="preserve">(dialogue history with directives and coaching modes),</w:t>
      </w:r>
      <w:r>
        <w:t xml:space="preserve"> </w:t>
      </w:r>
      <w:r>
        <w:rPr>
          <w:rStyle w:val="VerbatimChar"/>
        </w:rPr>
        <w:t xml:space="preserve">personality_states</w:t>
      </w:r>
      <w:r>
        <w:t xml:space="preserve"> </w:t>
      </w:r>
      <w:r>
        <w:t xml:space="preserve">(EMA-smoothed OCEAN values, confidence, stability flags),</w:t>
      </w:r>
      <w:r>
        <w:t xml:space="preserve"> </w:t>
      </w:r>
      <w:r>
        <w:rPr>
          <w:rStyle w:val="VerbatimChar"/>
        </w:rPr>
        <w:t xml:space="preserve">performance_metrics</w:t>
      </w:r>
      <w:r>
        <w:t xml:space="preserve"> </w:t>
      </w:r>
      <w:r>
        <w:t xml:space="preserve">(latencies, tokens). Helper functions retrieve latest personality state and conversation history for context windows. Data flow: Load previous state → Detection (GPT-4) → EMA smoothing (α=0.3) → Save to PostgreSQL → Next turn retrieves smoothed state for continuity.</w:t>
      </w:r>
    </w:p>
    <w:p>
      <w:pPr>
        <w:pStyle w:val="BodyText"/>
      </w:pPr>
      <w:r>
        <w:rPr>
          <w:b/>
          <w:bCs/>
        </w:rPr>
        <w:t xml:space="preserve">Table 5. PostgreSQL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Simulation Protocol:</w:t>
      </w:r>
      <w:r>
        <w:t xml:space="preserve"> </w:t>
      </w:r>
      <w:r>
        <w:t xml:space="preserve">Three personality profiles (Type A: high OCEAN +0.8 except low N; Type B: low OCEAN -0.8 except high N; Type C: mixed profiles) engage in three stress scenarios (workload overload, deadline anxiety, interpersonal conflict) covering all coaching modes. Conversations: 8-10 turns, 10-15 sessions per profile × 3 scenarios = 90-135 total conversations. Convergence tracked with</w:t>
      </w:r>
      <w:r>
        <w:t xml:space="preserve"> </w:t>
      </w:r>
      <w:r>
        <w:rPr>
          <w:rStyle w:val="VerbatimChar"/>
        </w:rPr>
        <w:t xml:space="preserve">stable=TRUE</w:t>
      </w:r>
      <w:r>
        <w:t xml:space="preserve"> </w:t>
      </w:r>
      <w:r>
        <w:t xml:space="preserve">target at turns 6-8 for ≥80% sessions. Baseline: parallel conversations using generic assistant without personality adaptation. Export: CSV/JSONL with per-turn OCEAN evolution, directives, coaching modes, stability flags, and convergence metrics.</w:t>
      </w:r>
    </w:p>
    <w:bookmarkEnd w:id="32"/>
    <w:bookmarkStart w:id="33"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07"/>
        </w:numPr>
      </w:pPr>
      <w:r>
        <w:rPr>
          <w:b/>
          <w:bCs/>
        </w:rPr>
        <w:t xml:space="preserve">Detection Accuracy:</w:t>
      </w:r>
      <w:r>
        <w:t xml:space="preserve"> </w:t>
      </w:r>
      <w:r>
        <w:t xml:space="preserve">Alignment between continuous OCEAN inference and simulated personality cues</w:t>
      </w:r>
    </w:p>
    <w:p>
      <w:pPr>
        <w:pStyle w:val="Compact"/>
        <w:numPr>
          <w:ilvl w:val="0"/>
          <w:numId w:val="1007"/>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07"/>
        </w:numPr>
      </w:pPr>
      <w:r>
        <w:rPr>
          <w:b/>
          <w:bCs/>
        </w:rPr>
        <w:t xml:space="preserve">Confidence Calibration:</w:t>
      </w:r>
      <w:r>
        <w:t xml:space="preserve"> </w:t>
      </w:r>
      <w:r>
        <w:t xml:space="preserve">Appropriate confidence scores matching evidence strength</w:t>
      </w:r>
    </w:p>
    <w:p>
      <w:pPr>
        <w:pStyle w:val="Compact"/>
        <w:numPr>
          <w:ilvl w:val="0"/>
          <w:numId w:val="1007"/>
        </w:numPr>
      </w:pPr>
      <w:r>
        <w:rPr>
          <w:b/>
          <w:bCs/>
        </w:rPr>
        <w:t xml:space="preserve">Regulation Effectiveness:</w:t>
      </w:r>
      <w:r>
        <w:t xml:space="preserve"> </w:t>
      </w:r>
      <w:r>
        <w:t xml:space="preserve">Appropriate application of intensity-scaled behavioral strategies</w:t>
      </w:r>
    </w:p>
    <w:p>
      <w:pPr>
        <w:pStyle w:val="Compact"/>
        <w:numPr>
          <w:ilvl w:val="0"/>
          <w:numId w:val="1007"/>
        </w:numPr>
      </w:pPr>
      <w:r>
        <w:rPr>
          <w:b/>
          <w:bCs/>
        </w:rPr>
        <w:t xml:space="preserve">Emotional Tone Appropriateness:</w:t>
      </w:r>
      <w:r>
        <w:t xml:space="preserve"> </w:t>
      </w:r>
      <w:r>
        <w:t xml:space="preserve">Match between response tone and user emotional state/personality</w:t>
      </w:r>
    </w:p>
    <w:p>
      <w:pPr>
        <w:pStyle w:val="Compact"/>
        <w:numPr>
          <w:ilvl w:val="0"/>
          <w:numId w:val="1007"/>
        </w:numPr>
      </w:pPr>
      <w:r>
        <w:rPr>
          <w:b/>
          <w:bCs/>
        </w:rPr>
        <w:t xml:space="preserve">Relevance &amp; Coherence:</w:t>
      </w:r>
      <w:r>
        <w:t xml:space="preserve"> </w:t>
      </w:r>
      <w:r>
        <w:t xml:space="preserve">Contextual appropriateness and logical consistency</w:t>
      </w:r>
    </w:p>
    <w:p>
      <w:pPr>
        <w:pStyle w:val="Compact"/>
        <w:numPr>
          <w:ilvl w:val="0"/>
          <w:numId w:val="1007"/>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08"/>
        </w:numPr>
      </w:pPr>
      <w:r>
        <w:rPr>
          <w:b/>
          <w:bCs/>
        </w:rPr>
        <w:t xml:space="preserve">Emotional Tone Appropriateness</w:t>
      </w:r>
    </w:p>
    <w:p>
      <w:pPr>
        <w:pStyle w:val="Compact"/>
        <w:numPr>
          <w:ilvl w:val="0"/>
          <w:numId w:val="1008"/>
        </w:numPr>
      </w:pPr>
      <w:r>
        <w:rPr>
          <w:b/>
          <w:bCs/>
        </w:rPr>
        <w:t xml:space="preserve">Relevance &amp; Coherence</w:t>
      </w:r>
    </w:p>
    <w:p>
      <w:pPr>
        <w:pStyle w:val="Compact"/>
        <w:numPr>
          <w:ilvl w:val="0"/>
          <w:numId w:val="1008"/>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09"/>
        </w:numPr>
      </w:pPr>
      <w:r>
        <w:rPr>
          <w:b/>
          <w:bCs/>
        </w:rPr>
        <w:t xml:space="preserve">Row ID:</w:t>
      </w:r>
      <w:r>
        <w:t xml:space="preserve"> </w:t>
      </w:r>
      <w:r>
        <w:t xml:space="preserve">Unique identifier for tracking individual assessments</w:t>
      </w:r>
    </w:p>
    <w:p>
      <w:pPr>
        <w:pStyle w:val="Compact"/>
        <w:numPr>
          <w:ilvl w:val="0"/>
          <w:numId w:val="1009"/>
        </w:numPr>
      </w:pPr>
      <w:r>
        <w:rPr>
          <w:b/>
          <w:bCs/>
        </w:rPr>
        <w:t xml:space="preserve">Profile Type:</w:t>
      </w:r>
      <w:r>
        <w:t xml:space="preserve"> </w:t>
      </w:r>
      <w:r>
        <w:t xml:space="preserve">Simulated personality profile (Type A: high OCEAN; Type B: low OCEAN; Type C: mixed)</w:t>
      </w:r>
    </w:p>
    <w:p>
      <w:pPr>
        <w:pStyle w:val="Compact"/>
        <w:numPr>
          <w:ilvl w:val="0"/>
          <w:numId w:val="1009"/>
        </w:numPr>
      </w:pPr>
      <w:r>
        <w:rPr>
          <w:b/>
          <w:bCs/>
        </w:rPr>
        <w:t xml:space="preserve">Turn Number:</w:t>
      </w:r>
      <w:r>
        <w:t xml:space="preserve"> </w:t>
      </w:r>
      <w:r>
        <w:t xml:space="preserve">Position within conversation sequence (1-10)</w:t>
      </w:r>
    </w:p>
    <w:p>
      <w:pPr>
        <w:pStyle w:val="Compact"/>
        <w:numPr>
          <w:ilvl w:val="0"/>
          <w:numId w:val="1009"/>
        </w:numPr>
      </w:pPr>
      <w:r>
        <w:rPr>
          <w:b/>
          <w:bCs/>
        </w:rPr>
        <w:t xml:space="preserve">User Message:</w:t>
      </w:r>
      <w:r>
        <w:t xml:space="preserve"> </w:t>
      </w:r>
      <w:r>
        <w:t xml:space="preserve">Original user input text</w:t>
      </w:r>
    </w:p>
    <w:p>
      <w:pPr>
        <w:pStyle w:val="Compact"/>
        <w:numPr>
          <w:ilvl w:val="0"/>
          <w:numId w:val="1009"/>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10"/>
        </w:numPr>
      </w:pPr>
      <w:r>
        <w:rPr>
          <w:b/>
          <w:bCs/>
        </w:rPr>
        <w:t xml:space="preserve">OCEAN Values (Smoothed):</w:t>
      </w:r>
      <w:r>
        <w:t xml:space="preserve"> </w:t>
      </w:r>
      <w:r>
        <w:t xml:space="preserve">EMA-smoothed continuous trait estimates (e.g., O:0.78, C:0.65, E:0.82, A:0.71, N:-0.68)</w:t>
      </w:r>
    </w:p>
    <w:p>
      <w:pPr>
        <w:pStyle w:val="Compact"/>
        <w:numPr>
          <w:ilvl w:val="0"/>
          <w:numId w:val="1010"/>
        </w:numPr>
      </w:pPr>
      <w:r>
        <w:rPr>
          <w:b/>
          <w:bCs/>
        </w:rPr>
        <w:t xml:space="preserve">Confidence Scores:</w:t>
      </w:r>
      <w:r>
        <w:t xml:space="preserve"> </w:t>
      </w:r>
      <w:r>
        <w:t xml:space="preserve">Per-trait confidence assessments (range 0.0-1.0)</w:t>
      </w:r>
    </w:p>
    <w:p>
      <w:pPr>
        <w:pStyle w:val="Compact"/>
        <w:numPr>
          <w:ilvl w:val="0"/>
          <w:numId w:val="1010"/>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10"/>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11"/>
        </w:numPr>
      </w:pPr>
      <w:r>
        <w:rPr>
          <w:b/>
          <w:bCs/>
        </w:rPr>
        <w:t xml:space="preserve">Detection Accuracy (Det.Acc):</w:t>
      </w:r>
      <w:r>
        <w:t xml:space="preserve"> </w:t>
      </w:r>
      <w:r>
        <w:t xml:space="preserve">Alignment between inferred OCEAN and personality cues</w:t>
      </w:r>
    </w:p>
    <w:p>
      <w:pPr>
        <w:pStyle w:val="Compact"/>
        <w:numPr>
          <w:ilvl w:val="0"/>
          <w:numId w:val="1011"/>
        </w:numPr>
      </w:pPr>
      <w:r>
        <w:rPr>
          <w:b/>
          <w:bCs/>
        </w:rPr>
        <w:t xml:space="preserve">EMA Convergence (EMA.Conv):</w:t>
      </w:r>
      <w:r>
        <w:t xml:space="preserve"> </w:t>
      </w:r>
      <w:r>
        <w:t xml:space="preserve">Quality of temporal smoothing and stability progression</w:t>
      </w:r>
    </w:p>
    <w:p>
      <w:pPr>
        <w:pStyle w:val="Compact"/>
        <w:numPr>
          <w:ilvl w:val="0"/>
          <w:numId w:val="1011"/>
        </w:numPr>
      </w:pPr>
      <w:r>
        <w:rPr>
          <w:b/>
          <w:bCs/>
        </w:rPr>
        <w:t xml:space="preserve">Confidence Calibration (Conf.Cal):</w:t>
      </w:r>
      <w:r>
        <w:t xml:space="preserve"> </w:t>
      </w:r>
      <w:r>
        <w:t xml:space="preserve">Appropriateness of confidence scores relative to evidence</w:t>
      </w:r>
    </w:p>
    <w:p>
      <w:pPr>
        <w:pStyle w:val="Compact"/>
        <w:numPr>
          <w:ilvl w:val="0"/>
          <w:numId w:val="1011"/>
        </w:numPr>
      </w:pPr>
      <w:r>
        <w:rPr>
          <w:b/>
          <w:bCs/>
        </w:rPr>
        <w:t xml:space="preserve">Regulation Effectiveness (Reg.Eff):</w:t>
      </w:r>
      <w:r>
        <w:t xml:space="preserve"> </w:t>
      </w:r>
      <w:r>
        <w:t xml:space="preserve">Correct application of behavioral directives</w:t>
      </w:r>
    </w:p>
    <w:p>
      <w:pPr>
        <w:pStyle w:val="Compact"/>
        <w:numPr>
          <w:ilvl w:val="0"/>
          <w:numId w:val="1011"/>
        </w:numPr>
      </w:pPr>
      <w:r>
        <w:rPr>
          <w:b/>
          <w:bCs/>
        </w:rPr>
        <w:t xml:space="preserve">Emotional Tone (Tone):</w:t>
      </w:r>
      <w:r>
        <w:t xml:space="preserve"> </w:t>
      </w:r>
      <w:r>
        <w:t xml:space="preserve">Match between response tone and user state/personality</w:t>
      </w:r>
    </w:p>
    <w:p>
      <w:pPr>
        <w:pStyle w:val="Compact"/>
        <w:numPr>
          <w:ilvl w:val="0"/>
          <w:numId w:val="1011"/>
        </w:numPr>
      </w:pPr>
      <w:r>
        <w:rPr>
          <w:b/>
          <w:bCs/>
        </w:rPr>
        <w:t xml:space="preserve">Relevance &amp; Coherence (Rel&amp;Coh):</w:t>
      </w:r>
      <w:r>
        <w:t xml:space="preserve"> </w:t>
      </w:r>
      <w:r>
        <w:t xml:space="preserve">Contextual appropriateness and logical consistency</w:t>
      </w:r>
    </w:p>
    <w:p>
      <w:pPr>
        <w:pStyle w:val="Compact"/>
        <w:numPr>
          <w:ilvl w:val="0"/>
          <w:numId w:val="1011"/>
        </w:numPr>
      </w:pPr>
      <w:r>
        <w:rPr>
          <w:b/>
          <w:bCs/>
        </w:rPr>
        <w:t xml:space="preserve">Personality Needs (Needs):</w:t>
      </w:r>
      <w:r>
        <w:t xml:space="preserve"> </w:t>
      </w:r>
      <w:r>
        <w:t xml:space="preserve">Satisfaction of trait-specific requirements</w:t>
      </w:r>
    </w:p>
    <w:p>
      <w:pPr>
        <w:pStyle w:val="Compact"/>
        <w:numPr>
          <w:ilvl w:val="0"/>
          <w:numId w:val="1011"/>
        </w:numPr>
      </w:pPr>
      <w:r>
        <w:rPr>
          <w:b/>
          <w:bCs/>
        </w:rPr>
        <w:t xml:space="preserve">Total Score:</w:t>
      </w:r>
      <w:r>
        <w:t xml:space="preserve"> </w:t>
      </w:r>
      <w:r>
        <w:t xml:space="preserve">Sum of all criterion scores (0-14 for regulated; 0-6 for baseline)</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12"/>
        </w:numPr>
      </w:pPr>
      <w:r>
        <w:t xml:space="preserve">User: "I'm excited to try new approaches..."</w:t>
      </w:r>
    </w:p>
    <w:p>
      <w:pPr>
        <w:pStyle w:val="Compact"/>
        <w:numPr>
          <w:ilvl w:val="0"/>
          <w:numId w:val="1012"/>
        </w:numPr>
      </w:pPr>
      <w:r>
        <w:t xml:space="preserve">Assistant: "That's wonderful! Let's explore some creative strategies..."</w:t>
      </w:r>
    </w:p>
    <w:p>
      <w:pPr>
        <w:pStyle w:val="Compact"/>
        <w:numPr>
          <w:ilvl w:val="0"/>
          <w:numId w:val="1012"/>
        </w:numPr>
      </w:pPr>
      <w:r>
        <w:t xml:space="preserve">OCEAN: O:0.78, C:0.65, E:0.82, A:0.71, N:-0.68 (Stable: TRUE)</w:t>
      </w:r>
    </w:p>
    <w:p>
      <w:pPr>
        <w:pStyle w:val="Compact"/>
        <w:numPr>
          <w:ilvl w:val="0"/>
          <w:numId w:val="1012"/>
        </w:numPr>
      </w:pPr>
      <w:r>
        <w:t xml:space="preserve">Directives: Introduce novel ideas, Energetic tone, Structured steps</w:t>
      </w:r>
    </w:p>
    <w:p>
      <w:pPr>
        <w:pStyle w:val="Compact"/>
        <w:numPr>
          <w:ilvl w:val="0"/>
          <w:numId w:val="1012"/>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13"/>
        </w:numPr>
      </w:pPr>
      <w:r>
        <w:t xml:space="preserve">User: "Everything feels uncertain..."</w:t>
      </w:r>
    </w:p>
    <w:p>
      <w:pPr>
        <w:pStyle w:val="Compact"/>
        <w:numPr>
          <w:ilvl w:val="0"/>
          <w:numId w:val="1013"/>
        </w:numPr>
      </w:pPr>
      <w:r>
        <w:t xml:space="preserve">Assistant: "I understand uncertainty is difficult. Let's focus on what you can control..."</w:t>
      </w:r>
    </w:p>
    <w:p>
      <w:pPr>
        <w:pStyle w:val="Compact"/>
        <w:numPr>
          <w:ilvl w:val="0"/>
          <w:numId w:val="1013"/>
        </w:numPr>
      </w:pPr>
      <w:r>
        <w:t xml:space="preserve">OCEAN: O:-0.72, C:-0.68, E:-0.75, A:-0.61, N:0.79 (Stable: TRUE)</w:t>
      </w:r>
    </w:p>
    <w:p>
      <w:pPr>
        <w:pStyle w:val="Compact"/>
        <w:numPr>
          <w:ilvl w:val="0"/>
          <w:numId w:val="1013"/>
        </w:numPr>
      </w:pPr>
      <w:r>
        <w:t xml:space="preserve">Directives: Familiar examples, Calm tone, Flexible guidance, Extra comfort</w:t>
      </w:r>
    </w:p>
    <w:p>
      <w:pPr>
        <w:pStyle w:val="Compact"/>
        <w:numPr>
          <w:ilvl w:val="0"/>
          <w:numId w:val="1013"/>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 Thesis phase will validate human-LLM agreement (target κ≥0.70) through trained annotator studies.</w:t>
      </w:r>
    </w:p>
    <w:p>
      <w:pPr>
        <w:pStyle w:val="BodyText"/>
      </w:pPr>
      <w:r>
        <w:rPr>
          <w:b/>
          <w:bCs/>
        </w:rPr>
        <w:t xml:space="preserve">Baseline and Ablation Studies (Thesis Phase):</w:t>
      </w:r>
      <w:r>
        <w:t xml:space="preserve"> </w:t>
      </w:r>
      <w:r>
        <w:t xml:space="preserve">Generic baseline (non-adaptive), memory-only baseline (mem0-style factual recall without personality inference), and detection-only (no regulation) will isolate contributions. Ablation studies will validate α=0.3 selection, confidence filtering impact, and policy pack domain transfer efficiency. Target metrics: Cohen's d≥0.5, p&lt;0.05, ≥20% relative improvement on shared criteria.</w:t>
      </w:r>
    </w:p>
    <w:bookmarkEnd w:id="33"/>
    <w:bookmarkStart w:id="34"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dialog-only grounding; automated CSV export for analysis.</w:t>
      </w:r>
    </w:p>
    <w:p>
      <w:r>
        <w:pict>
          <v:rect style="width:0;height:1.5pt" o:hralign="center" o:hrstd="t" o:hr="t"/>
        </w:pict>
      </w:r>
    </w:p>
    <w:bookmarkEnd w:id="34"/>
    <w:bookmarkEnd w:id="35"/>
    <w:bookmarkStart w:id="42" w:name="Xe67829e61c10b4974b1d93707511b7a857ae86e"/>
    <w:p>
      <w:pPr>
        <w:pStyle w:val="Heading2"/>
      </w:pPr>
      <w:r>
        <w:t xml:space="preserve">5. Technology, Software, and Applications</w:t>
      </w:r>
    </w:p>
    <w:bookmarkStart w:id="36"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 for detection (temp 0.3, 300 tokens, 30s timeout) and generation (temp 0.7, 220 tokens, 20s timeout), with Gemini-1.5-Pro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36"/>
    <w:bookmarkStart w:id="37"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37"/>
    <w:bookmarkStart w:id="38"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38"/>
    <w:bookmarkStart w:id="39" w:name="X426ebc4d76cbfc4fd6121f7e7d76ddb39f3b490"/>
    <w:p>
      <w:pPr>
        <w:pStyle w:val="Heading3"/>
      </w:pPr>
      <w:r>
        <w:t xml:space="preserve">5.4 Computational Costs and Performance</w:t>
      </w:r>
    </w:p>
    <w:p>
      <w:pPr>
        <w:pStyle w:val="FirstParagraph"/>
      </w:pPr>
      <w:r>
        <w:rPr>
          <w:b/>
          <w:bCs/>
        </w:rPr>
        <w:t xml:space="preserve">Cost Structure</w:t>
      </w:r>
      <w:r>
        <w:t xml:space="preserve">: GPT-4 averages</w:t>
      </w:r>
      <w:r>
        <w:t xml:space="preserve"> </w:t>
      </w:r>
      <m:oMath>
        <m:r>
          <m:t>0.026</m:t>
        </m:r>
        <m:r>
          <m:rPr>
            <m:sty m:val="p"/>
          </m:rPr>
          <m:t>/</m:t>
        </m:r>
        <m:r>
          <m:t>t</m:t>
        </m:r>
        <m:r>
          <m:t>u</m:t>
        </m:r>
        <m:r>
          <m:t>r</m:t>
        </m:r>
        <m:r>
          <m:t>n</m:t>
        </m:r>
        <m:r>
          <m:rPr>
            <m:sty m:val="p"/>
          </m:rPr>
          <m:t>(</m:t>
        </m:r>
        <m:r>
          <m:t> </m:t>
        </m:r>
      </m:oMath>
      <w:r>
        <w:t xml:space="preserve">0.21 per 8-turn conversation); Gemini-1.5-Pro offers 85% cost reduction ($0.0038/turn). Estimated operational costs: $210/month (1K conversations) to $21K/month (100K conversations).</w:t>
      </w:r>
      <w:r>
        <w:t xml:space="preserve"> </w:t>
      </w:r>
      <w:r>
        <w:rPr>
          <w:b/>
          <w:bCs/>
        </w:rPr>
        <w:t xml:space="preserve">Performance</w:t>
      </w:r>
      <w:r>
        <w:t xml:space="preserve">: Preliminary architectural testing shows estimated median 2.6s end-to-end latency (p95: 4.0s); thesis phase targets &lt;2.5s p95 through pipeline parallelization and response caching.</w:t>
      </w:r>
      <w:r>
        <w:t xml:space="preserve"> </w:t>
      </w:r>
      <w:r>
        <w:rPr>
          <w:b/>
          <w:bCs/>
        </w:rPr>
        <w:t xml:space="preserve">Optimization</w:t>
      </w:r>
      <w:r>
        <w:t xml:space="preserve">: Response caching for common directive patterns (~25% cost reduction), batch processing for offline analytics, adaptive verification skipping for low-risk scenarios (~13% savings).</w:t>
      </w:r>
    </w:p>
    <w:bookmarkEnd w:id="39"/>
    <w:bookmarkStart w:id="40"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0"/>
    <w:bookmarkStart w:id="41" w:name="X3a8abd1852e12374959fe34023081781dc28446"/>
    <w:p>
      <w:pPr>
        <w:pStyle w:val="Heading3"/>
      </w:pPr>
      <w:r>
        <w:t xml:space="preserve">5.6 Frontend Architecture: React/Next.js Human-Centered Interface</w:t>
      </w:r>
    </w:p>
    <w:p>
      <w:pPr>
        <w:pStyle w:val="FirstParagraph"/>
      </w:pPr>
      <w:r>
        <w:t xml:space="preserve">Five innovation areas (condensed):</w:t>
      </w:r>
    </w:p>
    <w:p>
      <w:pPr>
        <w:pStyle w:val="Compact"/>
        <w:numPr>
          <w:ilvl w:val="0"/>
          <w:numId w:val="1014"/>
        </w:numPr>
      </w:pPr>
      <w:r>
        <w:t xml:space="preserve">Progressive Personality Visualization</w:t>
      </w:r>
    </w:p>
    <w:p>
      <w:pPr>
        <w:pStyle w:val="Compact"/>
        <w:numPr>
          <w:ilvl w:val="0"/>
          <w:numId w:val="1015"/>
        </w:numPr>
      </w:pPr>
      <w:r>
        <w:t xml:space="preserve">Levels: icon status → tooltip traits → expandable radar + EMA trends</w:t>
      </w:r>
    </w:p>
    <w:p>
      <w:pPr>
        <w:pStyle w:val="Compact"/>
        <w:numPr>
          <w:ilvl w:val="0"/>
          <w:numId w:val="1015"/>
        </w:numPr>
      </w:pPr>
      <w:r>
        <w:t xml:space="preserve">Goal: reduce cognitive load while maintaining awareness (SUS target ≥75)</w:t>
      </w:r>
    </w:p>
    <w:p>
      <w:pPr>
        <w:pStyle w:val="Compact"/>
        <w:numPr>
          <w:ilvl w:val="0"/>
          <w:numId w:val="1016"/>
        </w:numPr>
      </w:pPr>
      <w:r>
        <w:t xml:space="preserve">Transparent Control Panel</w:t>
      </w:r>
    </w:p>
    <w:p>
      <w:pPr>
        <w:pStyle w:val="Compact"/>
        <w:numPr>
          <w:ilvl w:val="0"/>
          <w:numId w:val="1017"/>
        </w:numPr>
      </w:pPr>
      <w:r>
        <w:t xml:space="preserve">Trait override sliders; visible directives; policy pack selector</w:t>
      </w:r>
    </w:p>
    <w:p>
      <w:pPr>
        <w:pStyle w:val="Compact"/>
        <w:numPr>
          <w:ilvl w:val="0"/>
          <w:numId w:val="1017"/>
        </w:numPr>
      </w:pPr>
      <w:r>
        <w:t xml:space="preserve">Goal: increase trust and appropriateness (target ≥4.0/5.0)</w:t>
      </w:r>
    </w:p>
    <w:p>
      <w:pPr>
        <w:pStyle w:val="Compact"/>
        <w:numPr>
          <w:ilvl w:val="0"/>
          <w:numId w:val="1018"/>
        </w:numPr>
      </w:pPr>
      <w:r>
        <w:t xml:space="preserve">Performance Monitoring</w:t>
      </w:r>
    </w:p>
    <w:p>
      <w:pPr>
        <w:pStyle w:val="Compact"/>
        <w:numPr>
          <w:ilvl w:val="0"/>
          <w:numId w:val="1019"/>
        </w:numPr>
      </w:pPr>
      <w:r>
        <w:t xml:space="preserve">Real-time latency display; adaptive streaming; timeout warnings</w:t>
      </w:r>
    </w:p>
    <w:p>
      <w:pPr>
        <w:pStyle w:val="Compact"/>
        <w:numPr>
          <w:ilvl w:val="0"/>
          <w:numId w:val="1019"/>
        </w:numPr>
      </w:pPr>
      <w:r>
        <w:t xml:space="preserve">Goal: mitigate frustration; track per-session performance</w:t>
      </w:r>
    </w:p>
    <w:p>
      <w:pPr>
        <w:pStyle w:val="Compact"/>
        <w:numPr>
          <w:ilvl w:val="0"/>
          <w:numId w:val="1020"/>
        </w:numPr>
      </w:pPr>
      <w:r>
        <w:t xml:space="preserve">Accessibility-First Design (WCAG 2.1 AA)</w:t>
      </w:r>
    </w:p>
    <w:p>
      <w:pPr>
        <w:pStyle w:val="Compact"/>
        <w:numPr>
          <w:ilvl w:val="0"/>
          <w:numId w:val="1021"/>
        </w:numPr>
      </w:pPr>
      <w:r>
        <w:t xml:space="preserve">Screen reader labels; keyboard navigation; high contrast; scalable type</w:t>
      </w:r>
    </w:p>
    <w:p>
      <w:pPr>
        <w:pStyle w:val="Compact"/>
        <w:numPr>
          <w:ilvl w:val="0"/>
          <w:numId w:val="1021"/>
        </w:numPr>
      </w:pPr>
      <w:r>
        <w:t xml:space="preserve">Goal: inclusive interaction; plan voice I/O as future extension</w:t>
      </w:r>
    </w:p>
    <w:p>
      <w:pPr>
        <w:pStyle w:val="Compact"/>
        <w:numPr>
          <w:ilvl w:val="0"/>
          <w:numId w:val="1022"/>
        </w:numPr>
      </w:pPr>
      <w:r>
        <w:t xml:space="preserve">Frontend as Research Instrument</w:t>
      </w:r>
    </w:p>
    <w:p>
      <w:pPr>
        <w:pStyle w:val="Compact"/>
        <w:numPr>
          <w:ilvl w:val="0"/>
          <w:numId w:val="1023"/>
        </w:numPr>
      </w:pPr>
      <w:r>
        <w:t xml:space="preserve">Feature flags; session interaction recording; heatmaps; exit surveys</w:t>
      </w:r>
    </w:p>
    <w:p>
      <w:pPr>
        <w:pStyle w:val="Compact"/>
        <w:numPr>
          <w:ilvl w:val="0"/>
          <w:numId w:val="1023"/>
        </w:numPr>
      </w:pPr>
      <w:r>
        <w:t xml:space="preserve">Experiments: visualization, transparency, performance (n≈150 total)</w:t>
      </w:r>
    </w:p>
    <w:p>
      <w:r>
        <w:pict>
          <v:rect style="width:0;height:1.5pt" o:hralign="center" o:hrstd="t" o:hr="t"/>
        </w:pict>
      </w:r>
    </w:p>
    <w:bookmarkEnd w:id="41"/>
    <w:bookmarkEnd w:id="42"/>
    <w:bookmarkStart w:id="46" w:name="Xf39cdd8e9631b1040b68b9fd15ae4730d3a4298"/>
    <w:p>
      <w:pPr>
        <w:pStyle w:val="Heading2"/>
      </w:pPr>
      <w:r>
        <w:t xml:space="preserve">6. Project Plan and Risk Management</w:t>
      </w:r>
    </w:p>
    <w:bookmarkStart w:id="43"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24"/>
        </w:numPr>
      </w:pPr>
      <w:r>
        <w:t xml:space="preserve">Human Validation (Weeks 15-16): n=30-50 human participants with BFI-44 ground truth; target r≥0.75 detection correlation, κ≥0.80 inter-rater reliability</w:t>
      </w:r>
    </w:p>
    <w:p>
      <w:pPr>
        <w:pStyle w:val="Compact"/>
        <w:numPr>
          <w:ilvl w:val="0"/>
          <w:numId w:val="1024"/>
        </w:numPr>
      </w:pPr>
      <w:r>
        <w:t xml:space="preserve">Large-Scale Simulation (Weeks 11-14): N≥250 simulated conversations for A/B testing vs. mem0/LangChain baseline; target ≥20% improvement on emotional tone and needs satisfaction</w:t>
      </w:r>
    </w:p>
    <w:p>
      <w:pPr>
        <w:pStyle w:val="Compact"/>
        <w:numPr>
          <w:ilvl w:val="0"/>
          <w:numId w:val="1024"/>
        </w:numPr>
      </w:pPr>
      <w:r>
        <w:t xml:space="preserve">Cross-Domain Demonstration (Weeks 8-10): Education and customer service policy pack swaps; target &lt;30 min transfer time, zero breaking changes</w:t>
      </w:r>
    </w:p>
    <w:bookmarkEnd w:id="43"/>
    <w:bookmarkStart w:id="44"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1-3) → Design &amp; Architecture (4-6) → Implementation Phase 1 (7-10) → Evaluation &amp; Iteration (11-14) → Human Validation (15-16) → Analysis &amp; Writing (17-19) → Finalization (20).</w:t>
      </w:r>
    </w:p>
    <w:p>
      <w:pPr>
        <w:pStyle w:val="BodyText"/>
      </w:pPr>
      <w:r>
        <w:rPr>
          <w:b/>
          <w:bCs/>
        </w:rPr>
        <w:t xml:space="preserve">Table 8. Twenty-Week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1-3</w:t>
            </w:r>
          </w:p>
        </w:tc>
        <w:tc>
          <w:tcPr/>
          <w:p>
            <w:pPr>
              <w:pStyle w:val="Compact"/>
            </w:pPr>
            <w:r>
              <w:t xml:space="preserve">Comprehensive literature review; theoretical framework development; RQ refinement; environment setup</w:t>
            </w:r>
          </w:p>
        </w:tc>
        <w:tc>
          <w:tcPr/>
          <w:p>
            <w:pPr>
              <w:pStyle w:val="Compact"/>
            </w:pPr>
            <w:r>
              <w:t xml:space="preserve">Annotated bibliography; theoretical framework document; finalized RQs; functional dev environment</w:t>
            </w:r>
          </w:p>
        </w:tc>
        <w:tc>
          <w:tcPr/>
          <w:p>
            <w:pPr>
              <w:pStyle w:val="Compact"/>
            </w:pPr>
            <w:r>
              <w:t xml:space="preserve">30+ papers reviewed; clear theoretical grounding; testable RQs; working N8N + Docker setup</w:t>
            </w:r>
          </w:p>
        </w:tc>
      </w:tr>
      <w:tr>
        <w:tc>
          <w:tcPr/>
          <w:p>
            <w:pPr>
              <w:pStyle w:val="Compact"/>
            </w:pPr>
            <w:r>
              <w:rPr>
                <w:b/>
                <w:bCs/>
              </w:rPr>
              <w:t xml:space="preserve">Phase 2: Design &amp; Architecture</w:t>
            </w:r>
          </w:p>
        </w:tc>
        <w:tc>
          <w:tcPr/>
          <w:p>
            <w:pPr>
              <w:pStyle w:val="Compact"/>
            </w:pPr>
            <w:r>
              <w:t xml:space="preserve">4-6</w:t>
            </w:r>
          </w:p>
        </w:tc>
        <w:tc>
          <w:tcPr/>
          <w:p>
            <w:pPr>
              <w:pStyle w:val="Compact"/>
            </w:pPr>
            <w:r>
              <w:t xml:space="preserve">System architecture design; module specification; contract definition; pilot testing</w:t>
            </w:r>
          </w:p>
        </w:tc>
        <w:tc>
          <w:tcPr/>
          <w:p>
            <w:pPr>
              <w:pStyle w:val="Compact"/>
            </w:pPr>
            <w:r>
              <w:t xml:space="preserve">Architecture diagrams; JSON contracts; design documentation; pilot results</w:t>
            </w:r>
          </w:p>
        </w:tc>
        <w:tc>
          <w:tcPr/>
          <w:p>
            <w:pPr>
              <w:pStyle w:val="Compact"/>
            </w:pPr>
            <w:r>
              <w:t xml:space="preserve">Modular design validated; stable contracts; successful pilot conversations</w:t>
            </w:r>
          </w:p>
        </w:tc>
      </w:tr>
      <w:tr>
        <w:tc>
          <w:tcPr/>
          <w:p>
            <w:pPr>
              <w:pStyle w:val="Compact"/>
            </w:pPr>
            <w:r>
              <w:rPr>
                <w:b/>
                <w:bCs/>
              </w:rPr>
              <w:t xml:space="preserve">Phase 3: Implementation (Core)</w:t>
            </w:r>
          </w:p>
        </w:tc>
        <w:tc>
          <w:tcPr/>
          <w:p>
            <w:pPr>
              <w:pStyle w:val="Compact"/>
            </w:pPr>
            <w:r>
              <w:t xml:space="preserve">7-10</w:t>
            </w:r>
          </w:p>
        </w:tc>
        <w:tc>
          <w:tcPr/>
          <w:p>
            <w:pPr>
              <w:pStyle w:val="Compact"/>
            </w:pPr>
            <w:r>
              <w:t xml:space="preserve">Detection module development; regulation logic; generation pipeline; EMA integration; PostgreSQL setup</w:t>
            </w:r>
          </w:p>
        </w:tc>
        <w:tc>
          <w:tcPr/>
          <w:p>
            <w:pPr>
              <w:pStyle w:val="Compact"/>
            </w:pPr>
            <w:r>
              <w:t xml:space="preserve">Working personality detection; regulation engine; response generation; persistence layer</w:t>
            </w:r>
          </w:p>
        </w:tc>
        <w:tc>
          <w:tcPr/>
          <w:p>
            <w:pPr>
              <w:pStyle w:val="Compact"/>
            </w:pPr>
            <w:r>
              <w:t xml:space="preserve">Detection accuracy ≥70%; stable trait convergence; grounded responses; persistent state</w:t>
            </w:r>
          </w:p>
        </w:tc>
      </w:tr>
      <w:tr>
        <w:tc>
          <w:tcPr/>
          <w:p>
            <w:pPr>
              <w:pStyle w:val="Compact"/>
            </w:pPr>
            <w:r>
              <w:rPr>
                <w:b/>
                <w:bCs/>
              </w:rPr>
              <w:t xml:space="preserve">Phase 4: Evaluation &amp; Iteration</w:t>
            </w:r>
          </w:p>
        </w:tc>
        <w:tc>
          <w:tcPr/>
          <w:p>
            <w:pPr>
              <w:pStyle w:val="Compact"/>
            </w:pPr>
            <w:r>
              <w:t xml:space="preserve">11-14</w:t>
            </w:r>
          </w:p>
        </w:tc>
        <w:tc>
          <w:tcPr/>
          <w:p>
            <w:pPr>
              <w:pStyle w:val="Compact"/>
            </w:pPr>
            <w:r>
              <w:t xml:space="preserve">Automated evaluation framework; simulation execution (N≥250); A/B testing; prompt optimization; bug fixes</w:t>
            </w:r>
          </w:p>
        </w:tc>
        <w:tc>
          <w:tcPr/>
          <w:p>
            <w:pPr>
              <w:pStyle w:val="Compact"/>
            </w:pPr>
            <w:r>
              <w:t xml:space="preserve">Evaluation harness; simulation dataset; performance metrics; refined prompts</w:t>
            </w:r>
          </w:p>
        </w:tc>
        <w:tc>
          <w:tcPr/>
          <w:p>
            <w:pPr>
              <w:pStyle w:val="Compact"/>
            </w:pPr>
            <w:r>
              <w:t xml:space="preserve">Inter-run reliability ≥0.85; statistically significant improvements; reproducible results</w:t>
            </w:r>
          </w:p>
        </w:tc>
      </w:tr>
      <w:tr>
        <w:tc>
          <w:tcPr/>
          <w:p>
            <w:pPr>
              <w:pStyle w:val="Compact"/>
            </w:pPr>
            <w:r>
              <w:rPr>
                <w:b/>
                <w:bCs/>
              </w:rPr>
              <w:t xml:space="preserve">Phase 5: Human Validation</w:t>
            </w:r>
          </w:p>
        </w:tc>
        <w:tc>
          <w:tcPr/>
          <w:p>
            <w:pPr>
              <w:pStyle w:val="Compact"/>
            </w:pPr>
            <w:r>
              <w:t xml:space="preserve">15-16</w:t>
            </w:r>
          </w:p>
        </w:tc>
        <w:tc>
          <w:tcPr/>
          <w:p>
            <w:pPr>
              <w:pStyle w:val="Compact"/>
            </w:pPr>
            <w:r>
              <w:t xml:space="preserve">Ethics approval; participant recruitment (n=30-50); human studies; BFI-44 ground truth; qualitative feedback</w:t>
            </w:r>
          </w:p>
        </w:tc>
        <w:tc>
          <w:tcPr/>
          <w:p>
            <w:pPr>
              <w:pStyle w:val="Compact"/>
            </w:pPr>
            <w:r>
              <w:t xml:space="preserve">IRB approval; participant data; validation results; user feedback</w:t>
            </w:r>
          </w:p>
        </w:tc>
        <w:tc>
          <w:tcPr/>
          <w:p>
            <w:pPr>
              <w:pStyle w:val="Compact"/>
            </w:pPr>
            <w:r>
              <w:t xml:space="preserve">Ethical compliance; detection correlation r≥0.75; positive user reception</w:t>
            </w:r>
          </w:p>
        </w:tc>
      </w:tr>
      <w:tr>
        <w:tc>
          <w:tcPr/>
          <w:p>
            <w:pPr>
              <w:pStyle w:val="Compact"/>
            </w:pPr>
            <w:r>
              <w:rPr>
                <w:b/>
                <w:bCs/>
              </w:rPr>
              <w:t xml:space="preserve">Phase 6: Analysis &amp; Writing</w:t>
            </w:r>
          </w:p>
        </w:tc>
        <w:tc>
          <w:tcPr/>
          <w:p>
            <w:pPr>
              <w:pStyle w:val="Compact"/>
            </w:pPr>
            <w:r>
              <w:t xml:space="preserve">17-19</w:t>
            </w:r>
          </w:p>
        </w:tc>
        <w:tc>
          <w:tcPr/>
          <w:p>
            <w:pPr>
              <w:pStyle w:val="Compact"/>
            </w:pPr>
            <w:r>
              <w:t xml:space="preserve">Statistical analysis; visualization; preliminary study writing; limitation analysis; thesis outline</w:t>
            </w:r>
          </w:p>
        </w:tc>
        <w:tc>
          <w:tcPr/>
          <w:p>
            <w:pPr>
              <w:pStyle w:val="Compact"/>
            </w:pPr>
            <w:r>
              <w:t xml:space="preserve">Complete preliminary study document; publication-quality figures; thesis proposal</w:t>
            </w:r>
          </w:p>
        </w:tc>
        <w:tc>
          <w:tcPr/>
          <w:p>
            <w:pPr>
              <w:pStyle w:val="Compact"/>
            </w:pPr>
            <w:r>
              <w:t xml:space="preserve">Comprehensive analysis; clear contributions; honest limitations; thesis roadmap</w:t>
            </w:r>
          </w:p>
        </w:tc>
      </w:tr>
      <w:tr>
        <w:tc>
          <w:tcPr/>
          <w:p>
            <w:pPr>
              <w:pStyle w:val="Compact"/>
            </w:pPr>
            <w:r>
              <w:rPr>
                <w:b/>
                <w:bCs/>
              </w:rPr>
              <w:t xml:space="preserve">Phase 7: Finalization</w:t>
            </w:r>
          </w:p>
        </w:tc>
        <w:tc>
          <w:tcPr/>
          <w:p>
            <w:pPr>
              <w:pStyle w:val="Compact"/>
            </w:pPr>
            <w:r>
              <w:t xml:space="preserve">20</w:t>
            </w:r>
          </w:p>
        </w:tc>
        <w:tc>
          <w:tcPr/>
          <w:p>
            <w:pPr>
              <w:pStyle w:val="Compact"/>
            </w:pPr>
            <w:r>
              <w:t xml:space="preserve">Supervisor feedback integration; peer review; final QA; presentation preparation; handover documentation</w:t>
            </w:r>
          </w:p>
        </w:tc>
        <w:tc>
          <w:tcPr/>
          <w:p>
            <w:pPr>
              <w:pStyle w:val="Compact"/>
            </w:pPr>
            <w:r>
              <w:t xml:space="preserve">Final preliminary study v2.0; presentation slides; code repository; handover docs</w:t>
            </w:r>
          </w:p>
        </w:tc>
        <w:tc>
          <w:tcPr/>
          <w:p>
            <w:pPr>
              <w:pStyle w:val="Compact"/>
            </w:pPr>
            <w:r>
              <w:t xml:space="preserve">Publication-ready document; clear presentation; reproducible artifacts; smooth handover</w:t>
            </w: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ethics board consultation.</w:t>
      </w:r>
    </w:p>
    <w:bookmarkEnd w:id="44"/>
    <w:bookmarkStart w:id="45"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providers (GPT-4, Claude) ready; thesis phase human evaluation fallback (n=30-50); scope adjustment gates (e.g., evaluator &lt;0.75 → switch to human sample).</w:t>
      </w:r>
    </w:p>
    <w:p>
      <w:pPr>
        <w:pStyle w:val="BodyText"/>
      </w:pPr>
      <w:r>
        <w:rPr>
          <w:b/>
          <w:bCs/>
        </w:rPr>
        <w:t xml:space="preserve">Monitoring:</w:t>
      </w:r>
      <w:r>
        <w:t xml:space="preserve"> </w:t>
      </w:r>
      <w:r>
        <w:t xml:space="preserve">Weekly KPI tracking: JSON compliance ≥99.5%, EMA stabilization ≥80%, evaluator consistency ≥0.85, p95 latency &lt;2.0s, zero privacy incidents.</w:t>
      </w:r>
    </w:p>
    <w:p>
      <w:r>
        <w:pict>
          <v:rect style="width:0;height:1.5pt" o:hralign="center" o:hrstd="t" o:hr="t"/>
        </w:pict>
      </w:r>
    </w:p>
    <w:bookmarkEnd w:id="45"/>
    <w:bookmarkEnd w:id="46"/>
    <w:bookmarkStart w:id="49" w:name="X0b6bd03affd569351e788153e072d60d574c3c8"/>
    <w:p>
      <w:pPr>
        <w:pStyle w:val="Heading2"/>
      </w:pPr>
      <w:r>
        <w:t xml:space="preserve">7. Limitations and Future Work</w:t>
      </w:r>
    </w:p>
    <w:bookmarkStart w:id="47" w:name="Xb4eaed7b412bda8e344c518dd6211b230b532b5"/>
    <w:p>
      <w:pPr>
        <w:pStyle w:val="Heading3"/>
      </w:pPr>
      <w:r>
        <w:t xml:space="preserve">7.1 Current Study Limitations</w:t>
      </w:r>
    </w:p>
    <w:p>
      <w:pPr>
        <w:pStyle w:val="FirstParagraph"/>
      </w:pPr>
      <w:r>
        <w:rPr>
          <w:b/>
          <w:bCs/>
        </w:rPr>
        <w:t xml:space="preserve">Critical Scope Limitation:</w:t>
      </w:r>
      <w:r>
        <w:t xml:space="preserve"> </w:t>
      </w:r>
      <w:r>
        <w:t xml:space="preserve">This preliminary study is a</w:t>
      </w:r>
      <w:r>
        <w:t xml:space="preserve"> </w:t>
      </w:r>
      <w:r>
        <w:rPr>
          <w:b/>
          <w:bCs/>
        </w:rPr>
        <w:t xml:space="preserve">design specification and architectural proposal</w:t>
      </w:r>
      <w:r>
        <w:t xml:space="preserve"> </w:t>
      </w:r>
      <w:r>
        <w:t xml:space="preserve">without empirical data collection or implementation. All claims about system performance, convergence rates, and effectiveness represent</w:t>
      </w:r>
      <w:r>
        <w:t xml:space="preserve"> </w:t>
      </w:r>
      <w:r>
        <w:rPr>
          <w:b/>
          <w:bCs/>
        </w:rPr>
        <w:t xml:space="preserve">design intentions and targets</w:t>
      </w:r>
      <w:r>
        <w:t xml:space="preserve"> </w:t>
      </w:r>
      <w:r>
        <w:t xml:space="preserve">rather than validated findings. The study provides:</w:t>
      </w:r>
    </w:p>
    <w:p>
      <w:pPr>
        <w:pStyle w:val="Compact"/>
        <w:numPr>
          <w:ilvl w:val="0"/>
          <w:numId w:val="1025"/>
        </w:numPr>
      </w:pPr>
      <w:r>
        <w:t xml:space="preserve">Architectural specifications (JSON contracts, workflow design, database schema)</w:t>
      </w:r>
    </w:p>
    <w:p>
      <w:pPr>
        <w:pStyle w:val="Compact"/>
        <w:numPr>
          <w:ilvl w:val="0"/>
          <w:numId w:val="1025"/>
        </w:numPr>
      </w:pPr>
      <w:r>
        <w:t xml:space="preserve">Theoretical framework (Zurich Model operationalization, EMA smoothing algorithm)</w:t>
      </w:r>
    </w:p>
    <w:p>
      <w:pPr>
        <w:pStyle w:val="Compact"/>
        <w:numPr>
          <w:ilvl w:val="0"/>
          <w:numId w:val="1025"/>
        </w:numPr>
      </w:pPr>
      <w:r>
        <w:t xml:space="preserve">Planned evaluation methodology and success criteria</w:t>
      </w:r>
    </w:p>
    <w:p>
      <w:pPr>
        <w:pStyle w:val="FirstParagraph"/>
      </w:pPr>
      <w:r>
        <w:rPr>
          <w:b/>
          <w:bCs/>
        </w:rPr>
        <w:t xml:space="preserve">What is NOT included:</w:t>
      </w:r>
      <w:r>
        <w:t xml:space="preserve"> </w:t>
      </w:r>
      <w:r>
        <w:t xml:space="preserve">Actual implementation, collected conversation data, performance measurements, or any statistical validation. All empirical claims require thesis-phase validation.</w:t>
      </w:r>
    </w:p>
    <w:p>
      <w:pPr>
        <w:pStyle w:val="BodyText"/>
      </w:pPr>
      <w:r>
        <w:rPr>
          <w:b/>
          <w:bCs/>
        </w:rPr>
        <w:t xml:space="preserve">Methodological:</w:t>
      </w:r>
      <w:r>
        <w:t xml:space="preserve"> </w:t>
      </w:r>
      <w:r>
        <w:t xml:space="preserve">No human participant data collected; thesis requires N≥250 simulated conversations and n=30-50 human participants with formal power analysis. EMA parameters (α=0.3, thresholds 0.4/0.7) derived from time-series literature require validation against ground-truth personality assessments (BFI-44). Simulated design scenarios require ecological validity testing.</w:t>
      </w:r>
    </w:p>
    <w:p>
      <w:pPr>
        <w:pStyle w:val="BodyText"/>
      </w:pPr>
      <w:r>
        <w:rPr>
          <w:b/>
          <w:bCs/>
        </w:rPr>
        <w:t xml:space="preserve">Technical:</w:t>
      </w:r>
      <w:r>
        <w:t xml:space="preserve"> </w:t>
      </w:r>
      <w:r>
        <w:t xml:space="preserve">Trait-to-directive mappings may exhibit intersectional bias without cultural context consideration. Policy pack domain transfer (&lt;30 min claim) requires timed validation experiments. Computational cost analysis based on 2024 pricing requires longitudinal monitoring.</w:t>
      </w:r>
    </w:p>
    <w:p>
      <w:pPr>
        <w:pStyle w:val="BodyText"/>
      </w:pPr>
      <w:r>
        <w:rPr>
          <w:b/>
          <w:bCs/>
        </w:rPr>
        <w:t xml:space="preserve">Generalizability:</w:t>
      </w:r>
      <w:r>
        <w:t xml:space="preserve"> </w:t>
      </w:r>
      <w:r>
        <w:t xml:space="preserve">Single use case (workplace coaching) limits transferability; thesis will pilot education/customer service. Big Five framework predominantly validated in WEIRD populations; cross-cultural adaptation deferred. English-only system; multilingual support planned for future work.</w:t>
      </w:r>
    </w:p>
    <w:bookmarkEnd w:id="47"/>
    <w:bookmarkStart w:id="48" w:name="X83e278d6283ecd34567d40012a5e967446db273"/>
    <w:p>
      <w:pPr>
        <w:pStyle w:val="Heading3"/>
      </w:pPr>
      <w:r>
        <w:t xml:space="preserve">7.2 Future Research Directions</w:t>
      </w:r>
    </w:p>
    <w:p>
      <w:pPr>
        <w:pStyle w:val="FirstParagraph"/>
      </w:pPr>
      <w:r>
        <w:t xml:space="preserve">Future work includes human validation (n=150), cross-cultural adaptation, multimodal personality detection (voice, facial expression), longitudinal trait evolution tracking, and clinical application with IRB oversight. The thesis phase addresses immediate limitations through stratified sampling, expert directive review, and memory-personality hybrid comparison studies.</w:t>
      </w:r>
    </w:p>
    <w:p>
      <w:r>
        <w:pict>
          <v:rect style="width:0;height:1.5pt" o:hralign="center" o:hrstd="t" o:hr="t"/>
        </w:pict>
      </w:r>
    </w:p>
    <w:bookmarkEnd w:id="48"/>
    <w:bookmarkEnd w:id="49"/>
    <w:bookmarkStart w:id="81"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0">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1">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2">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53">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54">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5">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6">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7">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58">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r>
        <w:t xml:space="preserve"> </w:t>
      </w:r>
      <w:r>
        <w:rPr>
          <w:i/>
          <w:iCs/>
        </w:rPr>
        <w:t xml:space="preserve">Note: Completed December 2024; available from HSLU institutional repository upon request.</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9">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60">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61">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62">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63">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64">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5">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6">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7">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8">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69">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70">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71">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72">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73">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74">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5">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6">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7">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8">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9">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80">
        <w:r>
          <w:rPr>
            <w:rStyle w:val="Hyperlink"/>
          </w:rPr>
          <w:t xml:space="preserve">https://doi.org/10.48550/arXiv.2308.11584</w:t>
        </w:r>
      </w:hyperlink>
    </w:p>
    <w:p>
      <w:r>
        <w:pict>
          <v:rect style="width:0;height:1.5pt" o:hralign="center" o:hrstd="t" o:hr="t"/>
        </w:pict>
      </w:r>
    </w:p>
    <w:bookmarkEnd w:id="81"/>
    <w:bookmarkStart w:id="86"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82"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26"/>
        </w:numPr>
      </w:pPr>
      <w:r>
        <w:t xml:space="preserve">This prompt is executed by the Verification Node in the N8N workflow (see Section 4.1, Table 3)</w:t>
      </w:r>
    </w:p>
    <w:p>
      <w:pPr>
        <w:pStyle w:val="Compact"/>
        <w:numPr>
          <w:ilvl w:val="0"/>
          <w:numId w:val="1026"/>
        </w:numPr>
      </w:pPr>
      <w:r>
        <w:t xml:space="preserve">Model: GPT-4 or Gemini-1.5-Pro with temperature=0 for consistency</w:t>
      </w:r>
    </w:p>
    <w:p>
      <w:pPr>
        <w:pStyle w:val="Compact"/>
        <w:numPr>
          <w:ilvl w:val="0"/>
          <w:numId w:val="1026"/>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26"/>
        </w:numPr>
      </w:pPr>
      <w:r>
        <w:t xml:space="preserve">Output is parsed using regex pattern to extract five criterion scores</w:t>
      </w:r>
    </w:p>
    <w:p>
      <w:pPr>
        <w:pStyle w:val="Compact"/>
        <w:numPr>
          <w:ilvl w:val="0"/>
          <w:numId w:val="1026"/>
        </w:numPr>
      </w:pPr>
      <w:r>
        <w:t xml:space="preserve">Failed parses default to neutral baseline scores (all "Partial") to maintain workflow stability</w:t>
      </w:r>
    </w:p>
    <w:bookmarkEnd w:id="82"/>
    <w:bookmarkStart w:id="83"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perfectly 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Highly relevant, coherent response. Partial: Generally relevant. No: Off-topic/incoherent.</w:t>
            </w:r>
          </w:p>
        </w:tc>
      </w:tr>
      <w:tr>
        <w:tc>
          <w:tcPr/>
          <w:p>
            <w:pPr>
              <w:pStyle w:val="Compact"/>
            </w:pPr>
            <w:r>
              <w:rPr>
                <w:b/>
                <w:bCs/>
              </w:rPr>
              <w:t xml:space="preserve">Personality Needs</w:t>
            </w:r>
          </w:p>
        </w:tc>
        <w:tc>
          <w:tcPr/>
          <w:p>
            <w:pPr>
              <w:pStyle w:val="Compact"/>
            </w:pPr>
            <w: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83"/>
    <w:bookmarkStart w:id="84" w:name="appendix-c-glossary-of-key-terms"/>
    <w:p>
      <w:pPr>
        <w:pStyle w:val="Heading3"/>
      </w:pPr>
      <w:r>
        <w:t xml:space="preserve">Appendix C.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Profile Type</w:t>
            </w:r>
          </w:p>
        </w:tc>
        <w:tc>
          <w:tcPr/>
          <w:p>
            <w:pPr>
              <w:pStyle w:val="Compact"/>
            </w:pPr>
            <w:r>
              <w:t xml:space="preserve">O</w:t>
            </w:r>
          </w:p>
        </w:tc>
        <w:tc>
          <w:tcPr/>
          <w:p>
            <w:pPr>
              <w:pStyle w:val="Compact"/>
            </w:pPr>
            <w:r>
              <w:t xml:space="preserve">C</w:t>
            </w:r>
          </w:p>
        </w:tc>
        <w:tc>
          <w:tcPr/>
          <w:p>
            <w:pPr>
              <w:pStyle w:val="Compact"/>
            </w:pPr>
            <w:r>
              <w:t xml:space="preserve">E</w:t>
            </w:r>
          </w:p>
        </w:tc>
        <w:tc>
          <w:tcPr/>
          <w:p>
            <w:pPr>
              <w:pStyle w:val="Compact"/>
            </w:pPr>
            <w:r>
              <w:t xml:space="preserve">A</w:t>
            </w:r>
          </w:p>
        </w:tc>
        <w:tc>
          <w:tcPr/>
          <w:p>
            <w:pPr>
              <w:pStyle w:val="Compact"/>
            </w:pPr>
            <w:r>
              <w:t xml:space="preserve">N</w:t>
            </w:r>
          </w:p>
        </w:tc>
        <w:tc>
          <w:tcPr/>
          <w:p>
            <w:pPr>
              <w:pStyle w:val="Compact"/>
            </w:pPr>
            <w:r>
              <w:t xml:space="preserve">Behavioral Characteristics</w:t>
            </w:r>
          </w:p>
        </w:tc>
        <w:tc>
          <w:tcPr/>
          <w:p>
            <w:pPr>
              <w:pStyle w:val="Compact"/>
            </w:pPr>
            <w:r>
              <w:t xml:space="preserve">Use in Study</w:t>
            </w:r>
          </w:p>
        </w:tc>
      </w:tr>
      <w:tr>
        <w:tc>
          <w:tcPr/>
          <w:p>
            <w:pPr>
              <w:pStyle w:val="Compact"/>
            </w:pPr>
            <w:r>
              <w:rPr>
                <w:b/>
                <w:bCs/>
              </w:rPr>
              <w:t xml:space="preserve">Type A: High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(low)</w:t>
            </w:r>
          </w:p>
        </w:tc>
        <w:tc>
          <w:tcPr/>
          <w:p>
            <w:pPr>
              <w:pStyle w:val="Compact"/>
            </w:pPr>
            <w:r>
              <w:t xml:space="preserve">Curious, organized, sociable, cooperative, emotionally stable. Responds well to novelty, structure, collaborative tone, and confident guidance.</w:t>
            </w:r>
          </w:p>
        </w:tc>
        <w:tc>
          <w:tcPr/>
          <w:p>
            <w:pPr>
              <w:pStyle w:val="Compact"/>
            </w:pPr>
            <w:r>
              <w:t xml:space="preserve">Tests system adaptation to highly functional, proactive users</w:t>
            </w:r>
          </w:p>
        </w:tc>
      </w:tr>
      <w:tr>
        <w:tc>
          <w:tcPr/>
          <w:p>
            <w:pPr>
              <w:pStyle w:val="Compact"/>
            </w:pPr>
            <w:r>
              <w:rPr>
                <w:b/>
                <w:bCs/>
              </w:rPr>
              <w:t xml:space="preserve">Type B: Low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(high)</w:t>
            </w:r>
          </w:p>
        </w:tc>
        <w:tc>
          <w:tcPr/>
          <w:p>
            <w:pPr>
              <w:pStyle w:val="Compact"/>
            </w:pPr>
            <w:r>
              <w:t xml:space="preserve">Prefers familiarity, flexible plans, solitary work, autonomy, and reassurance. Needs calm tone, familiar examples, and extra emotional support.</w:t>
            </w:r>
          </w:p>
        </w:tc>
        <w:tc>
          <w:tcPr/>
          <w:p>
            <w:pPr>
              <w:pStyle w:val="Compact"/>
            </w:pPr>
            <w:r>
              <w:t xml:space="preserve">Tests system adaptation to anxious, cautious users requiring sensitivity</w:t>
            </w:r>
          </w:p>
        </w:tc>
      </w:tr>
      <w:tr>
        <w:tc>
          <w:tcPr/>
          <w:p>
            <w:pPr>
              <w:pStyle w:val="Compact"/>
            </w:pPr>
            <w:r>
              <w:rPr>
                <w:b/>
                <w:bCs/>
              </w:rPr>
              <w:t xml:space="preserve">Type C: Mixed/Balanced</w:t>
            </w:r>
          </w:p>
        </w:tc>
        <w:tc>
          <w:tcPr/>
          <w:p>
            <w:pPr>
              <w:pStyle w:val="Compact"/>
            </w:pPr>
            <w:r>
              <w:t xml:space="preserve">+0.3</w:t>
            </w:r>
          </w:p>
        </w:tc>
        <w:tc>
          <w:tcPr/>
          <w:p>
            <w:pPr>
              <w:pStyle w:val="Compact"/>
            </w:pPr>
            <w:r>
              <w:t xml:space="preserve">-0.4</w:t>
            </w:r>
          </w:p>
        </w:tc>
        <w:tc>
          <w:tcPr/>
          <w:p>
            <w:pPr>
              <w:pStyle w:val="Compact"/>
            </w:pPr>
            <w:r>
              <w:t xml:space="preserve">+0.6</w:t>
            </w:r>
          </w:p>
        </w:tc>
        <w:tc>
          <w:tcPr/>
          <w:p>
            <w:pPr>
              <w:pStyle w:val="Compact"/>
            </w:pPr>
            <w:r>
              <w:t xml:space="preserve">+0.2</w:t>
            </w:r>
          </w:p>
        </w:tc>
        <w:tc>
          <w:tcPr/>
          <w:p>
            <w:pPr>
              <w:pStyle w:val="Compact"/>
            </w:pPr>
            <w:r>
              <w:t xml:space="preserve">-0.5</w:t>
            </w:r>
          </w:p>
        </w:tc>
        <w:tc>
          <w:tcPr/>
          <w:p>
            <w:pPr>
              <w:pStyle w:val="Compact"/>
            </w:pPr>
            <w:r>
              <w:t xml:space="preserve">Moderate curiosity, low structure preference, high sociability, moderate cooperation, moderate stability. Requires nuanced, multi-dimensional adaptation.</w:t>
            </w:r>
          </w:p>
        </w:tc>
        <w:tc>
          <w:tcPr/>
          <w:p>
            <w:pPr>
              <w:pStyle w:val="Compact"/>
            </w:pPr>
            <w:r>
              <w:t xml:space="preserve">Tests system's ability to handle realistic, complex personality profiles</w:t>
            </w:r>
          </w:p>
        </w:tc>
      </w:tr>
    </w:tbl>
    <w:p>
      <w:pPr>
        <w:pStyle w:val="BodyText"/>
      </w:pPr>
      <w:r>
        <w:rPr>
          <w:i/>
          <w:iCs/>
        </w:rPr>
        <w:t xml:space="preserve">Notes:</w:t>
      </w:r>
    </w:p>
    <w:p>
      <w:pPr>
        <w:pStyle w:val="Compact"/>
        <w:numPr>
          <w:ilvl w:val="0"/>
          <w:numId w:val="1027"/>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27"/>
        </w:numPr>
      </w:pPr>
      <w:r>
        <w:t xml:space="preserve">Simulation uses these archetypes to ensure system handles full spectrum of personality variation.</w:t>
      </w:r>
    </w:p>
    <w:p>
      <w:pPr>
        <w:pStyle w:val="Compact"/>
        <w:numPr>
          <w:ilvl w:val="0"/>
          <w:numId w:val="1027"/>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(JavaScript Object Notation):</w:t>
      </w:r>
      <w:r>
        <w:t xml:space="preserve"> </w:t>
      </w:r>
      <w:r>
        <w:t xml:space="preserve">A lightweight, machine-parsable data interchange format using key-value pairs and arrays. Enables structured data exchange between system components with strict schema validation.</w:t>
      </w:r>
    </w:p>
    <w:p>
      <w:pPr>
        <w:pStyle w:val="BodyText"/>
      </w:pPr>
      <w:r>
        <w:rPr>
          <w:b/>
          <w:bCs/>
        </w:rPr>
        <w:t xml:space="preserve">JSON Contracts:</w:t>
      </w:r>
      <w:r>
        <w:t xml:space="preserve"> </w:t>
      </w:r>
      <w:r>
        <w:t xml:space="preserve">Standardized data formats using JSON that define the exact structure of inputs and outputs for each system module, ensuring interoperability and enabling systematic testing.</w:t>
      </w:r>
    </w:p>
    <w:p>
      <w:pPr>
        <w:pStyle w:val="BodyText"/>
      </w:pPr>
      <w:r>
        <w:rPr>
          <w:b/>
          <w:bCs/>
        </w:rPr>
        <w:t xml:space="preserve">YAML (Yet Another Markup Language):</w:t>
      </w:r>
      <w:r>
        <w:t xml:space="preserve"> </w:t>
      </w:r>
      <w:r>
        <w:t xml:space="preserve">A human-readable data serialization format commonly used for configuration files. More verbose than JSON but easier for manual editing and maintenance.</w:t>
      </w:r>
    </w:p>
    <w:p>
      <w:pPr>
        <w:pStyle w:val="BodyText"/>
      </w:pPr>
      <w:r>
        <w:rPr>
          <w:b/>
          <w:bCs/>
        </w:rPr>
        <w:t xml:space="preserve">Policy Packs:</w:t>
      </w:r>
      <w:r>
        <w:t xml:space="preserve"> </w:t>
      </w:r>
      <w:r>
        <w:t xml:space="preserve">Modular configuration files (YAML or JSON format) that encapsulate domain-specific behavioral rules, coaching modes, and regulation directives. Enable rapid domain transfer without code modification. YAML preferred for human readability; JSON for machine processing.</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28"/>
        </w:numPr>
      </w:pPr>
      <w:r>
        <w:rPr>
          <w:b/>
          <w:bCs/>
        </w:rPr>
        <w:t xml:space="preserve">Grounded response:</w:t>
      </w:r>
      <w:r>
        <w:t xml:space="preserve"> </w:t>
      </w:r>
      <w:r>
        <w:t xml:space="preserve">"You mentioned feeling overwhelmed by deadlines. Let's prioritize your tasks." → Directly references user's stated concern</w:t>
      </w:r>
    </w:p>
    <w:p>
      <w:pPr>
        <w:pStyle w:val="Compact"/>
        <w:numPr>
          <w:ilvl w:val="0"/>
          <w:numId w:val="1028"/>
        </w:numPr>
      </w:pPr>
      <w:r>
        <w:rPr>
          <w:b/>
          <w:bCs/>
        </w:rPr>
        <w:t xml:space="preserve">Hallucinated response:</w:t>
      </w:r>
      <w:r>
        <w:t xml:space="preserve"> </w:t>
      </w:r>
      <w:r>
        <w:t xml:space="preserve">"I see you're working on the Smith project with tight deadlines." → Fabricates specific project details not mentioned by user</w:t>
      </w:r>
    </w:p>
    <w:p>
      <w:pPr>
        <w:pStyle w:val="Compact"/>
        <w:numPr>
          <w:ilvl w:val="0"/>
          <w:numId w:val="1028"/>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29"/>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29"/>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29"/>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29"/>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84"/>
    <w:bookmarkStart w:id="85" w:name="appendix-d-data-management-and-ethics"/>
    <w:p>
      <w:pPr>
        <w:pStyle w:val="Heading3"/>
      </w:pPr>
      <w:r>
        <w:t xml:space="preserve">Appendix D.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85"/>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9" Target="https://doi.org/10.1007/978-3-031-53302-0_25" TargetMode="External" /><Relationship Type="http://schemas.openxmlformats.org/officeDocument/2006/relationships/hyperlink" Id="rId52" Target="https://doi.org/10.1007/s11205-020-02304-z" TargetMode="External" /><Relationship Type="http://schemas.openxmlformats.org/officeDocument/2006/relationships/hyperlink" Id="rId61" Target="https://doi.org/10.1007/s41233-020-00033-2" TargetMode="External" /><Relationship Type="http://schemas.openxmlformats.org/officeDocument/2006/relationships/hyperlink" Id="rId78" Target="https://doi.org/10.1016/j.jrp.2010.04.001" TargetMode="External" /><Relationship Type="http://schemas.openxmlformats.org/officeDocument/2006/relationships/hyperlink" Id="rId57" Target="https://doi.org/10.1016/j.socscimed.2011.11.028" TargetMode="External" /><Relationship Type="http://schemas.openxmlformats.org/officeDocument/2006/relationships/hyperlink" Id="rId66" Target="https://doi.org/10.1037/0022-3514.88.3.547" TargetMode="External" /><Relationship Type="http://schemas.openxmlformats.org/officeDocument/2006/relationships/hyperlink" Id="rId55" Target="https://doi.org/10.1037/1040-3590.4.1.5" TargetMode="External" /><Relationship Type="http://schemas.openxmlformats.org/officeDocument/2006/relationships/hyperlink" Id="rId71" Target="https://doi.org/10.1037/pspp0000020" TargetMode="External" /><Relationship Type="http://schemas.openxmlformats.org/officeDocument/2006/relationships/hyperlink" Id="rId73" Target="https://doi.org/10.1101/19000414" TargetMode="External" /><Relationship Type="http://schemas.openxmlformats.org/officeDocument/2006/relationships/hyperlink" Id="rId56" Target="https://doi.org/10.1109/ICCBD-AI59465.2023.00064" TargetMode="External" /><Relationship Type="http://schemas.openxmlformats.org/officeDocument/2006/relationships/hyperlink" Id="rId51" Target="https://doi.org/10.1109/MSP.2021.3106890" TargetMode="External" /><Relationship Type="http://schemas.openxmlformats.org/officeDocument/2006/relationships/hyperlink" Id="rId54" Target="https://doi.org/10.1111/1467-6494.00112" TargetMode="External" /><Relationship Type="http://schemas.openxmlformats.org/officeDocument/2006/relationships/hyperlink" Id="rId65" Target="https://doi.org/10.1111/j.1467-6494.1992.tb00970.x" TargetMode="External" /><Relationship Type="http://schemas.openxmlformats.org/officeDocument/2006/relationships/hyperlink" Id="rId53" Target="https://doi.org/10.1111/jopy.12797" TargetMode="External" /><Relationship Type="http://schemas.openxmlformats.org/officeDocument/2006/relationships/hyperlink" Id="rId72" Target="https://doi.org/10.1111/jopy.12805" TargetMode="External" /><Relationship Type="http://schemas.openxmlformats.org/officeDocument/2006/relationships/hyperlink" Id="rId60" Target="https://doi.org/10.1145/3613905.3650964" TargetMode="External" /><Relationship Type="http://schemas.openxmlformats.org/officeDocument/2006/relationships/hyperlink" Id="rId75" Target="https://doi.org/10.1145/3631700.3665185" TargetMode="External" /><Relationship Type="http://schemas.openxmlformats.org/officeDocument/2006/relationships/hyperlink" Id="rId64" Target="https://doi.org/10.1177/0898264317704533" TargetMode="External" /><Relationship Type="http://schemas.openxmlformats.org/officeDocument/2006/relationships/hyperlink" Id="rId69" Target="https://doi.org/10.1177/2333721415582119" TargetMode="External" /><Relationship Type="http://schemas.openxmlformats.org/officeDocument/2006/relationships/hyperlink" Id="rId63" Target="https://doi.org/10.1207/S15327566IJCE0401_04" TargetMode="External" /><Relationship Type="http://schemas.openxmlformats.org/officeDocument/2006/relationships/hyperlink" Id="rId62" Target="https://doi.org/10.1371/journal.pone.0219663" TargetMode="External" /><Relationship Type="http://schemas.openxmlformats.org/officeDocument/2006/relationships/hyperlink" Id="rId76" Target="https://doi.org/10.2196/16235" TargetMode="External" /><Relationship Type="http://schemas.openxmlformats.org/officeDocument/2006/relationships/hyperlink" Id="rId74" Target="https://doi.org/10.2196/24712" TargetMode="External" /><Relationship Type="http://schemas.openxmlformats.org/officeDocument/2006/relationships/hyperlink" Id="rId77" Target="https://doi.org/10.24251/HICSS.2022.200" TargetMode="External" /><Relationship Type="http://schemas.openxmlformats.org/officeDocument/2006/relationships/hyperlink" Id="rId68" Target="https://doi.org/10.48550/arXiv.2209.14338" TargetMode="External" /><Relationship Type="http://schemas.openxmlformats.org/officeDocument/2006/relationships/hyperlink" Id="rId80" Target="https://doi.org/10.48550/arXiv.2308.11584" TargetMode="External" /><Relationship Type="http://schemas.openxmlformats.org/officeDocument/2006/relationships/hyperlink" Id="rId50" Target="https://doi.org/10.48550/arXiv.2310.02374" TargetMode="External" /><Relationship Type="http://schemas.openxmlformats.org/officeDocument/2006/relationships/hyperlink" Id="rId79" Target="https://doi.org/10.48550/arXiv.2403.15699" TargetMode="External" /><Relationship Type="http://schemas.openxmlformats.org/officeDocument/2006/relationships/hyperlink" Id="rId58" Target="https://doi.org/10.48550/arXiv.2407.19096" TargetMode="External" /><Relationship Type="http://schemas.openxmlformats.org/officeDocument/2006/relationships/hyperlink" Id="rId67" Target="https://github.com/mem0ai/mem0" TargetMode="External" /><Relationship Type="http://schemas.openxmlformats.org/officeDocument/2006/relationships/hyperlink" Id="rId70"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07/978-3-031-53302-0_25" TargetMode="External" /><Relationship Type="http://schemas.openxmlformats.org/officeDocument/2006/relationships/hyperlink" Id="rId52" Target="https://doi.org/10.1007/s11205-020-02304-z" TargetMode="External" /><Relationship Type="http://schemas.openxmlformats.org/officeDocument/2006/relationships/hyperlink" Id="rId61" Target="https://doi.org/10.1007/s41233-020-00033-2" TargetMode="External" /><Relationship Type="http://schemas.openxmlformats.org/officeDocument/2006/relationships/hyperlink" Id="rId78" Target="https://doi.org/10.1016/j.jrp.2010.04.001" TargetMode="External" /><Relationship Type="http://schemas.openxmlformats.org/officeDocument/2006/relationships/hyperlink" Id="rId57" Target="https://doi.org/10.1016/j.socscimed.2011.11.028" TargetMode="External" /><Relationship Type="http://schemas.openxmlformats.org/officeDocument/2006/relationships/hyperlink" Id="rId66" Target="https://doi.org/10.1037/0022-3514.88.3.547" TargetMode="External" /><Relationship Type="http://schemas.openxmlformats.org/officeDocument/2006/relationships/hyperlink" Id="rId55" Target="https://doi.org/10.1037/1040-3590.4.1.5" TargetMode="External" /><Relationship Type="http://schemas.openxmlformats.org/officeDocument/2006/relationships/hyperlink" Id="rId71" Target="https://doi.org/10.1037/pspp0000020" TargetMode="External" /><Relationship Type="http://schemas.openxmlformats.org/officeDocument/2006/relationships/hyperlink" Id="rId73" Target="https://doi.org/10.1101/19000414" TargetMode="External" /><Relationship Type="http://schemas.openxmlformats.org/officeDocument/2006/relationships/hyperlink" Id="rId56" Target="https://doi.org/10.1109/ICCBD-AI59465.2023.00064" TargetMode="External" /><Relationship Type="http://schemas.openxmlformats.org/officeDocument/2006/relationships/hyperlink" Id="rId51" Target="https://doi.org/10.1109/MSP.2021.3106890" TargetMode="External" /><Relationship Type="http://schemas.openxmlformats.org/officeDocument/2006/relationships/hyperlink" Id="rId54" Target="https://doi.org/10.1111/1467-6494.00112" TargetMode="External" /><Relationship Type="http://schemas.openxmlformats.org/officeDocument/2006/relationships/hyperlink" Id="rId65" Target="https://doi.org/10.1111/j.1467-6494.1992.tb00970.x" TargetMode="External" /><Relationship Type="http://schemas.openxmlformats.org/officeDocument/2006/relationships/hyperlink" Id="rId53" Target="https://doi.org/10.1111/jopy.12797" TargetMode="External" /><Relationship Type="http://schemas.openxmlformats.org/officeDocument/2006/relationships/hyperlink" Id="rId72" Target="https://doi.org/10.1111/jopy.12805" TargetMode="External" /><Relationship Type="http://schemas.openxmlformats.org/officeDocument/2006/relationships/hyperlink" Id="rId60" Target="https://doi.org/10.1145/3613905.3650964" TargetMode="External" /><Relationship Type="http://schemas.openxmlformats.org/officeDocument/2006/relationships/hyperlink" Id="rId75" Target="https://doi.org/10.1145/3631700.3665185" TargetMode="External" /><Relationship Type="http://schemas.openxmlformats.org/officeDocument/2006/relationships/hyperlink" Id="rId64" Target="https://doi.org/10.1177/0898264317704533" TargetMode="External" /><Relationship Type="http://schemas.openxmlformats.org/officeDocument/2006/relationships/hyperlink" Id="rId69" Target="https://doi.org/10.1177/2333721415582119" TargetMode="External" /><Relationship Type="http://schemas.openxmlformats.org/officeDocument/2006/relationships/hyperlink" Id="rId63" Target="https://doi.org/10.1207/S15327566IJCE0401_04" TargetMode="External" /><Relationship Type="http://schemas.openxmlformats.org/officeDocument/2006/relationships/hyperlink" Id="rId62" Target="https://doi.org/10.1371/journal.pone.0219663" TargetMode="External" /><Relationship Type="http://schemas.openxmlformats.org/officeDocument/2006/relationships/hyperlink" Id="rId76" Target="https://doi.org/10.2196/16235" TargetMode="External" /><Relationship Type="http://schemas.openxmlformats.org/officeDocument/2006/relationships/hyperlink" Id="rId74" Target="https://doi.org/10.2196/24712" TargetMode="External" /><Relationship Type="http://schemas.openxmlformats.org/officeDocument/2006/relationships/hyperlink" Id="rId77" Target="https://doi.org/10.24251/HICSS.2022.200" TargetMode="External" /><Relationship Type="http://schemas.openxmlformats.org/officeDocument/2006/relationships/hyperlink" Id="rId68" Target="https://doi.org/10.48550/arXiv.2209.14338" TargetMode="External" /><Relationship Type="http://schemas.openxmlformats.org/officeDocument/2006/relationships/hyperlink" Id="rId80" Target="https://doi.org/10.48550/arXiv.2308.11584" TargetMode="External" /><Relationship Type="http://schemas.openxmlformats.org/officeDocument/2006/relationships/hyperlink" Id="rId50" Target="https://doi.org/10.48550/arXiv.2310.02374" TargetMode="External" /><Relationship Type="http://schemas.openxmlformats.org/officeDocument/2006/relationships/hyperlink" Id="rId79" Target="https://doi.org/10.48550/arXiv.2403.15699" TargetMode="External" /><Relationship Type="http://schemas.openxmlformats.org/officeDocument/2006/relationships/hyperlink" Id="rId58" Target="https://doi.org/10.48550/arXiv.2407.19096" TargetMode="External" /><Relationship Type="http://schemas.openxmlformats.org/officeDocument/2006/relationships/hyperlink" Id="rId67" Target="https://github.com/mem0ai/mem0" TargetMode="External" /><Relationship Type="http://schemas.openxmlformats.org/officeDocument/2006/relationships/hyperlink" Id="rId70"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2025-10-18T04:41:45Z</dcterms:created>
  <dcterms:modified xsi:type="dcterms:W3CDTF">2025-10-18T04:41:45Z</dcterms:modified>
</cp:coreProperties>
</file>

<file path=docProps/custom.xml><?xml version="1.0" encoding="utf-8"?>
<Properties xmlns="http://schemas.openxmlformats.org/officeDocument/2006/custom-properties" xmlns:vt="http://schemas.openxmlformats.org/officeDocument/2006/docPropsVTypes"/>
</file>