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A558E" w14:textId="2D769F28" w:rsidR="00603506" w:rsidRDefault="002F4D15">
      <w:pPr>
        <w:rPr>
          <w:b/>
          <w:bCs/>
        </w:rPr>
      </w:pPr>
      <w:r w:rsidRPr="002F4D15">
        <w:rPr>
          <w:b/>
          <w:bCs/>
        </w:rPr>
        <w:t>Research and references</w:t>
      </w:r>
      <w:r>
        <w:rPr>
          <w:b/>
          <w:bCs/>
        </w:rPr>
        <w:t>:</w:t>
      </w:r>
    </w:p>
    <w:p w14:paraId="4E1CF06A" w14:textId="77777777" w:rsidR="002F4D15" w:rsidRPr="002F4D15" w:rsidRDefault="002F4D15" w:rsidP="002F4D15">
      <w:pPr>
        <w:rPr>
          <w:b/>
          <w:bCs/>
        </w:rPr>
      </w:pPr>
      <w:r w:rsidRPr="002F4D15">
        <w:rPr>
          <w:b/>
          <w:bCs/>
        </w:rPr>
        <w:t>1. The Scale of India’s Informal Workforce</w:t>
      </w:r>
    </w:p>
    <w:p w14:paraId="473FEC6C" w14:textId="77777777" w:rsidR="002F4D15" w:rsidRPr="002F4D15" w:rsidRDefault="002F4D15" w:rsidP="002F4D15">
      <w:r w:rsidRPr="002F4D15">
        <w:t xml:space="preserve">The scale of informal employment in India is staggering. Research indicates that between </w:t>
      </w:r>
      <w:r w:rsidRPr="002F4D15">
        <w:rPr>
          <w:b/>
          <w:bCs/>
        </w:rPr>
        <w:t>91% and 92.4% of India’s total labor force</w:t>
      </w:r>
      <w:r w:rsidRPr="002F4D15">
        <w:t>—amounting to roughly 400 to 475 million individuals—operates in the informal or unorganized sector. Women constitute a highly vulnerable subset of this demographic, facing significant occupational health burdens and wage disparities.</w:t>
      </w:r>
    </w:p>
    <w:p w14:paraId="7A5DC3DF" w14:textId="77777777" w:rsidR="002F4D15" w:rsidRPr="002F4D15" w:rsidRDefault="002F4D15" w:rsidP="002F4D15">
      <w:r w:rsidRPr="002F4D15">
        <w:t>While traditional informal work dominates, the digital "gig economy" is rapidly becoming a substitute. Estimates suggest the gig workforce in India (which stood at around 7.7 million in 2021) is projected to expand to 23.5 million by 2030, absorbing a massive share of low- and medium-skilled workers.</w:t>
      </w:r>
    </w:p>
    <w:p w14:paraId="7A303DA4" w14:textId="77777777" w:rsidR="002F4D15" w:rsidRPr="002F4D15" w:rsidRDefault="002F4D15" w:rsidP="002F4D15">
      <w:pPr>
        <w:rPr>
          <w:b/>
          <w:bCs/>
        </w:rPr>
      </w:pPr>
      <w:r w:rsidRPr="002F4D15">
        <w:rPr>
          <w:b/>
          <w:bCs/>
        </w:rPr>
        <w:t>2. Gaps in Current Digital Job Platforms</w:t>
      </w:r>
    </w:p>
    <w:p w14:paraId="27B9B1B1" w14:textId="77777777" w:rsidR="002F4D15" w:rsidRPr="002F4D15" w:rsidRDefault="002F4D15" w:rsidP="002F4D15">
      <w:r w:rsidRPr="002F4D15">
        <w:t>Despite the proliferation of digital labor platforms, several systemic gaps prevent informal workers from accessing safe and sustainable employment:</w:t>
      </w:r>
    </w:p>
    <w:p w14:paraId="19E2A98C" w14:textId="77777777" w:rsidR="002F4D15" w:rsidRPr="002F4D15" w:rsidRDefault="002F4D15" w:rsidP="002F4D15">
      <w:pPr>
        <w:numPr>
          <w:ilvl w:val="0"/>
          <w:numId w:val="1"/>
        </w:numPr>
      </w:pPr>
      <w:r w:rsidRPr="002F4D15">
        <w:rPr>
          <w:b/>
          <w:bCs/>
        </w:rPr>
        <w:t>The Digital Divide:</w:t>
      </w:r>
      <w:r w:rsidRPr="002F4D15">
        <w:t xml:space="preserve"> There is a stark divide based on geography (urban vs. rural), gender, and income. Many informal workers lack consistent internet access or the digital literacy required to navigate complex user interfaces.</w:t>
      </w:r>
    </w:p>
    <w:p w14:paraId="278F15F6" w14:textId="77777777" w:rsidR="002F4D15" w:rsidRPr="002F4D15" w:rsidRDefault="002F4D15" w:rsidP="002F4D15">
      <w:pPr>
        <w:numPr>
          <w:ilvl w:val="0"/>
          <w:numId w:val="1"/>
        </w:numPr>
      </w:pPr>
      <w:r w:rsidRPr="002F4D15">
        <w:rPr>
          <w:b/>
          <w:bCs/>
        </w:rPr>
        <w:t>Reproduction of Informality:</w:t>
      </w:r>
      <w:r w:rsidRPr="002F4D15">
        <w:t xml:space="preserve"> Current platforms often act merely as intermediaries. Instead of formalizing work, they frequently reproduce "digital precarity." They bypass traditional employer-employee obligations, denying workers access to social security, health insurance, and paid leave.</w:t>
      </w:r>
    </w:p>
    <w:p w14:paraId="374A3763" w14:textId="77777777" w:rsidR="002F4D15" w:rsidRPr="002F4D15" w:rsidRDefault="002F4D15" w:rsidP="002F4D15">
      <w:pPr>
        <w:numPr>
          <w:ilvl w:val="0"/>
          <w:numId w:val="1"/>
        </w:numPr>
      </w:pPr>
      <w:r w:rsidRPr="002F4D15">
        <w:rPr>
          <w:b/>
          <w:bCs/>
        </w:rPr>
        <w:t>Algorithmic Control &amp; Asymmetry:</w:t>
      </w:r>
      <w:r w:rsidRPr="002F4D15">
        <w:t xml:space="preserve"> Existing platforms heavily utilize algorithmic management (e.g., automated ratings, dynamic pricing). These systems are generally opaque, stripping workers of autonomy and shifting the risk entirely onto them, while catering to the convenience of the consumer.</w:t>
      </w:r>
    </w:p>
    <w:p w14:paraId="353BB392" w14:textId="77777777" w:rsidR="002F4D15" w:rsidRPr="002F4D15" w:rsidRDefault="002F4D15" w:rsidP="002F4D15">
      <w:pPr>
        <w:rPr>
          <w:b/>
          <w:bCs/>
        </w:rPr>
      </w:pPr>
      <w:r w:rsidRPr="002F4D15">
        <w:rPr>
          <w:b/>
          <w:bCs/>
        </w:rPr>
        <w:t>3. Vulnerabilities of Specific Worker Categories</w:t>
      </w:r>
    </w:p>
    <w:p w14:paraId="4E64C360" w14:textId="77777777" w:rsidR="002F4D15" w:rsidRPr="002F4D15" w:rsidRDefault="002F4D15" w:rsidP="002F4D15">
      <w:r w:rsidRPr="002F4D15">
        <w:t>Certain job categories urgently require tailored digital solutions because of the intimate or localized nature of their work:</w:t>
      </w:r>
    </w:p>
    <w:p w14:paraId="0AA823D4" w14:textId="77777777" w:rsidR="002F4D15" w:rsidRPr="002F4D15" w:rsidRDefault="002F4D15" w:rsidP="002F4D15">
      <w:pPr>
        <w:numPr>
          <w:ilvl w:val="0"/>
          <w:numId w:val="2"/>
        </w:numPr>
      </w:pPr>
      <w:r w:rsidRPr="002F4D15">
        <w:rPr>
          <w:b/>
          <w:bCs/>
        </w:rPr>
        <w:t>Maids and Caretakers (Domestic Workers):</w:t>
      </w:r>
      <w:r w:rsidRPr="002F4D15">
        <w:t xml:space="preserve"> Domestic work is historically undervalued and invisible. Research on domestic labor platforms reveals a "catalogue effect": platforms increase visibility for clients to easily filter and select workers, but they commodify the laborers. Furthermore, because they work inside </w:t>
      </w:r>
      <w:r w:rsidRPr="002F4D15">
        <w:lastRenderedPageBreak/>
        <w:t xml:space="preserve">private homes, safety, physical security, and trust are paramount. They need platforms that verify </w:t>
      </w:r>
      <w:r w:rsidRPr="002F4D15">
        <w:rPr>
          <w:i/>
          <w:iCs/>
        </w:rPr>
        <w:t>employers</w:t>
      </w:r>
      <w:r w:rsidRPr="002F4D15">
        <w:t xml:space="preserve"> just as rigorously as they verify workers.</w:t>
      </w:r>
    </w:p>
    <w:p w14:paraId="6F732958" w14:textId="77777777" w:rsidR="002F4D15" w:rsidRPr="002F4D15" w:rsidRDefault="002F4D15" w:rsidP="002F4D15">
      <w:pPr>
        <w:numPr>
          <w:ilvl w:val="0"/>
          <w:numId w:val="2"/>
        </w:numPr>
      </w:pPr>
      <w:r w:rsidRPr="002F4D15">
        <w:rPr>
          <w:b/>
          <w:bCs/>
        </w:rPr>
        <w:t>Security Guards:</w:t>
      </w:r>
      <w:r w:rsidRPr="002F4D15">
        <w:t xml:space="preserve"> Often subjected to long hours, wage theft, and multi-tiered contracting layers that dilute their earnings. A transparent digital platform could eliminate exploitative middlemen and ensure direct, verified payment structures.</w:t>
      </w:r>
    </w:p>
    <w:p w14:paraId="3006110D" w14:textId="77777777" w:rsidR="002F4D15" w:rsidRPr="002F4D15" w:rsidRDefault="002F4D15" w:rsidP="002F4D15">
      <w:pPr>
        <w:numPr>
          <w:ilvl w:val="0"/>
          <w:numId w:val="2"/>
        </w:numPr>
      </w:pPr>
      <w:r w:rsidRPr="002F4D15">
        <w:rPr>
          <w:b/>
          <w:bCs/>
        </w:rPr>
        <w:t>Rickshawalas (Transport/Logistics):</w:t>
      </w:r>
      <w:r w:rsidRPr="002F4D15">
        <w:t xml:space="preserve"> This group is highly susceptible to daily income volatility and algorithmic manipulation by ride-hailing giants. They require platforms that offer transparent commission structures and collective grievance redressal mechanisms.</w:t>
      </w:r>
    </w:p>
    <w:p w14:paraId="73C8F1C4" w14:textId="77777777" w:rsidR="002F4D15" w:rsidRPr="002F4D15" w:rsidRDefault="002F4D15" w:rsidP="002F4D15">
      <w:pPr>
        <w:rPr>
          <w:b/>
          <w:bCs/>
        </w:rPr>
      </w:pPr>
      <w:r w:rsidRPr="002F4D15">
        <w:rPr>
          <w:b/>
          <w:bCs/>
        </w:rPr>
        <w:t>4. Existing Solutions and Essential Platform Features</w:t>
      </w:r>
    </w:p>
    <w:p w14:paraId="7EEFE86E" w14:textId="77777777" w:rsidR="002F4D15" w:rsidRPr="002F4D15" w:rsidRDefault="002F4D15" w:rsidP="002F4D15">
      <w:r w:rsidRPr="002F4D15">
        <w:t>Several platforms and initiatives are attempting to organize this sector, offering valuable lessons for your website's architecture:</w:t>
      </w:r>
    </w:p>
    <w:p w14:paraId="54B4CA75" w14:textId="77777777" w:rsidR="002F4D15" w:rsidRPr="002F4D15" w:rsidRDefault="002F4D15" w:rsidP="002F4D15">
      <w:pPr>
        <w:numPr>
          <w:ilvl w:val="0"/>
          <w:numId w:val="3"/>
        </w:numPr>
      </w:pPr>
      <w:r w:rsidRPr="002F4D15">
        <w:rPr>
          <w:b/>
          <w:bCs/>
        </w:rPr>
        <w:t>Government Initiatives (eShram):</w:t>
      </w:r>
      <w:r w:rsidRPr="002F4D15">
        <w:t xml:space="preserve"> Launched in 2021, the Indian government's </w:t>
      </w:r>
      <w:r w:rsidRPr="002F4D15">
        <w:rPr>
          <w:i/>
          <w:iCs/>
        </w:rPr>
        <w:t>eShram</w:t>
      </w:r>
      <w:r w:rsidRPr="002F4D15">
        <w:t xml:space="preserve"> portal is a centralized database seeded with Aadhaar. It assigns a Universal Account Number (UAN) to unorganized workers, capturing their skill sets to facilitate employment and deliver social security benefits. </w:t>
      </w:r>
      <w:r w:rsidRPr="002F4D15">
        <w:rPr>
          <w:b/>
          <w:bCs/>
        </w:rPr>
        <w:t>Takeaway:</w:t>
      </w:r>
      <w:r w:rsidRPr="002F4D15">
        <w:t xml:space="preserve"> Integration with government IDs (like Aadhaar) is a standard for scalable verification.</w:t>
      </w:r>
    </w:p>
    <w:p w14:paraId="53785D68" w14:textId="28202511" w:rsidR="002F4D15" w:rsidRPr="002F4D15" w:rsidRDefault="002F4D15" w:rsidP="002F4D15">
      <w:r w:rsidRPr="002F4D15">
        <w:rPr>
          <w:b/>
          <w:bCs/>
        </w:rPr>
        <w:t>Features to Emphasize</w:t>
      </w:r>
      <w:r>
        <w:rPr>
          <w:b/>
          <w:bCs/>
        </w:rPr>
        <w:t xml:space="preserve"> o</w:t>
      </w:r>
      <w:r w:rsidR="00DB0E82">
        <w:rPr>
          <w:b/>
          <w:bCs/>
        </w:rPr>
        <w:t>f</w:t>
      </w:r>
      <w:r>
        <w:rPr>
          <w:b/>
          <w:bCs/>
        </w:rPr>
        <w:t xml:space="preserve"> our</w:t>
      </w:r>
      <w:r w:rsidRPr="002F4D15">
        <w:rPr>
          <w:b/>
          <w:bCs/>
        </w:rPr>
        <w:t xml:space="preserve"> Website:</w:t>
      </w:r>
    </w:p>
    <w:p w14:paraId="4BA44908" w14:textId="77777777" w:rsidR="002F4D15" w:rsidRPr="002F4D15" w:rsidRDefault="002F4D15" w:rsidP="002F4D15">
      <w:pPr>
        <w:numPr>
          <w:ilvl w:val="0"/>
          <w:numId w:val="4"/>
        </w:numPr>
      </w:pPr>
      <w:r w:rsidRPr="002F4D15">
        <w:rPr>
          <w:b/>
          <w:bCs/>
        </w:rPr>
        <w:t>Hyper-Local &amp; Multilingual Accessibility:</w:t>
      </w:r>
      <w:r w:rsidRPr="002F4D15">
        <w:t xml:space="preserve"> Voice-first navigation and native language support to bypass literacy barriers.</w:t>
      </w:r>
    </w:p>
    <w:p w14:paraId="7892981C" w14:textId="77777777" w:rsidR="002F4D15" w:rsidRPr="002F4D15" w:rsidRDefault="002F4D15" w:rsidP="002F4D15">
      <w:pPr>
        <w:numPr>
          <w:ilvl w:val="0"/>
          <w:numId w:val="4"/>
        </w:numPr>
      </w:pPr>
      <w:r w:rsidRPr="002F4D15">
        <w:rPr>
          <w:b/>
          <w:bCs/>
        </w:rPr>
        <w:t>Two-Way Verification:</w:t>
      </w:r>
      <w:r w:rsidRPr="002F4D15">
        <w:t xml:space="preserve"> Mandatory identity and safety vetting for both the job seeker </w:t>
      </w:r>
      <w:r w:rsidRPr="002F4D15">
        <w:rPr>
          <w:i/>
          <w:iCs/>
        </w:rPr>
        <w:t>and</w:t>
      </w:r>
      <w:r w:rsidRPr="002F4D15">
        <w:t xml:space="preserve"> the employer to build mutual trust.</w:t>
      </w:r>
    </w:p>
    <w:p w14:paraId="2AE27311" w14:textId="77777777" w:rsidR="002F4D15" w:rsidRPr="002F4D15" w:rsidRDefault="002F4D15" w:rsidP="002F4D15">
      <w:pPr>
        <w:numPr>
          <w:ilvl w:val="0"/>
          <w:numId w:val="4"/>
        </w:numPr>
      </w:pPr>
      <w:r w:rsidRPr="002F4D15">
        <w:rPr>
          <w:b/>
          <w:bCs/>
        </w:rPr>
        <w:t>Transparent Earnings:</w:t>
      </w:r>
      <w:r w:rsidRPr="002F4D15">
        <w:t xml:space="preserve"> Clear, upfront displays of wages, hours, and expectations, devoid of hidden algorithmic penalties.</w:t>
      </w:r>
    </w:p>
    <w:p w14:paraId="1FF74650" w14:textId="77777777" w:rsidR="002F4D15" w:rsidRDefault="002F4D15"/>
    <w:p w14:paraId="08BA36A6" w14:textId="77777777" w:rsidR="002F4D15" w:rsidRDefault="002F4D15"/>
    <w:p w14:paraId="28B5C2D7" w14:textId="77777777" w:rsidR="002F4D15" w:rsidRDefault="002F4D15"/>
    <w:p w14:paraId="0D707256" w14:textId="77777777" w:rsidR="002F4D15" w:rsidRDefault="002F4D15"/>
    <w:p w14:paraId="5D6AF8B0" w14:textId="77777777" w:rsidR="002F4D15" w:rsidRDefault="002F4D15"/>
    <w:p w14:paraId="04EC643E" w14:textId="77777777" w:rsidR="002F4D15" w:rsidRDefault="002F4D15"/>
    <w:p w14:paraId="3C797908" w14:textId="77777777" w:rsidR="002F4D15" w:rsidRPr="002F4D15" w:rsidRDefault="002F4D15" w:rsidP="002F4D15">
      <w:pPr>
        <w:rPr>
          <w:b/>
          <w:bCs/>
        </w:rPr>
      </w:pPr>
      <w:r w:rsidRPr="002F4D15">
        <w:rPr>
          <w:b/>
          <w:bCs/>
        </w:rPr>
        <w:lastRenderedPageBreak/>
        <w:t>Sources Used</w:t>
      </w:r>
    </w:p>
    <w:p w14:paraId="1B24FF93" w14:textId="77777777" w:rsidR="002F4D15" w:rsidRPr="002F4D15" w:rsidRDefault="002F4D15" w:rsidP="002F4D15">
      <w:pPr>
        <w:numPr>
          <w:ilvl w:val="0"/>
          <w:numId w:val="5"/>
        </w:numPr>
      </w:pPr>
      <w:r w:rsidRPr="002F4D15">
        <w:rPr>
          <w:b/>
          <w:bCs/>
        </w:rPr>
        <w:t>Asian Development Bank Institute (ADBI) (2024):</w:t>
      </w:r>
      <w:r w:rsidRPr="002F4D15">
        <w:t xml:space="preserve"> </w:t>
      </w:r>
      <w:r w:rsidRPr="002F4D15">
        <w:rPr>
          <w:i/>
          <w:iCs/>
        </w:rPr>
        <w:t>ADB Institute Discussion Paper No. 1497</w:t>
      </w:r>
      <w:r w:rsidRPr="002F4D15">
        <w:t xml:space="preserve"> on the gig economy and mental health of informal workers in India.</w:t>
      </w:r>
    </w:p>
    <w:p w14:paraId="756D71CE" w14:textId="77777777" w:rsidR="002F4D15" w:rsidRPr="002F4D15" w:rsidRDefault="002F4D15" w:rsidP="002F4D15">
      <w:pPr>
        <w:numPr>
          <w:ilvl w:val="0"/>
          <w:numId w:val="5"/>
        </w:numPr>
      </w:pPr>
      <w:r w:rsidRPr="002F4D15">
        <w:rPr>
          <w:b/>
          <w:bCs/>
        </w:rPr>
        <w:t>International Institute of SDGS &amp; Public Policy Research (2025):</w:t>
      </w:r>
      <w:r w:rsidRPr="002F4D15">
        <w:t xml:space="preserve"> </w:t>
      </w:r>
      <w:r w:rsidRPr="002F4D15">
        <w:rPr>
          <w:i/>
          <w:iCs/>
        </w:rPr>
        <w:t>Bridging the Divide: Digital Public Infrastructure in the Informal Sector</w:t>
      </w:r>
      <w:r w:rsidRPr="002F4D15">
        <w:t>, detailing the digital divide and MSME vs. worker benefits.</w:t>
      </w:r>
    </w:p>
    <w:p w14:paraId="02B3F003" w14:textId="77777777" w:rsidR="002F4D15" w:rsidRPr="002F4D15" w:rsidRDefault="002F4D15" w:rsidP="002F4D15">
      <w:pPr>
        <w:numPr>
          <w:ilvl w:val="0"/>
          <w:numId w:val="5"/>
        </w:numPr>
      </w:pPr>
      <w:r w:rsidRPr="002F4D15">
        <w:rPr>
          <w:b/>
          <w:bCs/>
        </w:rPr>
        <w:t>F1000Research / Barik (2024):</w:t>
      </w:r>
      <w:r w:rsidRPr="002F4D15">
        <w:t xml:space="preserve"> </w:t>
      </w:r>
      <w:r w:rsidRPr="002F4D15">
        <w:rPr>
          <w:i/>
          <w:iCs/>
        </w:rPr>
        <w:t>Socio-economic Conditions &amp; Determinants of Income: A Tell of Informal Workers of Urban Odisha, India</w:t>
      </w:r>
      <w:r w:rsidRPr="002F4D15">
        <w:t>, providing statistics on the 91% informal workforce scale.</w:t>
      </w:r>
    </w:p>
    <w:p w14:paraId="4C0B6673" w14:textId="77777777" w:rsidR="002F4D15" w:rsidRPr="002F4D15" w:rsidRDefault="002F4D15" w:rsidP="002F4D15">
      <w:pPr>
        <w:numPr>
          <w:ilvl w:val="0"/>
          <w:numId w:val="5"/>
        </w:numPr>
      </w:pPr>
      <w:r w:rsidRPr="002F4D15">
        <w:rPr>
          <w:b/>
          <w:bCs/>
        </w:rPr>
        <w:t>Prabandhan: Indian Journal of Management / Bhattarai (2025):</w:t>
      </w:r>
      <w:r w:rsidRPr="002F4D15">
        <w:t xml:space="preserve"> </w:t>
      </w:r>
      <w:r w:rsidRPr="002F4D15">
        <w:rPr>
          <w:i/>
          <w:iCs/>
        </w:rPr>
        <w:t>An Analysis of India's Blooming Gig Workers</w:t>
      </w:r>
      <w:r w:rsidRPr="002F4D15">
        <w:t>, highlighting growth projections to 23.5 million by 2030.</w:t>
      </w:r>
    </w:p>
    <w:p w14:paraId="6C662EEE" w14:textId="77777777" w:rsidR="002F4D15" w:rsidRPr="002F4D15" w:rsidRDefault="002F4D15" w:rsidP="002F4D15">
      <w:pPr>
        <w:numPr>
          <w:ilvl w:val="0"/>
          <w:numId w:val="5"/>
        </w:numPr>
      </w:pPr>
      <w:r w:rsidRPr="002F4D15">
        <w:rPr>
          <w:b/>
          <w:bCs/>
        </w:rPr>
        <w:t>Alexandria UniSG / Pignolo (2024):</w:t>
      </w:r>
      <w:r w:rsidRPr="002F4D15">
        <w:t xml:space="preserve"> </w:t>
      </w:r>
      <w:r w:rsidRPr="002F4D15">
        <w:rPr>
          <w:i/>
          <w:iCs/>
        </w:rPr>
        <w:t>A “catalogue” for clients: domestic labour platforms, informality and (in)visibility</w:t>
      </w:r>
      <w:r w:rsidRPr="002F4D15">
        <w:t>, analyzing the dynamics of domestic work platforms.</w:t>
      </w:r>
    </w:p>
    <w:p w14:paraId="2723598C" w14:textId="77777777" w:rsidR="002F4D15" w:rsidRPr="002F4D15" w:rsidRDefault="002F4D15" w:rsidP="002F4D15">
      <w:pPr>
        <w:numPr>
          <w:ilvl w:val="0"/>
          <w:numId w:val="5"/>
        </w:numPr>
      </w:pPr>
      <w:r w:rsidRPr="002F4D15">
        <w:rPr>
          <w:b/>
          <w:bCs/>
        </w:rPr>
        <w:t>Data and Policy (Cambridge University Press) (2023):</w:t>
      </w:r>
      <w:r w:rsidRPr="002F4D15">
        <w:t xml:space="preserve"> </w:t>
      </w:r>
      <w:r w:rsidRPr="002F4D15">
        <w:rPr>
          <w:i/>
          <w:iCs/>
        </w:rPr>
        <w:t>Distributed data network: a case study of the Indian textile homeworkers</w:t>
      </w:r>
      <w:r w:rsidRPr="002F4D15">
        <w:t>, detailing the role of the eShram portal and Aadhaar.</w:t>
      </w:r>
    </w:p>
    <w:p w14:paraId="122F17B8" w14:textId="77777777" w:rsidR="002F4D15" w:rsidRPr="002F4D15" w:rsidRDefault="002F4D15" w:rsidP="002F4D15">
      <w:pPr>
        <w:numPr>
          <w:ilvl w:val="0"/>
          <w:numId w:val="5"/>
        </w:numPr>
      </w:pPr>
      <w:r w:rsidRPr="002F4D15">
        <w:rPr>
          <w:b/>
          <w:bCs/>
        </w:rPr>
        <w:t>BSmart Case Study Competition (2025):</w:t>
      </w:r>
      <w:r w:rsidRPr="002F4D15">
        <w:t xml:space="preserve"> </w:t>
      </w:r>
      <w:r w:rsidRPr="002F4D15">
        <w:rPr>
          <w:i/>
          <w:iCs/>
        </w:rPr>
        <w:t>The Rise, Stumble, and Reset: Journey of APNA app in India's Job-Tech Landscape</w:t>
      </w:r>
      <w:r w:rsidRPr="002F4D15">
        <w:t>.</w:t>
      </w:r>
    </w:p>
    <w:p w14:paraId="5DD8AE6E" w14:textId="77777777" w:rsidR="002F4D15" w:rsidRDefault="002F4D15"/>
    <w:sectPr w:rsidR="002F4D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05CBE"/>
    <w:multiLevelType w:val="multilevel"/>
    <w:tmpl w:val="7A7E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6F1E30"/>
    <w:multiLevelType w:val="multilevel"/>
    <w:tmpl w:val="BFA0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D53012"/>
    <w:multiLevelType w:val="multilevel"/>
    <w:tmpl w:val="DAF2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433CAE"/>
    <w:multiLevelType w:val="multilevel"/>
    <w:tmpl w:val="5EA2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FE24CD"/>
    <w:multiLevelType w:val="multilevel"/>
    <w:tmpl w:val="030C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4469238">
    <w:abstractNumId w:val="2"/>
  </w:num>
  <w:num w:numId="2" w16cid:durableId="2114738288">
    <w:abstractNumId w:val="0"/>
  </w:num>
  <w:num w:numId="3" w16cid:durableId="809174866">
    <w:abstractNumId w:val="4"/>
  </w:num>
  <w:num w:numId="4" w16cid:durableId="428547295">
    <w:abstractNumId w:val="1"/>
  </w:num>
  <w:num w:numId="5" w16cid:durableId="6752259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ED6"/>
    <w:rsid w:val="00163946"/>
    <w:rsid w:val="002F4D15"/>
    <w:rsid w:val="00603506"/>
    <w:rsid w:val="00806ED6"/>
    <w:rsid w:val="008E3BB5"/>
    <w:rsid w:val="00DB0E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4106A"/>
  <w15:chartTrackingRefBased/>
  <w15:docId w15:val="{17E43624-B1AD-4C16-AB29-6EA6788DE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E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6E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E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E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E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E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E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E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E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E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E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E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E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E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E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E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E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ED6"/>
    <w:rPr>
      <w:rFonts w:eastAsiaTheme="majorEastAsia" w:cstheme="majorBidi"/>
      <w:color w:val="272727" w:themeColor="text1" w:themeTint="D8"/>
    </w:rPr>
  </w:style>
  <w:style w:type="paragraph" w:styleId="Title">
    <w:name w:val="Title"/>
    <w:basedOn w:val="Normal"/>
    <w:next w:val="Normal"/>
    <w:link w:val="TitleChar"/>
    <w:uiPriority w:val="10"/>
    <w:qFormat/>
    <w:rsid w:val="00806E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E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E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E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ED6"/>
    <w:pPr>
      <w:spacing w:before="160"/>
      <w:jc w:val="center"/>
    </w:pPr>
    <w:rPr>
      <w:i/>
      <w:iCs/>
      <w:color w:val="404040" w:themeColor="text1" w:themeTint="BF"/>
    </w:rPr>
  </w:style>
  <w:style w:type="character" w:customStyle="1" w:styleId="QuoteChar">
    <w:name w:val="Quote Char"/>
    <w:basedOn w:val="DefaultParagraphFont"/>
    <w:link w:val="Quote"/>
    <w:uiPriority w:val="29"/>
    <w:rsid w:val="00806ED6"/>
    <w:rPr>
      <w:i/>
      <w:iCs/>
      <w:color w:val="404040" w:themeColor="text1" w:themeTint="BF"/>
    </w:rPr>
  </w:style>
  <w:style w:type="paragraph" w:styleId="ListParagraph">
    <w:name w:val="List Paragraph"/>
    <w:basedOn w:val="Normal"/>
    <w:uiPriority w:val="34"/>
    <w:qFormat/>
    <w:rsid w:val="00806ED6"/>
    <w:pPr>
      <w:ind w:left="720"/>
      <w:contextualSpacing/>
    </w:pPr>
  </w:style>
  <w:style w:type="character" w:styleId="IntenseEmphasis">
    <w:name w:val="Intense Emphasis"/>
    <w:basedOn w:val="DefaultParagraphFont"/>
    <w:uiPriority w:val="21"/>
    <w:qFormat/>
    <w:rsid w:val="00806ED6"/>
    <w:rPr>
      <w:i/>
      <w:iCs/>
      <w:color w:val="0F4761" w:themeColor="accent1" w:themeShade="BF"/>
    </w:rPr>
  </w:style>
  <w:style w:type="paragraph" w:styleId="IntenseQuote">
    <w:name w:val="Intense Quote"/>
    <w:basedOn w:val="Normal"/>
    <w:next w:val="Normal"/>
    <w:link w:val="IntenseQuoteChar"/>
    <w:uiPriority w:val="30"/>
    <w:qFormat/>
    <w:rsid w:val="00806E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ED6"/>
    <w:rPr>
      <w:i/>
      <w:iCs/>
      <w:color w:val="0F4761" w:themeColor="accent1" w:themeShade="BF"/>
    </w:rPr>
  </w:style>
  <w:style w:type="character" w:styleId="IntenseReference">
    <w:name w:val="Intense Reference"/>
    <w:basedOn w:val="DefaultParagraphFont"/>
    <w:uiPriority w:val="32"/>
    <w:qFormat/>
    <w:rsid w:val="00806E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756</Words>
  <Characters>4312</Characters>
  <Application>Microsoft Office Word</Application>
  <DocSecurity>0</DocSecurity>
  <Lines>35</Lines>
  <Paragraphs>10</Paragraphs>
  <ScaleCrop>false</ScaleCrop>
  <Company/>
  <LinksUpToDate>false</LinksUpToDate>
  <CharactersWithSpaces>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 Tomar</dc:creator>
  <cp:keywords/>
  <dc:description/>
  <cp:lastModifiedBy>Jai Tomar</cp:lastModifiedBy>
  <cp:revision>3</cp:revision>
  <dcterms:created xsi:type="dcterms:W3CDTF">2026-05-12T17:03:00Z</dcterms:created>
  <dcterms:modified xsi:type="dcterms:W3CDTF">2026-05-12T17:13:00Z</dcterms:modified>
</cp:coreProperties>
</file>