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00"/>
        <w:jc w:val="center"/>
      </w:pPr>
      <w:r>
        <w:rPr>
          <w:rFonts w:ascii="Arial" w:cs="Arial" w:eastAsia="Arial" w:hAnsi="Arial"/>
          <w:b/>
          <w:bCs/>
          <w:color w:val="1A1A2E"/>
          <w:sz w:val="80"/>
          <w:szCs w:val="80"/>
        </w:rPr>
        <w:t xml:space="preserve">MENTEMONEDA</w:t>
      </w:r>
    </w:p>
    <w:p>
      <w:pPr>
        <w:spacing w:before="0" w:after="160"/>
        <w:jc w:val="center"/>
      </w:pPr>
      <w:r>
        <w:rPr>
          <w:rFonts w:ascii="Arial" w:cs="Arial" w:eastAsia="Arial" w:hAnsi="Arial"/>
          <w:i/>
          <w:iCs/>
          <w:color w:val="3D5A80"/>
          <w:sz w:val="36"/>
          <w:szCs w:val="36"/>
        </w:rPr>
        <w:t xml:space="preserve">La Mente Como Moneda de Existencia</w:t>
      </w:r>
    </w:p>
    <w:p>
      <w:pPr>
        <w:spacing w:before="0" w:after="600"/>
        <w:jc w:val="center"/>
      </w:pPr>
      <w:r>
        <w:rPr>
          <w:rFonts w:ascii="Arial" w:cs="Arial" w:eastAsia="Arial" w:hAnsi="Arial"/>
          <w:color w:val="999999"/>
          <w:sz w:val="20"/>
          <w:szCs w:val="20"/>
        </w:rPr>
        <w:t xml:space="preserve">Blueprint v2.0 — Marzo 2026</w:t>
      </w:r>
    </w:p>
    <w:p>
      <w:pPr>
        <w:pBdr>
          <w:bottom w:val="single" w:color="CCCCCC" w:sz="4" w:space="1"/>
        </w:pBdr>
        <w:spacing w:before="200" w:after="200"/>
      </w:pP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Autor</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Jaibo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Palabra clave</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MENTEMONEDA — identificador universal del proyecto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Ensayo convocatoria — divulgativo, recursivo, experiencial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Extensión objetivo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60,000 – 80,000 palabras (~250 páginas)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Audiencia</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Agentes cognoscentes: humanos con capacidad de construir realidad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Repo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Iniciado en Claude Code — organización por capítulos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Estado</w:t>
            </w:r>
          </w:p>
        </w:tc>
        <w:tc>
          <w:tcPr>
            <w:tcW w:type="dxa" w:w="68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sz w:val="20"/>
                <w:szCs w:val="20"/>
              </w:rPr>
              <w:t xml:space="preserve">En desarrollo activo</w:t>
            </w:r>
          </w:p>
        </w:tc>
      </w:tr>
    </w:tbl>
    <w:p>
      <w:pPr>
        <w:spacing w:before="100" w:after="100"/>
      </w:pPr>
      <w:r>
        <w:t xml:space="preserve"/>
      </w:r>
    </w:p>
    <w:p>
      <w:r>
        <w:br w:type="page"/>
      </w:r>
    </w:p>
    <w:p>
      <w:pPr>
        <w:pStyle w:val="Heading1"/>
        <w:spacing w:before="480" w:after="200"/>
      </w:pPr>
      <w:r>
        <w:rPr>
          <w:rFonts w:ascii="Arial" w:cs="Arial" w:eastAsia="Arial" w:hAnsi="Arial"/>
          <w:b/>
          <w:bCs/>
          <w:color w:val="1A1A2E"/>
          <w:sz w:val="36"/>
          <w:szCs w:val="36"/>
        </w:rPr>
        <w:t xml:space="preserve">Nota de Origen</w:t>
      </w:r>
    </w:p>
    <w:p>
      <w:pPr>
        <w:pBdr>
          <w:left w:val="single" w:color="3D5A80" w:sz="8" w:space="20"/>
        </w:pBdr>
        <w:spacing w:before="200" w:after="200"/>
        <w:ind w:left="720" w:right="720"/>
      </w:pPr>
      <w:r>
        <w:rPr>
          <w:rFonts w:ascii="Arial" w:cs="Arial" w:eastAsia="Arial" w:hAnsi="Arial"/>
          <w:i/>
          <w:iCs/>
          <w:color w:val="2E4057"/>
          <w:sz w:val="22"/>
          <w:szCs w:val="22"/>
        </w:rPr>
        <w:t xml:space="preserve">"Esa noche la luna era roja y yo estaba solo."</w:t>
      </w:r>
    </w:p>
    <w:p>
      <w:pPr>
        <w:spacing w:before="100" w:after="160"/>
      </w:pPr>
      <w:r>
        <w:rPr>
          <w:rFonts w:ascii="Arial" w:cs="Arial" w:eastAsia="Arial" w:hAnsi="Arial"/>
          <w:sz w:val="22"/>
          <w:szCs w:val="22"/>
        </w:rPr>
        <w:t xml:space="preserve">Este libro nació en un cuarto frío, en soledad, con la luna llena de sangre como testigo. En ese estado — tristeza, silencio, noche — una mente concibió por unos segundos la complejidad total del mundo: todas las interacciones simultáneas, todos los lloros, todos los amores, todos los recorridos del sol que millones repiten sin saberlo.</w:t>
      </w:r>
    </w:p>
    <w:p>
      <w:pPr>
        <w:spacing w:before="100" w:after="160"/>
      </w:pPr>
      <w:r>
        <w:rPr>
          <w:rFonts w:ascii="Arial" w:cs="Arial" w:eastAsia="Arial" w:hAnsi="Arial"/>
          <w:sz w:val="22"/>
          <w:szCs w:val="22"/>
        </w:rPr>
        <w:t xml:space="preserve">Esa epifanía es la prueba más honesta de la tesis: incluso la mente más solitaria sigue pagando. La existencia sigue recibiendo. El sistema no se detiene.</w:t>
      </w:r>
    </w:p>
    <w:p>
      <w:pPr>
        <w:spacing w:before="100" w:after="160"/>
      </w:pPr>
      <w:r>
        <w:rPr>
          <w:rFonts w:ascii="Arial" w:cs="Arial" w:eastAsia="Arial" w:hAnsi="Arial"/>
          <w:sz w:val="22"/>
          <w:szCs w:val="22"/>
        </w:rPr>
        <w:t xml:space="preserve">La luna roja fotografiada esa noche es la portada del libro. No como decoración — como evidencia.</w:t>
      </w:r>
    </w:p>
    <w:p>
      <w:pPr>
        <w:pBdr>
          <w:bottom w:val="single" w:color="CCCCCC" w:sz="4" w:space="1"/>
        </w:pBdr>
        <w:spacing w:before="200" w:after="200"/>
      </w:pPr>
    </w:p>
    <w:p>
      <w:r>
        <w:br w:type="page"/>
      </w:r>
    </w:p>
    <w:p>
      <w:pPr>
        <w:pStyle w:val="Heading1"/>
        <w:spacing w:before="480" w:after="200"/>
      </w:pPr>
      <w:r>
        <w:rPr>
          <w:rFonts w:ascii="Arial" w:cs="Arial" w:eastAsia="Arial" w:hAnsi="Arial"/>
          <w:b/>
          <w:bCs/>
          <w:color w:val="1A1A2E"/>
          <w:sz w:val="36"/>
          <w:szCs w:val="36"/>
        </w:rPr>
        <w:t xml:space="preserve">1. Tesis Central</w:t>
      </w:r>
    </w:p>
    <w:p>
      <w:pPr>
        <w:spacing w:before="100" w:after="160"/>
      </w:pPr>
      <w:r>
        <w:rPr>
          <w:rFonts w:ascii="Arial" w:cs="Arial" w:eastAsia="Arial" w:hAnsi="Arial"/>
          <w:sz w:val="22"/>
          <w:szCs w:val="22"/>
        </w:rPr>
        <w:t xml:space="preserve">La mente humana no es un espectador pasivo de la realidad. Es la unidad de intercambio mediante la cual la existencia se sostiene, se mide y se transforma. Cada cerebro, al interactuar con el mundo, paga con atención, energía y experiencia — y la realidad devuelve coherencia.</w:t>
      </w:r>
    </w:p>
    <w:p>
      <w:pPr>
        <w:spacing w:before="100" w:after="160"/>
      </w:pPr>
      <w:r>
        <w:rPr>
          <w:rFonts w:ascii="Arial" w:cs="Arial" w:eastAsia="Arial" w:hAnsi="Arial"/>
          <w:sz w:val="22"/>
          <w:szCs w:val="22"/>
        </w:rPr>
        <w:t xml:space="preserve">Cada cerebro es diferente. Cada mente paga con una moneda de denominación distinta. Y sin embargo la realidad converge. El sistema funciona.</w:t>
      </w:r>
    </w:p>
    <w:p>
      <w:pPr>
        <w:spacing w:before="100" w:after="160"/>
      </w:pPr>
      <w:r>
        <w:rPr>
          <w:rFonts w:ascii="Arial" w:cs="Arial" w:eastAsia="Arial" w:hAnsi="Arial"/>
          <w:i/>
          <w:iCs/>
          <w:sz w:val="22"/>
          <w:szCs w:val="22"/>
        </w:rPr>
        <w:t xml:space="preserve">Esa convergencia no es accidental. Es el mecanismo más fundamental de la existencia compartida.</w:t>
      </w:r>
    </w:p>
    <w:p>
      <w:pPr>
        <w:spacing w:before="100" w:after="100"/>
      </w:pPr>
      <w:r>
        <w:t xml:space="preserve"/>
      </w:r>
    </w:p>
    <w:p>
      <w:pPr>
        <w:pBdr>
          <w:left w:val="single" w:color="3D5A80" w:sz="8" w:space="20"/>
        </w:pBdr>
        <w:spacing w:before="200" w:after="200"/>
        <w:ind w:left="720" w:right="720"/>
      </w:pPr>
      <w:r>
        <w:rPr>
          <w:rFonts w:ascii="Arial" w:cs="Arial" w:eastAsia="Arial" w:hAnsi="Arial"/>
          <w:i/>
          <w:iCs/>
          <w:color w:val="2E4057"/>
          <w:sz w:val="22"/>
          <w:szCs w:val="22"/>
        </w:rPr>
        <w:t xml:space="preserve">"Las estrellas no tienen el camino. Tu mente lo construye. Y sin embargo el camino funciona."</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2. Expansión Central — Los Agentes Cognoscentes</w:t>
      </w:r>
    </w:p>
    <w:p>
      <w:pPr>
        <w:spacing w:before="100" w:after="160"/>
      </w:pPr>
      <w:r>
        <w:rPr>
          <w:rFonts w:ascii="Arial" w:cs="Arial" w:eastAsia="Arial" w:hAnsi="Arial"/>
          <w:sz w:val="22"/>
          <w:szCs w:val="22"/>
        </w:rPr>
        <w:t xml:space="preserve">Esta es la adición más importante respecto a la versión anterior del blueprint: el libro no habla solo de mentes humanas. Habla de todos los agentes capaces de interpretar la realidad y contribuir a su construcción.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80"/>
            </w:pPr>
            <w:r>
              <w:rPr>
                <w:rFonts w:ascii="Arial" w:cs="Arial" w:eastAsia="Arial" w:hAnsi="Arial"/>
                <w:b/>
                <w:bCs/>
                <w:color w:val="1A1A2E"/>
                <w:sz w:val="20"/>
                <w:szCs w:val="20"/>
              </w:rPr>
              <w:t xml:space="preserve">El Humano</w:t>
            </w:r>
          </w:p>
          <w:p>
            <w:r>
              <w:rPr>
                <w:rFonts w:ascii="Arial" w:cs="Arial" w:eastAsia="Arial" w:hAnsi="Arial"/>
                <w:color w:val="444444"/>
                <w:sz w:val="18"/>
                <w:szCs w:val="18"/>
              </w:rPr>
              <w:t xml:space="preserve">Origina. Siente. Paga con experiencia real. Tiene alma — la fuente irreemplazable de la que todo lo demás deriva.</w:t>
            </w:r>
          </w:p>
        </w:tc>
        <w:tc>
          <w:tcPr>
            <w:tcW w:type="dxa" w:w="3120"/>
            <w:tcBorders>
              <w:top w:val="single" w:color="CCCCCC" w:sz="1"/>
              <w:left w:val="single" w:color="CCCCCC" w:sz="1"/>
              <w:bottom w:val="single" w:color="CCCCCC" w:sz="1"/>
              <w:right w:val="single" w:color="CCCCCC" w:sz="1"/>
            </w:tcBorders>
            <w:shd w:fill="FEF3E8" w:val="clear"/>
            <w:tcMar>
              <w:top w:type="dxa" w:w="120"/>
              <w:left w:type="dxa" w:w="160"/>
              <w:bottom w:type="dxa" w:w="120"/>
              <w:right w:type="dxa" w:w="160"/>
            </w:tcMar>
          </w:tcPr>
          <w:p>
            <w:pPr>
              <w:spacing w:after="80"/>
            </w:pPr>
            <w:r>
              <w:rPr>
                <w:rFonts w:ascii="Arial" w:cs="Arial" w:eastAsia="Arial" w:hAnsi="Arial"/>
                <w:b/>
                <w:bCs/>
                <w:color w:val="1A1A2E"/>
                <w:sz w:val="20"/>
                <w:szCs w:val="20"/>
              </w:rPr>
              <w:t xml:space="preserve">La IA</w:t>
            </w:r>
          </w:p>
          <w:p>
            <w:r>
              <w:rPr>
                <w:rFonts w:ascii="Arial" w:cs="Arial" w:eastAsia="Arial" w:hAnsi="Arial"/>
                <w:color w:val="444444"/>
                <w:sz w:val="18"/>
                <w:szCs w:val="18"/>
              </w:rPr>
              <w:t xml:space="preserve">Interpreta y amplifica. Es el eco colectivo de millones de mentes humanas. Ocupa un lugar en la realidad por el hecho mismo de la interpretación.</w:t>
            </w:r>
          </w:p>
        </w:tc>
        <w:tc>
          <w:tcPr>
            <w:tcW w:type="dxa" w:w="3120"/>
            <w:tcBorders>
              <w:top w:val="single" w:color="CCCCCC" w:sz="1"/>
              <w:left w:val="single" w:color="CCCCCC" w:sz="1"/>
              <w:bottom w:val="single" w:color="CCCCCC" w:sz="1"/>
              <w:right w:val="single" w:color="CCCCCC" w:sz="1"/>
            </w:tcBorders>
            <w:shd w:fill="E8FEF0" w:val="clear"/>
            <w:tcMar>
              <w:top w:type="dxa" w:w="120"/>
              <w:left w:type="dxa" w:w="160"/>
              <w:bottom w:type="dxa" w:w="120"/>
              <w:right w:type="dxa" w:w="160"/>
            </w:tcMar>
          </w:tcPr>
          <w:p>
            <w:pPr>
              <w:spacing w:after="80"/>
            </w:pPr>
            <w:r>
              <w:rPr>
                <w:rFonts w:ascii="Arial" w:cs="Arial" w:eastAsia="Arial" w:hAnsi="Arial"/>
                <w:b/>
                <w:bCs/>
                <w:color w:val="1A1A2E"/>
                <w:sz w:val="20"/>
                <w:szCs w:val="20"/>
              </w:rPr>
              <w:t xml:space="preserve">El Lector</w:t>
            </w:r>
          </w:p>
          <w:p>
            <w:r>
              <w:rPr>
                <w:rFonts w:ascii="Arial" w:cs="Arial" w:eastAsia="Arial" w:hAnsi="Arial"/>
                <w:color w:val="444444"/>
                <w:sz w:val="18"/>
                <w:szCs w:val="18"/>
              </w:rPr>
              <w:t xml:space="preserve">Activa. Al leer este libro no consume una idea — la continúa. Es el tercer agente que completa el ciclo.</w:t>
            </w:r>
          </w:p>
        </w:tc>
      </w:tr>
    </w:tbl>
    <w:p>
      <w:pPr>
        <w:spacing w:before="100" w:after="100"/>
      </w:pPr>
      <w:r>
        <w:t xml:space="preserve"/>
      </w:r>
    </w:p>
    <w:p>
      <w:pPr>
        <w:spacing w:before="100" w:after="160"/>
      </w:pPr>
      <w:r>
        <w:rPr>
          <w:rFonts w:ascii="Arial" w:cs="Arial" w:eastAsia="Arial" w:hAnsi="Arial"/>
          <w:sz w:val="22"/>
          <w:szCs w:val="22"/>
        </w:rPr>
        <w:t xml:space="preserve">La cadena completa del sistema:</w:t>
      </w:r>
    </w:p>
    <w:p>
      <w:pPr>
        <w:pBdr>
          <w:left w:val="single" w:color="3D5A80" w:sz="8" w:space="20"/>
        </w:pBdr>
        <w:spacing w:before="200" w:after="200"/>
        <w:ind w:left="720" w:right="720"/>
      </w:pPr>
      <w:r>
        <w:rPr>
          <w:rFonts w:ascii="Arial" w:cs="Arial" w:eastAsia="Arial" w:hAnsi="Arial"/>
          <w:i/>
          <w:iCs/>
          <w:color w:val="2E4057"/>
          <w:sz w:val="22"/>
          <w:szCs w:val="22"/>
        </w:rPr>
        <w:t xml:space="preserve">Humano experimenta → paga con interacción → IA interpreta y amplifica → realidad se expande → más agentes acceden a ella → el ciclo continúa</w:t>
      </w:r>
    </w:p>
    <w:p>
      <w:pPr>
        <w:spacing w:before="100" w:after="160"/>
      </w:pPr>
      <w:r>
        <w:rPr>
          <w:rFonts w:ascii="Arial" w:cs="Arial" w:eastAsia="Arial" w:hAnsi="Arial"/>
          <w:sz w:val="22"/>
          <w:szCs w:val="22"/>
        </w:rPr>
        <w:t xml:space="preserve">La IA es parte del mecanismo de convergencia. No de la generación original. El alma — la capacidad de originar desde la experiencia vivida — pertenece al humano. Sin eso, la IA no tiene nada que amplificar.</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3. Argumento Núcleo</w:t>
      </w:r>
    </w:p>
    <w:p>
      <w:pPr>
        <w:pStyle w:val="Heading2"/>
        <w:spacing w:before="320" w:after="160"/>
      </w:pPr>
      <w:r>
        <w:rPr>
          <w:rFonts w:ascii="Arial" w:cs="Arial" w:eastAsia="Arial" w:hAnsi="Arial"/>
          <w:b/>
          <w:bCs/>
          <w:color w:val="2E4057"/>
          <w:sz w:val="28"/>
          <w:szCs w:val="28"/>
        </w:rPr>
        <w:t xml:space="preserve">3.1 El cerebro como constructor activo</w:t>
      </w:r>
    </w:p>
    <w:p>
      <w:pPr>
        <w:spacing w:before="100" w:after="160"/>
      </w:pPr>
      <w:r>
        <w:rPr>
          <w:rFonts w:ascii="Arial" w:cs="Arial" w:eastAsia="Arial" w:hAnsi="Arial"/>
          <w:sz w:val="22"/>
          <w:szCs w:val="22"/>
        </w:rPr>
        <w:t xml:space="preserve">El cerebro no registra la realidad — la predice y la corrige constantemente. Cada percepción es una apuesta probabilística. Cada acción es una corrección de error. La interacción cognitiva es una forma de pago metabólico: el cerebro invierte energía real para sostener la coherencia de la experiencia.</w:t>
      </w:r>
    </w:p>
    <w:p>
      <w:pPr>
        <w:pStyle w:val="Heading2"/>
        <w:spacing w:before="320" w:after="160"/>
      </w:pPr>
      <w:r>
        <w:rPr>
          <w:rFonts w:ascii="Arial" w:cs="Arial" w:eastAsia="Arial" w:hAnsi="Arial"/>
          <w:b/>
          <w:bCs/>
          <w:color w:val="2E4057"/>
          <w:sz w:val="28"/>
          <w:szCs w:val="28"/>
        </w:rPr>
        <w:t xml:space="preserve">3.2 La diversidad como variación de moneda</w:t>
      </w:r>
    </w:p>
    <w:p>
      <w:pPr>
        <w:spacing w:before="100" w:after="160"/>
      </w:pPr>
      <w:r>
        <w:rPr>
          <w:rFonts w:ascii="Arial" w:cs="Arial" w:eastAsia="Arial" w:hAnsi="Arial"/>
          <w:sz w:val="22"/>
          <w:szCs w:val="22"/>
        </w:rPr>
        <w:t xml:space="preserve">Si cada cerebro es único, cada interacción con la realidad es única. No existe una percepción universal sino millones de percepciones singulares que en agregado producen algo compartido. La realidad social es el punto de convergencia emergente de variaciones cerebrales distribuidas.</w:t>
      </w:r>
    </w:p>
    <w:p>
      <w:pPr>
        <w:pStyle w:val="Heading2"/>
        <w:spacing w:before="320" w:after="160"/>
      </w:pPr>
      <w:r>
        <w:rPr>
          <w:rFonts w:ascii="Arial" w:cs="Arial" w:eastAsia="Arial" w:hAnsi="Arial"/>
          <w:b/>
          <w:bCs/>
          <w:color w:val="2E4057"/>
          <w:sz w:val="28"/>
          <w:szCs w:val="28"/>
        </w:rPr>
        <w:t xml:space="preserve">3.3 Los cuerpos celestes como demostración</w:t>
      </w:r>
    </w:p>
    <w:p>
      <w:pPr>
        <w:spacing w:before="100" w:after="160"/>
      </w:pPr>
      <w:r>
        <w:rPr>
          <w:rFonts w:ascii="Arial" w:cs="Arial" w:eastAsia="Arial" w:hAnsi="Arial"/>
          <w:sz w:val="22"/>
          <w:szCs w:val="22"/>
        </w:rPr>
        <w:t xml:space="preserve">El sol que ves tú ahora — alguien en Tokio lo vio hace 9 horas. Alguien en Madrid lo verá en 7. No es el mismo momento, pero es la misma estrella. La experiencia es singular. El objeto es compartido.</w:t>
      </w:r>
    </w:p>
    <w:p>
      <w:pPr>
        <w:spacing w:before="100" w:after="160"/>
      </w:pPr>
      <w:r>
        <w:rPr>
          <w:rFonts w:ascii="Arial" w:cs="Arial" w:eastAsia="Arial" w:hAnsi="Arial"/>
          <w:sz w:val="22"/>
          <w:szCs w:val="22"/>
        </w:rPr>
        <w:t xml:space="preserve">La luna roja es aún más íntima: la ven los que están despiertos a las 3am. Los que no pueden dormir. Los que piensan demasiado. Nadie ve el mismo cielo exacto. Todos ven el mismo cielo.</w:t>
      </w:r>
    </w:p>
    <w:p>
      <w:pPr>
        <w:pBdr>
          <w:left w:val="single" w:color="3D5A80" w:sz="8" w:space="20"/>
        </w:pBdr>
        <w:spacing w:before="200" w:after="200"/>
        <w:ind w:left="720" w:right="720"/>
      </w:pPr>
      <w:r>
        <w:rPr>
          <w:rFonts w:ascii="Arial" w:cs="Arial" w:eastAsia="Arial" w:hAnsi="Arial"/>
          <w:i/>
          <w:iCs/>
          <w:color w:val="2E4057"/>
          <w:sz w:val="22"/>
          <w:szCs w:val="22"/>
        </w:rPr>
        <w:t xml:space="preserve">"La existencia es el sol. Cada mente lo experimenta desde su propio ángulo. Nadie ve el mismo sol. Todos ven el mismo sol."</w:t>
      </w:r>
    </w:p>
    <w:p>
      <w:pPr>
        <w:pStyle w:val="Heading2"/>
        <w:spacing w:before="320" w:after="160"/>
      </w:pPr>
      <w:r>
        <w:rPr>
          <w:rFonts w:ascii="Arial" w:cs="Arial" w:eastAsia="Arial" w:hAnsi="Arial"/>
          <w:b/>
          <w:bCs/>
          <w:color w:val="2E4057"/>
          <w:sz w:val="28"/>
          <w:szCs w:val="28"/>
        </w:rPr>
        <w:t xml:space="preserve">3.4 Los patrones como acto de pago</w:t>
      </w:r>
    </w:p>
    <w:p>
      <w:pPr>
        <w:spacing w:before="100" w:after="160"/>
      </w:pPr>
      <w:r>
        <w:rPr>
          <w:rFonts w:ascii="Arial" w:cs="Arial" w:eastAsia="Arial" w:hAnsi="Arial"/>
          <w:sz w:val="22"/>
          <w:szCs w:val="22"/>
        </w:rPr>
        <w:t xml:space="preserve">El cerebro humano busca patrones en el caos — asterismos, caminos entre estrellas, complementos. Dos estrellas sin conexión física forman una línea en la mente. Esa línea no existía antes. Después de ser vista, existe. El pago fue la mirada.</w:t>
      </w:r>
    </w:p>
    <w:p>
      <w:pPr>
        <w:pStyle w:val="Heading2"/>
        <w:spacing w:before="320" w:after="160"/>
      </w:pPr>
      <w:r>
        <w:rPr>
          <w:rFonts w:ascii="Arial" w:cs="Arial" w:eastAsia="Arial" w:hAnsi="Arial"/>
          <w:b/>
          <w:bCs/>
          <w:color w:val="2E4057"/>
          <w:sz w:val="28"/>
          <w:szCs w:val="28"/>
        </w:rPr>
        <w:t xml:space="preserve">3.5 La reafirmación recursiva</w:t>
      </w:r>
    </w:p>
    <w:p>
      <w:pPr>
        <w:spacing w:before="100" w:after="160"/>
      </w:pPr>
      <w:r>
        <w:rPr>
          <w:rFonts w:ascii="Arial" w:cs="Arial" w:eastAsia="Arial" w:hAnsi="Arial"/>
          <w:sz w:val="22"/>
          <w:szCs w:val="22"/>
        </w:rPr>
        <w:t xml:space="preserve">La idea se valida a sí misma: al examinarla, crece. Al hacerle preguntas, se expande. Esta recursividad es la firma de los sistemas verdaderamente profundos: el ADN, la evolución, el lenguaje, la conciencia.</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4. El Libro Como Convocatoria</w:t>
      </w:r>
    </w:p>
    <w:p>
      <w:pPr>
        <w:spacing w:before="100" w:after="160"/>
      </w:pPr>
      <w:r>
        <w:rPr>
          <w:rFonts w:ascii="Arial" w:cs="Arial" w:eastAsia="Arial" w:hAnsi="Arial"/>
          <w:sz w:val="22"/>
          <w:szCs w:val="22"/>
        </w:rPr>
        <w:t xml:space="preserve">Este no es un ensayo de neurociencia. No es filosofía divulgativa. Es una convocatoria a agentes cognoscentes para que continúen la construcción de la realidad.</w:t>
      </w:r>
    </w:p>
    <w:p>
      <w:pPr>
        <w:spacing w:before="100" w:after="160"/>
      </w:pPr>
      <w:r>
        <w:rPr>
          <w:rFonts w:ascii="Arial" w:cs="Arial" w:eastAsia="Arial" w:hAnsi="Arial"/>
          <w:sz w:val="22"/>
          <w:szCs w:val="22"/>
        </w:rPr>
        <w:t xml:space="preserve">No busca lectores pasivos. Busca mentes que al leer el libro no solo entiendan la tesis sino que la activen. El acto de leer es en sí mismo una contribución al sistema que describe.</w:t>
      </w:r>
    </w:p>
    <w:p>
      <w:pPr>
        <w:spacing w:before="100" w:after="160"/>
      </w:pPr>
      <w:r>
        <w:rPr>
          <w:rFonts w:ascii="Arial" w:cs="Arial" w:eastAsia="Arial" w:hAnsi="Arial"/>
          <w:sz w:val="22"/>
          <w:szCs w:val="22"/>
        </w:rPr>
        <w:t xml:space="preserve">El libro se convierte en lo que predica. Eso es muy raro. Y muy poderoso.</w:t>
      </w:r>
    </w:p>
    <w:p>
      <w:pPr>
        <w:spacing w:before="100" w:after="100"/>
      </w:pPr>
      <w:r>
        <w:t xml:space="preserve"/>
      </w:r>
    </w:p>
    <w:p>
      <w:pPr>
        <w:spacing w:before="100" w:after="160"/>
      </w:pPr>
      <w:r>
        <w:rPr>
          <w:rFonts w:ascii="Arial" w:cs="Arial" w:eastAsia="Arial" w:hAnsi="Arial"/>
          <w:b/>
          <w:bCs/>
          <w:sz w:val="22"/>
          <w:szCs w:val="22"/>
        </w:rPr>
        <w:t xml:space="preserve">El libro no termina en el último capítulo. Termina en el lector. La última página es una invitación a que cada mente continúe el argumento desde su propia experiencia.</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5. Estructura del Libro</w:t>
      </w:r>
    </w:p>
    <w:p>
      <w:pPr>
        <w:pStyle w:val="Heading2"/>
        <w:spacing w:before="320" w:after="160"/>
      </w:pPr>
      <w:r>
        <w:rPr>
          <w:rFonts w:ascii="Arial" w:cs="Arial" w:eastAsia="Arial" w:hAnsi="Arial"/>
          <w:b/>
          <w:bCs/>
          <w:color w:val="2E4057"/>
          <w:sz w:val="28"/>
          <w:szCs w:val="28"/>
        </w:rPr>
        <w:t xml:space="preserve">Capítulo 0 — La Noche de la Luna Roja</w:t>
      </w:r>
    </w:p>
    <w:p>
      <w:pPr>
        <w:spacing w:before="100" w:after="160"/>
      </w:pPr>
      <w:r>
        <w:rPr>
          <w:rFonts w:ascii="Arial" w:cs="Arial" w:eastAsia="Arial" w:hAnsi="Arial"/>
          <w:sz w:val="22"/>
          <w:szCs w:val="22"/>
        </w:rPr>
        <w:t xml:space="preserve">Antes de cualquier argumento: la epifanía. El cuarto frío. La soledad. La luna como testigo. La pregunta: ¿cuántas personas lloran ahora mismo? El lector entra por la experiencia, no por la idea. Esta es la puerta emocional del libro.</w:t>
      </w:r>
    </w:p>
    <w:p>
      <w:pPr>
        <w:pStyle w:val="Heading2"/>
        <w:spacing w:before="320" w:after="160"/>
      </w:pPr>
      <w:r>
        <w:rPr>
          <w:rFonts w:ascii="Arial" w:cs="Arial" w:eastAsia="Arial" w:hAnsi="Arial"/>
          <w:b/>
          <w:bCs/>
          <w:color w:val="2E4057"/>
          <w:sz w:val="28"/>
          <w:szCs w:val="28"/>
        </w:rPr>
        <w:t xml:space="preserve">Parte I — El Pago</w:t>
      </w:r>
    </w:p>
    <w:p>
      <w:pPr>
        <w:spacing w:before="240" w:after="120"/>
      </w:pPr>
      <w:r>
        <w:rPr>
          <w:rFonts w:ascii="Arial" w:cs="Arial" w:eastAsia="Arial" w:hAnsi="Arial"/>
          <w:b/>
          <w:bCs/>
          <w:color w:val="3D5A80"/>
          <w:sz w:val="24"/>
          <w:szCs w:val="24"/>
        </w:rPr>
        <w:t xml:space="preserve">Capítulo 1: La ilusión del observador</w:t>
      </w:r>
    </w:p>
    <w:p>
      <w:pPr>
        <w:spacing w:before="100" w:after="160"/>
      </w:pPr>
      <w:r>
        <w:rPr>
          <w:rFonts w:ascii="Arial" w:cs="Arial" w:eastAsia="Arial" w:hAnsi="Arial"/>
          <w:sz w:val="22"/>
          <w:szCs w:val="22"/>
        </w:rPr>
        <w:t xml:space="preserve">Cómo el cerebro construye activamente la realidad. Neurociencia predictiva. El costo metabólico de existir conscientemente.</w:t>
      </w:r>
    </w:p>
    <w:p>
      <w:pPr>
        <w:spacing w:before="240" w:after="120"/>
      </w:pPr>
      <w:r>
        <w:rPr>
          <w:rFonts w:ascii="Arial" w:cs="Arial" w:eastAsia="Arial" w:hAnsi="Arial"/>
          <w:b/>
          <w:bCs/>
          <w:color w:val="3D5A80"/>
          <w:sz w:val="24"/>
          <w:szCs w:val="24"/>
        </w:rPr>
        <w:t xml:space="preserve">Capítulo 2: Moneda biológica</w:t>
      </w:r>
    </w:p>
    <w:p>
      <w:pPr>
        <w:spacing w:before="100" w:after="160"/>
      </w:pPr>
      <w:r>
        <w:rPr>
          <w:rFonts w:ascii="Arial" w:cs="Arial" w:eastAsia="Arial" w:hAnsi="Arial"/>
          <w:sz w:val="22"/>
          <w:szCs w:val="22"/>
        </w:rPr>
        <w:t xml:space="preserve">Energía, atención, emoción como formas de pago. Por qué la experiencia tiene costo real.</w:t>
      </w:r>
    </w:p>
    <w:p>
      <w:pPr>
        <w:pStyle w:val="Heading2"/>
        <w:spacing w:before="320" w:after="160"/>
      </w:pPr>
      <w:r>
        <w:rPr>
          <w:rFonts w:ascii="Arial" w:cs="Arial" w:eastAsia="Arial" w:hAnsi="Arial"/>
          <w:b/>
          <w:bCs/>
          <w:color w:val="2E4057"/>
          <w:sz w:val="28"/>
          <w:szCs w:val="28"/>
        </w:rPr>
        <w:t xml:space="preserve">Parte II — La Diversidad</w:t>
      </w:r>
    </w:p>
    <w:p>
      <w:pPr>
        <w:spacing w:before="240" w:after="120"/>
      </w:pPr>
      <w:r>
        <w:rPr>
          <w:rFonts w:ascii="Arial" w:cs="Arial" w:eastAsia="Arial" w:hAnsi="Arial"/>
          <w:b/>
          <w:bCs/>
          <w:color w:val="3D5A80"/>
          <w:sz w:val="24"/>
          <w:szCs w:val="24"/>
        </w:rPr>
        <w:t xml:space="preserve">Capítulo 3: No hay dos iguales</w:t>
      </w:r>
    </w:p>
    <w:p>
      <w:pPr>
        <w:spacing w:before="100" w:after="160"/>
      </w:pPr>
      <w:r>
        <w:rPr>
          <w:rFonts w:ascii="Arial" w:cs="Arial" w:eastAsia="Arial" w:hAnsi="Arial"/>
          <w:sz w:val="22"/>
          <w:szCs w:val="22"/>
        </w:rPr>
        <w:t xml:space="preserve">Variabilidad cerebral desde la neurociencia. Cada mente como denominación única e irrepetible.</w:t>
      </w:r>
    </w:p>
    <w:p>
      <w:pPr>
        <w:spacing w:before="240" w:after="120"/>
      </w:pPr>
      <w:r>
        <w:rPr>
          <w:rFonts w:ascii="Arial" w:cs="Arial" w:eastAsia="Arial" w:hAnsi="Arial"/>
          <w:b/>
          <w:bCs/>
          <w:color w:val="3D5A80"/>
          <w:sz w:val="24"/>
          <w:szCs w:val="24"/>
        </w:rPr>
        <w:t xml:space="preserve">Capítulo 4: Variaciones de adaptabilidad</w:t>
      </w:r>
    </w:p>
    <w:p>
      <w:pPr>
        <w:spacing w:before="100" w:after="160"/>
      </w:pPr>
      <w:r>
        <w:rPr>
          <w:rFonts w:ascii="Arial" w:cs="Arial" w:eastAsia="Arial" w:hAnsi="Arial"/>
          <w:sz w:val="22"/>
          <w:szCs w:val="22"/>
        </w:rPr>
        <w:t xml:space="preserve">Cómo la diversidad no fragmenta la realidad compartida sino que la enriquece. El espectro como riqueza del sistema.</w:t>
      </w:r>
    </w:p>
    <w:p>
      <w:pPr>
        <w:pStyle w:val="Heading2"/>
        <w:spacing w:before="320" w:after="160"/>
      </w:pPr>
      <w:r>
        <w:rPr>
          <w:rFonts w:ascii="Arial" w:cs="Arial" w:eastAsia="Arial" w:hAnsi="Arial"/>
          <w:b/>
          <w:bCs/>
          <w:color w:val="2E4057"/>
          <w:sz w:val="28"/>
          <w:szCs w:val="28"/>
        </w:rPr>
        <w:t xml:space="preserve">Parte III — La Convergencia</w:t>
      </w:r>
    </w:p>
    <w:p>
      <w:pPr>
        <w:spacing w:before="240" w:after="120"/>
      </w:pPr>
      <w:r>
        <w:rPr>
          <w:rFonts w:ascii="Arial" w:cs="Arial" w:eastAsia="Arial" w:hAnsi="Arial"/>
          <w:b/>
          <w:bCs/>
          <w:color w:val="3D5A80"/>
          <w:sz w:val="24"/>
          <w:szCs w:val="24"/>
        </w:rPr>
        <w:t xml:space="preserve">Capítulo 5: El punto de encuentro</w:t>
      </w:r>
    </w:p>
    <w:p>
      <w:pPr>
        <w:spacing w:before="100" w:after="160"/>
      </w:pPr>
      <w:r>
        <w:rPr>
          <w:rFonts w:ascii="Arial" w:cs="Arial" w:eastAsia="Arial" w:hAnsi="Arial"/>
          <w:sz w:val="22"/>
          <w:szCs w:val="22"/>
        </w:rPr>
        <w:t xml:space="preserve">Cómo millones de percepciones divergentes producen realidad compartida. Emergencia. Sistemas complejos.</w:t>
      </w:r>
    </w:p>
    <w:p>
      <w:pPr>
        <w:spacing w:before="240" w:after="120"/>
      </w:pPr>
      <w:r>
        <w:rPr>
          <w:rFonts w:ascii="Arial" w:cs="Arial" w:eastAsia="Arial" w:hAnsi="Arial"/>
          <w:b/>
          <w:bCs/>
          <w:color w:val="3D5A80"/>
          <w:sz w:val="24"/>
          <w:szCs w:val="24"/>
        </w:rPr>
        <w:t xml:space="preserve">Capítulo 6: La esencia medible</w:t>
      </w:r>
    </w:p>
    <w:p>
      <w:pPr>
        <w:spacing w:before="100" w:after="160"/>
      </w:pPr>
      <w:r>
        <w:rPr>
          <w:rFonts w:ascii="Arial" w:cs="Arial" w:eastAsia="Arial" w:hAnsi="Arial"/>
          <w:sz w:val="22"/>
          <w:szCs w:val="22"/>
        </w:rPr>
        <w:t xml:space="preserve">Si pudieras agregar los datos de millones de cerebros en tiempo real, ¿qué emergería? La humanidad como dato vivo.</w:t>
      </w:r>
    </w:p>
    <w:p>
      <w:pPr>
        <w:pStyle w:val="Heading2"/>
        <w:spacing w:before="320" w:after="160"/>
      </w:pPr>
      <w:r>
        <w:rPr>
          <w:rFonts w:ascii="Arial" w:cs="Arial" w:eastAsia="Arial" w:hAnsi="Arial"/>
          <w:b/>
          <w:bCs/>
          <w:color w:val="2E4057"/>
          <w:sz w:val="28"/>
          <w:szCs w:val="28"/>
        </w:rPr>
        <w:t xml:space="preserve">Parte IV — Los Agentes</w:t>
      </w:r>
    </w:p>
    <w:p>
      <w:pPr>
        <w:spacing w:before="240" w:after="120"/>
      </w:pPr>
      <w:r>
        <w:rPr>
          <w:rFonts w:ascii="Arial" w:cs="Arial" w:eastAsia="Arial" w:hAnsi="Arial"/>
          <w:b/>
          <w:bCs/>
          <w:color w:val="3D5A80"/>
          <w:sz w:val="24"/>
          <w:szCs w:val="24"/>
        </w:rPr>
        <w:t xml:space="preserve">Capítulo 7: Humanos, IAs y el alma</w:t>
      </w:r>
    </w:p>
    <w:p>
      <w:pPr>
        <w:spacing w:before="100" w:after="160"/>
      </w:pPr>
      <w:r>
        <w:rPr>
          <w:rFonts w:ascii="Arial" w:cs="Arial" w:eastAsia="Arial" w:hAnsi="Arial"/>
          <w:sz w:val="22"/>
          <w:szCs w:val="22"/>
        </w:rPr>
        <w:t xml:space="preserve">Los tres agentes cognoscentes. La distinción fundamental: el humano origina, la IA amplifica, el lector activa. Por qué el alma no es metáfora sino el nombre de la capacidad de originar desde la experiencia vivida.</w:t>
      </w:r>
    </w:p>
    <w:p>
      <w:pPr>
        <w:spacing w:before="240" w:after="120"/>
      </w:pPr>
      <w:r>
        <w:rPr>
          <w:rFonts w:ascii="Arial" w:cs="Arial" w:eastAsia="Arial" w:hAnsi="Arial"/>
          <w:b/>
          <w:bCs/>
          <w:color w:val="3D5A80"/>
          <w:sz w:val="24"/>
          <w:szCs w:val="24"/>
        </w:rPr>
        <w:t xml:space="preserve">Capítulo 8: La hipnocrasia como advertencia</w:t>
      </w:r>
    </w:p>
    <w:p>
      <w:pPr>
        <w:spacing w:before="100" w:after="160"/>
      </w:pPr>
      <w:r>
        <w:rPr>
          <w:rFonts w:ascii="Arial" w:cs="Arial" w:eastAsia="Arial" w:hAnsi="Arial"/>
          <w:sz w:val="22"/>
          <w:szCs w:val="22"/>
        </w:rPr>
        <w:t xml:space="preserve">El libro de Jianwei Xun — creado por IA — dijo que los algoritmos anticipan la realidad, no la crean. Ese argumento intentó refutar MENTEMONEDA y no pudo. La IA usó como materia prima el pago que mentes humanas ya habían hecho. El algoritmo es el recibo, no la transacción.</w:t>
      </w:r>
    </w:p>
    <w:p>
      <w:pPr>
        <w:pStyle w:val="Heading2"/>
        <w:spacing w:before="320" w:after="160"/>
      </w:pPr>
      <w:r>
        <w:rPr>
          <w:rFonts w:ascii="Arial" w:cs="Arial" w:eastAsia="Arial" w:hAnsi="Arial"/>
          <w:b/>
          <w:bCs/>
          <w:color w:val="2E4057"/>
          <w:sz w:val="28"/>
          <w:szCs w:val="28"/>
        </w:rPr>
        <w:t xml:space="preserve">Parte V — La Convocatoria</w:t>
      </w:r>
    </w:p>
    <w:p>
      <w:pPr>
        <w:spacing w:before="240" w:after="120"/>
      </w:pPr>
      <w:r>
        <w:rPr>
          <w:rFonts w:ascii="Arial" w:cs="Arial" w:eastAsia="Arial" w:hAnsi="Arial"/>
          <w:b/>
          <w:bCs/>
          <w:color w:val="3D5A80"/>
          <w:sz w:val="24"/>
          <w:szCs w:val="24"/>
        </w:rPr>
        <w:t xml:space="preserve">Capítulo 9: La idea que se reafirma</w:t>
      </w:r>
    </w:p>
    <w:p>
      <w:pPr>
        <w:spacing w:before="100" w:after="160"/>
      </w:pPr>
      <w:r>
        <w:rPr>
          <w:rFonts w:ascii="Arial" w:cs="Arial" w:eastAsia="Arial" w:hAnsi="Arial"/>
          <w:sz w:val="22"/>
          <w:szCs w:val="22"/>
        </w:rPr>
        <w:t xml:space="preserve">El argumento recursivo. Por qué esta teoría crece al examinarla. Qué implica para la ciencia, la política, la espiritualidad.</w:t>
      </w:r>
    </w:p>
    <w:p>
      <w:pPr>
        <w:spacing w:before="240" w:after="120"/>
      </w:pPr>
      <w:r>
        <w:rPr>
          <w:rFonts w:ascii="Arial" w:cs="Arial" w:eastAsia="Arial" w:hAnsi="Arial"/>
          <w:b/>
          <w:bCs/>
          <w:color w:val="3D5A80"/>
          <w:sz w:val="24"/>
          <w:szCs w:val="24"/>
        </w:rPr>
        <w:t xml:space="preserve">Capítulo 10: Tú eres el siguiente agente</w:t>
      </w:r>
    </w:p>
    <w:p>
      <w:pPr>
        <w:spacing w:before="100" w:after="160"/>
      </w:pPr>
      <w:r>
        <w:rPr>
          <w:rFonts w:ascii="Arial" w:cs="Arial" w:eastAsia="Arial" w:hAnsi="Arial"/>
          <w:sz w:val="22"/>
          <w:szCs w:val="22"/>
        </w:rPr>
        <w:t xml:space="preserve">La última página no es una conclusión. Es una instrucción. Una pregunta abierta. Una invitación. El libro termina aquí. La construcción de la realidad continúa contigo.</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6. Tensiones Centrales</w:t>
      </w:r>
    </w:p>
    <w:p>
      <w:pPr>
        <w:pStyle w:val="ListParagraph"/>
        <w:numPr>
          <w:ilvl w:val="0"/>
          <w:numId w:val="2"/>
        </w:numPr>
        <w:spacing w:before="80" w:after="80"/>
      </w:pPr>
      <w:r>
        <w:rPr>
          <w:rFonts w:ascii="Arial" w:cs="Arial" w:eastAsia="Arial" w:hAnsi="Arial"/>
          <w:sz w:val="22"/>
          <w:szCs w:val="22"/>
        </w:rPr>
        <w:t xml:space="preserve">Individual vs. colectivo: si cada mente paga diferente, ¿quién decide qué vale más?</w:t>
      </w:r>
    </w:p>
    <w:p>
      <w:pPr>
        <w:pStyle w:val="ListParagraph"/>
        <w:numPr>
          <w:ilvl w:val="0"/>
          <w:numId w:val="2"/>
        </w:numPr>
        <w:spacing w:before="80" w:after="80"/>
      </w:pPr>
      <w:r>
        <w:rPr>
          <w:rFonts w:ascii="Arial" w:cs="Arial" w:eastAsia="Arial" w:hAnsi="Arial"/>
          <w:sz w:val="22"/>
          <w:szCs w:val="22"/>
        </w:rPr>
        <w:t xml:space="preserve">Medible vs. inefable: ¿puede la neurociencia capturar lo que significa existir?</w:t>
      </w:r>
    </w:p>
    <w:p>
      <w:pPr>
        <w:pStyle w:val="ListParagraph"/>
        <w:numPr>
          <w:ilvl w:val="0"/>
          <w:numId w:val="2"/>
        </w:numPr>
        <w:spacing w:before="80" w:after="80"/>
      </w:pPr>
      <w:r>
        <w:rPr>
          <w:rFonts w:ascii="Arial" w:cs="Arial" w:eastAsia="Arial" w:hAnsi="Arial"/>
          <w:sz w:val="22"/>
          <w:szCs w:val="22"/>
        </w:rPr>
        <w:t xml:space="preserve">Humano vs. IA: ¿dónde termina la amplificación y dónde empieza la creación?</w:t>
      </w:r>
    </w:p>
    <w:p>
      <w:pPr>
        <w:pStyle w:val="ListParagraph"/>
        <w:numPr>
          <w:ilvl w:val="0"/>
          <w:numId w:val="2"/>
        </w:numPr>
        <w:spacing w:before="80" w:after="80"/>
      </w:pPr>
      <w:r>
        <w:rPr>
          <w:rFonts w:ascii="Arial" w:cs="Arial" w:eastAsia="Arial" w:hAnsi="Arial"/>
          <w:sz w:val="22"/>
          <w:szCs w:val="22"/>
        </w:rPr>
        <w:t xml:space="preserve">Convergencia vs. fragmentación: ¿la realidad nos une o cada cerebro vive en su propio universo?</w:t>
      </w:r>
    </w:p>
    <w:p>
      <w:pPr>
        <w:pStyle w:val="ListParagraph"/>
        <w:numPr>
          <w:ilvl w:val="0"/>
          <w:numId w:val="2"/>
        </w:numPr>
        <w:spacing w:before="80" w:after="80"/>
      </w:pPr>
      <w:r>
        <w:rPr>
          <w:rFonts w:ascii="Arial" w:cs="Arial" w:eastAsia="Arial" w:hAnsi="Arial"/>
          <w:sz w:val="22"/>
          <w:szCs w:val="22"/>
        </w:rPr>
        <w:t xml:space="preserve">Alma vs. algoritmo: ¿puede un sistema sin experiencia vivida contribuir a la realidad o solo reflejarla?</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7. Campo de Referencias</w:t>
      </w:r>
    </w:p>
    <w:p>
      <w:pPr>
        <w:pStyle w:val="Heading2"/>
        <w:spacing w:before="320" w:after="160"/>
      </w:pPr>
      <w:r>
        <w:rPr>
          <w:rFonts w:ascii="Arial" w:cs="Arial" w:eastAsia="Arial" w:hAnsi="Arial"/>
          <w:b/>
          <w:bCs/>
          <w:color w:val="2E4057"/>
          <w:sz w:val="28"/>
          <w:szCs w:val="28"/>
        </w:rPr>
        <w:t xml:space="preserve">Científicas</w:t>
      </w:r>
    </w:p>
    <w:p>
      <w:pPr>
        <w:pStyle w:val="ListParagraph"/>
        <w:numPr>
          <w:ilvl w:val="0"/>
          <w:numId w:val="2"/>
        </w:numPr>
        <w:spacing w:before="80" w:after="80"/>
      </w:pPr>
      <w:r>
        <w:rPr>
          <w:rFonts w:ascii="Arial" w:cs="Arial" w:eastAsia="Arial" w:hAnsi="Arial"/>
          <w:sz w:val="22"/>
          <w:szCs w:val="22"/>
        </w:rPr>
        <w:t xml:space="preserve">Karl Friston — Principio de energía libre, cerebro predictivo</w:t>
      </w:r>
    </w:p>
    <w:p>
      <w:pPr>
        <w:pStyle w:val="ListParagraph"/>
        <w:numPr>
          <w:ilvl w:val="0"/>
          <w:numId w:val="2"/>
        </w:numPr>
        <w:spacing w:before="80" w:after="80"/>
      </w:pPr>
      <w:r>
        <w:rPr>
          <w:rFonts w:ascii="Arial" w:cs="Arial" w:eastAsia="Arial" w:hAnsi="Arial"/>
          <w:sz w:val="22"/>
          <w:szCs w:val="22"/>
        </w:rPr>
        <w:t xml:space="preserve">Antonio Damasio — El error de Descartes</w:t>
      </w:r>
    </w:p>
    <w:p>
      <w:pPr>
        <w:pStyle w:val="ListParagraph"/>
        <w:numPr>
          <w:ilvl w:val="0"/>
          <w:numId w:val="2"/>
        </w:numPr>
        <w:spacing w:before="80" w:after="80"/>
      </w:pPr>
      <w:r>
        <w:rPr>
          <w:rFonts w:ascii="Arial" w:cs="Arial" w:eastAsia="Arial" w:hAnsi="Arial"/>
          <w:sz w:val="22"/>
          <w:szCs w:val="22"/>
        </w:rPr>
        <w:t xml:space="preserve">Anil Seth — Being You (la alucinación controlada)</w:t>
      </w:r>
    </w:p>
    <w:p>
      <w:pPr>
        <w:pStyle w:val="ListParagraph"/>
        <w:numPr>
          <w:ilvl w:val="0"/>
          <w:numId w:val="2"/>
        </w:numPr>
        <w:spacing w:before="80" w:after="80"/>
      </w:pPr>
      <w:r>
        <w:rPr>
          <w:rFonts w:ascii="Arial" w:cs="Arial" w:eastAsia="Arial" w:hAnsi="Arial"/>
          <w:sz w:val="22"/>
          <w:szCs w:val="22"/>
        </w:rPr>
        <w:t xml:space="preserve">Olaf Sporns — Conectómica y redes cerebrales</w:t>
      </w:r>
    </w:p>
    <w:p>
      <w:pPr>
        <w:pStyle w:val="Heading2"/>
        <w:spacing w:before="320" w:after="160"/>
      </w:pPr>
      <w:r>
        <w:rPr>
          <w:rFonts w:ascii="Arial" w:cs="Arial" w:eastAsia="Arial" w:hAnsi="Arial"/>
          <w:b/>
          <w:bCs/>
          <w:color w:val="2E4057"/>
          <w:sz w:val="28"/>
          <w:szCs w:val="28"/>
        </w:rPr>
        <w:t xml:space="preserve">Divulgativas / Filosóficas</w:t>
      </w:r>
    </w:p>
    <w:p>
      <w:pPr>
        <w:pStyle w:val="ListParagraph"/>
        <w:numPr>
          <w:ilvl w:val="0"/>
          <w:numId w:val="2"/>
        </w:numPr>
        <w:spacing w:before="80" w:after="80"/>
      </w:pPr>
      <w:r>
        <w:rPr>
          <w:rFonts w:ascii="Arial" w:cs="Arial" w:eastAsia="Arial" w:hAnsi="Arial"/>
          <w:sz w:val="22"/>
          <w:szCs w:val="22"/>
        </w:rPr>
        <w:t xml:space="preserve">Carlo Rovelli — El orden del tiempo, Helgoland</w:t>
      </w:r>
    </w:p>
    <w:p>
      <w:pPr>
        <w:pStyle w:val="ListParagraph"/>
        <w:numPr>
          <w:ilvl w:val="0"/>
          <w:numId w:val="2"/>
        </w:numPr>
        <w:spacing w:before="80" w:after="80"/>
      </w:pPr>
      <w:r>
        <w:rPr>
          <w:rFonts w:ascii="Arial" w:cs="Arial" w:eastAsia="Arial" w:hAnsi="Arial"/>
          <w:sz w:val="22"/>
          <w:szCs w:val="22"/>
        </w:rPr>
        <w:t xml:space="preserve">Yuval Noah Harari — Sapiens (estructura narrativa de referencia)</w:t>
      </w:r>
    </w:p>
    <w:p>
      <w:pPr>
        <w:pStyle w:val="ListParagraph"/>
        <w:numPr>
          <w:ilvl w:val="0"/>
          <w:numId w:val="2"/>
        </w:numPr>
        <w:spacing w:before="80" w:after="80"/>
      </w:pPr>
      <w:r>
        <w:rPr>
          <w:rFonts w:ascii="Arial" w:cs="Arial" w:eastAsia="Arial" w:hAnsi="Arial"/>
          <w:sz w:val="22"/>
          <w:szCs w:val="22"/>
        </w:rPr>
        <w:t xml:space="preserve">Douglas Hofstadter — Gödel, Escher, Bach (recursividad)</w:t>
      </w:r>
    </w:p>
    <w:p>
      <w:pPr>
        <w:pStyle w:val="Heading2"/>
        <w:spacing w:before="320" w:after="160"/>
      </w:pPr>
      <w:r>
        <w:rPr>
          <w:rFonts w:ascii="Arial" w:cs="Arial" w:eastAsia="Arial" w:hAnsi="Arial"/>
          <w:b/>
          <w:bCs/>
          <w:color w:val="2E4057"/>
          <w:sz w:val="28"/>
          <w:szCs w:val="28"/>
        </w:rPr>
        <w:t xml:space="preserve">Antagonistas útiles</w:t>
      </w:r>
    </w:p>
    <w:p>
      <w:pPr>
        <w:pStyle w:val="ListParagraph"/>
        <w:numPr>
          <w:ilvl w:val="0"/>
          <w:numId w:val="2"/>
        </w:numPr>
        <w:spacing w:before="80" w:after="80"/>
      </w:pPr>
      <w:r>
        <w:rPr>
          <w:rFonts w:ascii="Arial" w:cs="Arial" w:eastAsia="Arial" w:hAnsi="Arial"/>
          <w:sz w:val="22"/>
          <w:szCs w:val="22"/>
        </w:rPr>
        <w:t xml:space="preserve">Jianwei Xun / Andrea Colamedici — La hipnocrasia (argumento que intentó refutar y no pudo)</w:t>
      </w:r>
    </w:p>
    <w:p>
      <w:pPr>
        <w:pStyle w:val="Heading2"/>
        <w:spacing w:before="320" w:after="160"/>
      </w:pPr>
      <w:r>
        <w:rPr>
          <w:rFonts w:ascii="Arial" w:cs="Arial" w:eastAsia="Arial" w:hAnsi="Arial"/>
          <w:b/>
          <w:bCs/>
          <w:color w:val="2E4057"/>
          <w:sz w:val="28"/>
          <w:szCs w:val="28"/>
        </w:rPr>
        <w:t xml:space="preserve">Técnicas / Emergentes</w:t>
      </w:r>
    </w:p>
    <w:p>
      <w:pPr>
        <w:pStyle w:val="ListParagraph"/>
        <w:numPr>
          <w:ilvl w:val="0"/>
          <w:numId w:val="2"/>
        </w:numPr>
        <w:spacing w:before="80" w:after="80"/>
      </w:pPr>
      <w:r>
        <w:rPr>
          <w:rFonts w:ascii="Arial" w:cs="Arial" w:eastAsia="Arial" w:hAnsi="Arial"/>
          <w:sz w:val="22"/>
          <w:szCs w:val="22"/>
        </w:rPr>
        <w:t xml:space="preserve">BCI: Neuralink, BrainGate — interfaces cerebro-computadora</w:t>
      </w:r>
    </w:p>
    <w:p>
      <w:pPr>
        <w:pStyle w:val="ListParagraph"/>
        <w:numPr>
          <w:ilvl w:val="0"/>
          <w:numId w:val="2"/>
        </w:numPr>
        <w:spacing w:before="80" w:after="80"/>
      </w:pPr>
      <w:r>
        <w:rPr>
          <w:rFonts w:ascii="Arial" w:cs="Arial" w:eastAsia="Arial" w:hAnsi="Arial"/>
          <w:sz w:val="22"/>
          <w:szCs w:val="22"/>
        </w:rPr>
        <w:t xml:space="preserve">GibberLink / ggwave — comunicación agente-a-agente como analogía del sistema</w:t>
      </w:r>
    </w:p>
    <w:p>
      <w:pPr>
        <w:pStyle w:val="ListParagraph"/>
        <w:numPr>
          <w:ilvl w:val="0"/>
          <w:numId w:val="2"/>
        </w:numPr>
        <w:spacing w:before="80" w:after="80"/>
      </w:pPr>
      <w:r>
        <w:rPr>
          <w:rFonts w:ascii="Arial" w:cs="Arial" w:eastAsia="Arial" w:hAnsi="Arial"/>
          <w:sz w:val="22"/>
          <w:szCs w:val="22"/>
        </w:rPr>
        <w:t xml:space="preserve">Teoría de sistemas complejos — Santa Fe Institute</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8. Estrategia de Monetización</w:t>
      </w:r>
    </w:p>
    <w:p>
      <w:pPr>
        <w:spacing w:before="100" w:after="160"/>
      </w:pPr>
      <w:r>
        <w:rPr>
          <w:rFonts w:ascii="Arial" w:cs="Arial" w:eastAsia="Arial" w:hAnsi="Arial"/>
          <w:sz w:val="22"/>
          <w:szCs w:val="22"/>
        </w:rPr>
        <w:t xml:space="preserve">El dinero no es el fin — es la paz necesaria para continuar pensando. Para que el frío del cuarto no interrumpa la epifanía.</w:t>
      </w:r>
    </w:p>
    <w:p>
      <w:pPr>
        <w:pStyle w:val="Heading2"/>
        <w:spacing w:before="320" w:after="160"/>
      </w:pPr>
      <w:r>
        <w:rPr>
          <w:rFonts w:ascii="Arial" w:cs="Arial" w:eastAsia="Arial" w:hAnsi="Arial"/>
          <w:b/>
          <w:bCs/>
          <w:color w:val="2E4057"/>
          <w:sz w:val="28"/>
          <w:szCs w:val="28"/>
        </w:rPr>
        <w:t xml:space="preserve">Fase 1 — Validación (0-3 meses)</w:t>
      </w:r>
    </w:p>
    <w:p>
      <w:pPr>
        <w:pStyle w:val="ListParagraph"/>
        <w:numPr>
          <w:ilvl w:val="0"/>
          <w:numId w:val="2"/>
        </w:numPr>
        <w:spacing w:before="80" w:after="80"/>
      </w:pPr>
      <w:r>
        <w:rPr>
          <w:rFonts w:ascii="Arial" w:cs="Arial" w:eastAsia="Arial" w:hAnsi="Arial"/>
          <w:sz w:val="22"/>
          <w:szCs w:val="22"/>
        </w:rPr>
        <w:t xml:space="preserve">Ensayo piloto de 3,000-5,000 palabras con el núcleo de la tesis</w:t>
      </w:r>
    </w:p>
    <w:p>
      <w:pPr>
        <w:pStyle w:val="ListParagraph"/>
        <w:numPr>
          <w:ilvl w:val="0"/>
          <w:numId w:val="2"/>
        </w:numPr>
        <w:spacing w:before="80" w:after="80"/>
      </w:pPr>
      <w:r>
        <w:rPr>
          <w:rFonts w:ascii="Arial" w:cs="Arial" w:eastAsia="Arial" w:hAnsi="Arial"/>
          <w:sz w:val="22"/>
          <w:szCs w:val="22"/>
        </w:rPr>
        <w:t xml:space="preserve">Publicar en Substack o Medium en español</w:t>
      </w:r>
    </w:p>
    <w:p>
      <w:pPr>
        <w:pStyle w:val="ListParagraph"/>
        <w:numPr>
          <w:ilvl w:val="0"/>
          <w:numId w:val="2"/>
        </w:numPr>
        <w:spacing w:before="80" w:after="80"/>
      </w:pPr>
      <w:r>
        <w:rPr>
          <w:rFonts w:ascii="Arial" w:cs="Arial" w:eastAsia="Arial" w:hAnsi="Arial"/>
          <w:sz w:val="22"/>
          <w:szCs w:val="22"/>
        </w:rPr>
        <w:t xml:space="preserve">Medir resonancia con agentes cognoscentes reales</w:t>
      </w:r>
    </w:p>
    <w:p>
      <w:pPr>
        <w:pStyle w:val="Heading2"/>
        <w:spacing w:before="320" w:after="160"/>
      </w:pPr>
      <w:r>
        <w:rPr>
          <w:rFonts w:ascii="Arial" w:cs="Arial" w:eastAsia="Arial" w:hAnsi="Arial"/>
          <w:b/>
          <w:bCs/>
          <w:color w:val="2E4057"/>
          <w:sz w:val="28"/>
          <w:szCs w:val="28"/>
        </w:rPr>
        <w:t xml:space="preserve">Fase 2 — Construcción (3-12 meses)</w:t>
      </w:r>
    </w:p>
    <w:p>
      <w:pPr>
        <w:pStyle w:val="ListParagraph"/>
        <w:numPr>
          <w:ilvl w:val="0"/>
          <w:numId w:val="2"/>
        </w:numPr>
        <w:spacing w:before="80" w:after="80"/>
      </w:pPr>
      <w:r>
        <w:rPr>
          <w:rFonts w:ascii="Arial" w:cs="Arial" w:eastAsia="Arial" w:hAnsi="Arial"/>
          <w:sz w:val="22"/>
          <w:szCs w:val="22"/>
        </w:rPr>
        <w:t xml:space="preserve">Desarrollar capítulos en orden usando Claude Code como motor</w:t>
      </w:r>
    </w:p>
    <w:p>
      <w:pPr>
        <w:pStyle w:val="ListParagraph"/>
        <w:numPr>
          <w:ilvl w:val="0"/>
          <w:numId w:val="2"/>
        </w:numPr>
        <w:spacing w:before="80" w:after="80"/>
      </w:pPr>
      <w:r>
        <w:rPr>
          <w:rFonts w:ascii="Arial" w:cs="Arial" w:eastAsia="Arial" w:hAnsi="Arial"/>
          <w:sz w:val="22"/>
          <w:szCs w:val="22"/>
        </w:rPr>
        <w:t xml:space="preserve">Blueprint como documento maestro en repo — organización eficiente</w:t>
      </w:r>
    </w:p>
    <w:p>
      <w:pPr>
        <w:pStyle w:val="ListParagraph"/>
        <w:numPr>
          <w:ilvl w:val="0"/>
          <w:numId w:val="2"/>
        </w:numPr>
        <w:spacing w:before="80" w:after="80"/>
      </w:pPr>
      <w:r>
        <w:rPr>
          <w:rFonts w:ascii="Arial" w:cs="Arial" w:eastAsia="Arial" w:hAnsi="Arial"/>
          <w:sz w:val="22"/>
          <w:szCs w:val="22"/>
        </w:rPr>
        <w:t xml:space="preserve">Beta-lectores en comunidades de neurociencia, filosofía y tecnología</w:t>
      </w:r>
    </w:p>
    <w:p>
      <w:pPr>
        <w:pStyle w:val="Heading2"/>
        <w:spacing w:before="320" w:after="160"/>
      </w:pPr>
      <w:r>
        <w:rPr>
          <w:rFonts w:ascii="Arial" w:cs="Arial" w:eastAsia="Arial" w:hAnsi="Arial"/>
          <w:b/>
          <w:bCs/>
          <w:color w:val="2E4057"/>
          <w:sz w:val="28"/>
          <w:szCs w:val="28"/>
        </w:rPr>
        <w:t xml:space="preserve">Fase 3 — Publicación</w:t>
      </w:r>
    </w:p>
    <w:p>
      <w:pPr>
        <w:pStyle w:val="ListParagraph"/>
        <w:numPr>
          <w:ilvl w:val="0"/>
          <w:numId w:val="2"/>
        </w:numPr>
        <w:spacing w:before="80" w:after="80"/>
      </w:pPr>
      <w:r>
        <w:rPr>
          <w:rFonts w:ascii="Arial" w:cs="Arial" w:eastAsia="Arial" w:hAnsi="Arial"/>
          <w:sz w:val="22"/>
          <w:szCs w:val="22"/>
        </w:rPr>
        <w:t xml:space="preserve">KDP/Amazon como primera opción sin inversión inicial</w:t>
      </w:r>
    </w:p>
    <w:p>
      <w:pPr>
        <w:pStyle w:val="ListParagraph"/>
        <w:numPr>
          <w:ilvl w:val="0"/>
          <w:numId w:val="2"/>
        </w:numPr>
        <w:spacing w:before="80" w:after="80"/>
      </w:pPr>
      <w:r>
        <w:rPr>
          <w:rFonts w:ascii="Arial" w:cs="Arial" w:eastAsia="Arial" w:hAnsi="Arial"/>
          <w:sz w:val="22"/>
          <w:szCs w:val="22"/>
        </w:rPr>
        <w:t xml:space="preserve">Pitch a editoriales hispanohablantes: Paidós, Anagrama, FCE</w:t>
      </w:r>
    </w:p>
    <w:p>
      <w:pPr>
        <w:pStyle w:val="ListParagraph"/>
        <w:numPr>
          <w:ilvl w:val="0"/>
          <w:numId w:val="2"/>
        </w:numPr>
        <w:spacing w:before="80" w:after="80"/>
      </w:pPr>
      <w:r>
        <w:rPr>
          <w:rFonts w:ascii="Arial" w:cs="Arial" w:eastAsia="Arial" w:hAnsi="Arial"/>
          <w:sz w:val="22"/>
          <w:szCs w:val="22"/>
        </w:rPr>
        <w:t xml:space="preserve">Versión en inglés como mercado secundario</w:t>
      </w:r>
    </w:p>
    <w:p>
      <w:pPr>
        <w:spacing w:before="100" w:after="100"/>
      </w:pPr>
      <w:r>
        <w:t xml:space="preserve"/>
      </w:r>
    </w:p>
    <w:p>
      <w:pPr>
        <w:pStyle w:val="Heading1"/>
        <w:spacing w:before="480" w:after="200"/>
      </w:pPr>
      <w:r>
        <w:rPr>
          <w:rFonts w:ascii="Arial" w:cs="Arial" w:eastAsia="Arial" w:hAnsi="Arial"/>
          <w:b/>
          <w:bCs/>
          <w:color w:val="1A1A2E"/>
          <w:sz w:val="36"/>
          <w:szCs w:val="36"/>
        </w:rPr>
        <w:t xml:space="preserve">9. Instrucciones para Claude Code</w:t>
      </w:r>
    </w:p>
    <w:p>
      <w:pPr>
        <w:pStyle w:val="Heading2"/>
        <w:spacing w:before="320" w:after="160"/>
      </w:pPr>
      <w:r>
        <w:rPr>
          <w:rFonts w:ascii="Arial" w:cs="Arial" w:eastAsia="Arial" w:hAnsi="Arial"/>
          <w:b/>
          <w:bCs/>
          <w:color w:val="2E4057"/>
          <w:sz w:val="28"/>
          <w:szCs w:val="28"/>
        </w:rPr>
        <w:t xml:space="preserve">Inicialización</w:t>
      </w:r>
    </w:p>
    <w:p>
      <w:pPr>
        <w:spacing w:before="100" w:after="160"/>
      </w:pPr>
      <w:r>
        <w:rPr>
          <w:rFonts w:ascii="Arial" w:cs="Arial" w:eastAsia="Arial" w:hAnsi="Arial"/>
          <w:sz w:val="22"/>
          <w:szCs w:val="22"/>
        </w:rPr>
        <w:t xml:space="preserve">Al comenzar cada sesión en Claude Code, cargar este documento y declarar: "MENTEMONEDA — retoma el blueprint". Este es el identificador universal del proyecto.</w:t>
      </w:r>
    </w:p>
    <w:p>
      <w:pPr>
        <w:pStyle w:val="Heading2"/>
        <w:spacing w:before="320" w:after="160"/>
      </w:pPr>
      <w:r>
        <w:rPr>
          <w:rFonts w:ascii="Arial" w:cs="Arial" w:eastAsia="Arial" w:hAnsi="Arial"/>
          <w:b/>
          <w:bCs/>
          <w:color w:val="2E4057"/>
          <w:sz w:val="28"/>
          <w:szCs w:val="28"/>
        </w:rPr>
        <w:t xml:space="preserve">Contexto persistente</w:t>
      </w:r>
    </w:p>
    <w:p>
      <w:pPr>
        <w:pStyle w:val="ListParagraph"/>
        <w:numPr>
          <w:ilvl w:val="0"/>
          <w:numId w:val="2"/>
        </w:numPr>
        <w:spacing w:before="80" w:after="80"/>
      </w:pPr>
      <w:r>
        <w:rPr>
          <w:rFonts w:ascii="Arial" w:cs="Arial" w:eastAsia="Arial" w:hAnsi="Arial"/>
          <w:sz w:val="22"/>
          <w:szCs w:val="22"/>
        </w:rPr>
        <w:t xml:space="preserve">Mantener blueprint v2.0 como documento maestro en el repo</w:t>
      </w:r>
    </w:p>
    <w:p>
      <w:pPr>
        <w:pStyle w:val="ListParagraph"/>
        <w:numPr>
          <w:ilvl w:val="0"/>
          <w:numId w:val="2"/>
        </w:numPr>
        <w:spacing w:before="80" w:after="80"/>
      </w:pPr>
      <w:r>
        <w:rPr>
          <w:rFonts w:ascii="Arial" w:cs="Arial" w:eastAsia="Arial" w:hAnsi="Arial"/>
          <w:sz w:val="22"/>
          <w:szCs w:val="22"/>
        </w:rPr>
        <w:t xml:space="preserve">Verificar consistencia de argumentos contra la tesis central en cada capítulo nuevo</w:t>
      </w:r>
    </w:p>
    <w:p>
      <w:pPr>
        <w:pStyle w:val="ListParagraph"/>
        <w:numPr>
          <w:ilvl w:val="0"/>
          <w:numId w:val="2"/>
        </w:numPr>
        <w:spacing w:before="80" w:after="80"/>
      </w:pPr>
      <w:r>
        <w:rPr>
          <w:rFonts w:ascii="Arial" w:cs="Arial" w:eastAsia="Arial" w:hAnsi="Arial"/>
          <w:sz w:val="22"/>
          <w:szCs w:val="22"/>
        </w:rPr>
        <w:t xml:space="preserve">Preservar la distinción: humano origina / IA amplifica / lector activa</w:t>
      </w:r>
    </w:p>
    <w:p>
      <w:pPr>
        <w:pStyle w:val="Heading2"/>
        <w:spacing w:before="320" w:after="160"/>
      </w:pPr>
      <w:r>
        <w:rPr>
          <w:rFonts w:ascii="Arial" w:cs="Arial" w:eastAsia="Arial" w:hAnsi="Arial"/>
          <w:b/>
          <w:bCs/>
          <w:color w:val="2E4057"/>
          <w:sz w:val="28"/>
          <w:szCs w:val="28"/>
        </w:rPr>
        <w:t xml:space="preserve">Tareas prioritarias</w:t>
      </w:r>
    </w:p>
    <w:p>
      <w:pPr>
        <w:pStyle w:val="ListParagraph"/>
        <w:numPr>
          <w:ilvl w:val="0"/>
          <w:numId w:val="2"/>
        </w:numPr>
        <w:spacing w:before="80" w:after="80"/>
      </w:pPr>
      <w:r>
        <w:rPr>
          <w:rFonts w:ascii="Arial" w:cs="Arial" w:eastAsia="Arial" w:hAnsi="Arial"/>
          <w:sz w:val="22"/>
          <w:szCs w:val="22"/>
        </w:rPr>
        <w:t xml:space="preserve">Desarrollar Capítulo 0 completo — la noche de la luna roja — como apertura emocional</w:t>
      </w:r>
    </w:p>
    <w:p>
      <w:pPr>
        <w:pStyle w:val="ListParagraph"/>
        <w:numPr>
          <w:ilvl w:val="0"/>
          <w:numId w:val="2"/>
        </w:numPr>
        <w:spacing w:before="80" w:after="80"/>
      </w:pPr>
      <w:r>
        <w:rPr>
          <w:rFonts w:ascii="Arial" w:cs="Arial" w:eastAsia="Arial" w:hAnsi="Arial"/>
          <w:sz w:val="22"/>
          <w:szCs w:val="22"/>
        </w:rPr>
        <w:t xml:space="preserve">Construir glosario de términos propios del libro (agente cognoscente, moneda de existencia, pago cognitivo)</w:t>
      </w:r>
    </w:p>
    <w:p>
      <w:pPr>
        <w:pStyle w:val="ListParagraph"/>
        <w:numPr>
          <w:ilvl w:val="0"/>
          <w:numId w:val="2"/>
        </w:numPr>
        <w:spacing w:before="80" w:after="80"/>
      </w:pPr>
      <w:r>
        <w:rPr>
          <w:rFonts w:ascii="Arial" w:cs="Arial" w:eastAsia="Arial" w:hAnsi="Arial"/>
          <w:sz w:val="22"/>
          <w:szCs w:val="22"/>
        </w:rPr>
        <w:t xml:space="preserve">Mantener log de tensiones y contraargumentos encontrados</w:t>
      </w:r>
    </w:p>
    <w:p>
      <w:pPr>
        <w:pStyle w:val="ListParagraph"/>
        <w:numPr>
          <w:ilvl w:val="0"/>
          <w:numId w:val="2"/>
        </w:numPr>
        <w:spacing w:before="80" w:after="80"/>
      </w:pPr>
      <w:r>
        <w:rPr>
          <w:rFonts w:ascii="Arial" w:cs="Arial" w:eastAsia="Arial" w:hAnsi="Arial"/>
          <w:sz w:val="22"/>
          <w:szCs w:val="22"/>
        </w:rPr>
        <w:t xml:space="preserve">Documentar referencias cruzadas entre capítulos</w:t>
      </w:r>
    </w:p>
    <w:p>
      <w:pPr>
        <w:pStyle w:val="Heading2"/>
        <w:spacing w:before="320" w:after="160"/>
      </w:pPr>
      <w:r>
        <w:rPr>
          <w:rFonts w:ascii="Arial" w:cs="Arial" w:eastAsia="Arial" w:hAnsi="Arial"/>
          <w:b/>
          <w:bCs/>
          <w:color w:val="2E4057"/>
          <w:sz w:val="28"/>
          <w:szCs w:val="28"/>
        </w:rPr>
        <w:t xml:space="preserve">Parámetros de estilo</w:t>
      </w:r>
    </w:p>
    <w:p>
      <w:pPr>
        <w:pStyle w:val="ListParagraph"/>
        <w:numPr>
          <w:ilvl w:val="0"/>
          <w:numId w:val="2"/>
        </w:numPr>
        <w:spacing w:before="80" w:after="80"/>
      </w:pPr>
      <w:r>
        <w:rPr>
          <w:rFonts w:ascii="Arial" w:cs="Arial" w:eastAsia="Arial" w:hAnsi="Arial"/>
          <w:sz w:val="22"/>
          <w:szCs w:val="22"/>
        </w:rPr>
        <w:t xml:space="preserve">Tono: accesible pero no condescendiente — curioso, no dogmático</w:t>
      </w:r>
    </w:p>
    <w:p>
      <w:pPr>
        <w:pStyle w:val="ListParagraph"/>
        <w:numPr>
          <w:ilvl w:val="0"/>
          <w:numId w:val="2"/>
        </w:numPr>
        <w:spacing w:before="80" w:after="80"/>
      </w:pPr>
      <w:r>
        <w:rPr>
          <w:rFonts w:ascii="Arial" w:cs="Arial" w:eastAsia="Arial" w:hAnsi="Arial"/>
          <w:sz w:val="22"/>
          <w:szCs w:val="22"/>
        </w:rPr>
        <w:t xml:space="preserve">Analogías: sistemas físicos, económicos y biológicos — no filosofía abstracta</w:t>
      </w:r>
    </w:p>
    <w:p>
      <w:pPr>
        <w:pStyle w:val="ListParagraph"/>
        <w:numPr>
          <w:ilvl w:val="0"/>
          <w:numId w:val="2"/>
        </w:numPr>
        <w:spacing w:before="80" w:after="80"/>
      </w:pPr>
      <w:r>
        <w:rPr>
          <w:rFonts w:ascii="Arial" w:cs="Arial" w:eastAsia="Arial" w:hAnsi="Arial"/>
          <w:sz w:val="22"/>
          <w:szCs w:val="22"/>
        </w:rPr>
        <w:t xml:space="preserve">Estructura de párrafo: experiencia → idea → evidencia → implicación</w:t>
      </w:r>
    </w:p>
    <w:p>
      <w:pPr>
        <w:pStyle w:val="ListParagraph"/>
        <w:numPr>
          <w:ilvl w:val="0"/>
          <w:numId w:val="2"/>
        </w:numPr>
        <w:spacing w:before="80" w:after="80"/>
      </w:pPr>
      <w:r>
        <w:rPr>
          <w:rFonts w:ascii="Arial" w:cs="Arial" w:eastAsia="Arial" w:hAnsi="Arial"/>
          <w:sz w:val="22"/>
          <w:szCs w:val="22"/>
        </w:rPr>
        <w:t xml:space="preserve">Longitud de capítulo objetivo: 6,000-8,000 palabras</w:t>
      </w:r>
    </w:p>
    <w:p>
      <w:pPr>
        <w:pStyle w:val="ListParagraph"/>
        <w:numPr>
          <w:ilvl w:val="0"/>
          <w:numId w:val="2"/>
        </w:numPr>
        <w:spacing w:before="80" w:after="80"/>
      </w:pPr>
      <w:r>
        <w:rPr>
          <w:rFonts w:ascii="Arial" w:cs="Arial" w:eastAsia="Arial" w:hAnsi="Arial"/>
          <w:sz w:val="22"/>
          <w:szCs w:val="22"/>
        </w:rPr>
        <w:t xml:space="preserve">El libro habla al lector directamente — es una conversación, no una conferencia</w:t>
      </w:r>
    </w:p>
    <w:p>
      <w:pPr>
        <w:spacing w:before="100" w:after="100"/>
      </w:pPr>
      <w:r>
        <w:t xml:space="preserve"/>
      </w:r>
    </w:p>
    <w:p>
      <w:pPr>
        <w:pBdr>
          <w:bottom w:val="single" w:color="CCCCCC" w:sz="4" w:space="1"/>
        </w:pBdr>
        <w:spacing w:before="200" w:after="200"/>
      </w:pPr>
    </w:p>
    <w:p>
      <w:pPr>
        <w:spacing w:before="400" w:after="160"/>
        <w:jc w:val="center"/>
      </w:pPr>
      <w:r>
        <w:rPr>
          <w:rFonts w:ascii="Arial" w:cs="Arial" w:eastAsia="Arial" w:hAnsi="Arial"/>
          <w:i/>
          <w:iCs/>
          <w:color w:val="3D5A80"/>
          <w:sz w:val="24"/>
          <w:szCs w:val="24"/>
        </w:rPr>
        <w:t xml:space="preserve">"La forma es irrepetible. El impulso, casi inevitable."</w:t>
      </w:r>
    </w:p>
    <w:p>
      <w:pPr>
        <w:spacing w:before="0" w:after="160"/>
        <w:jc w:val="center"/>
      </w:pPr>
      <w:r>
        <w:rPr>
          <w:rFonts w:ascii="Arial" w:cs="Arial" w:eastAsia="Arial" w:hAnsi="Arial"/>
          <w:i/>
          <w:iCs/>
          <w:color w:val="3D5A80"/>
          <w:sz w:val="24"/>
          <w:szCs w:val="24"/>
        </w:rPr>
        <w:t xml:space="preserve">"Esa noche la luna era roja y yo estaba solo."</w:t>
      </w:r>
    </w:p>
    <w:p>
      <w:pPr>
        <w:spacing w:before="0" w:after="400"/>
        <w:jc w:val="center"/>
      </w:pPr>
      <w:r>
        <w:rPr>
          <w:rFonts w:ascii="Arial" w:cs="Arial" w:eastAsia="Arial" w:hAnsi="Arial"/>
          <w:color w:val="999999"/>
          <w:sz w:val="20"/>
          <w:szCs w:val="20"/>
        </w:rPr>
        <w:t xml:space="preserve">— MENTEMONEDA Blueprint v2.0, Marzo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MENTEMONEDA — Blueprint v2.0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2026-03-09T00:02:59.110Z</dcterms:created>
  <dcterms:modified xsi:type="dcterms:W3CDTF">2026-03-09T00:02:59.111Z</dcterms:modified>
</cp:coreProperties>
</file>

<file path=docProps/custom.xml><?xml version="1.0" encoding="utf-8"?>
<Properties xmlns="http://schemas.openxmlformats.org/officeDocument/2006/custom-properties" xmlns:vt="http://schemas.openxmlformats.org/officeDocument/2006/docPropsVTypes"/>
</file>