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1A2E"/>
          <w:sz w:val="72"/>
          <w:szCs w:val="72"/>
        </w:rPr>
        <w:t xml:space="preserve">BLUEPRINT</w:t>
      </w:r>
    </w:p>
    <w:p>
      <w:pPr>
        <w:spacing w:before="0" w:after="200"/>
        <w:jc w:val="center"/>
      </w:pPr>
      <w:r>
        <w:rPr>
          <w:rFonts w:ascii="Arial" w:cs="Arial" w:eastAsia="Arial" w:hAnsi="Arial"/>
          <w:i/>
          <w:iCs/>
          <w:color w:val="3D5A80"/>
          <w:sz w:val="36"/>
          <w:szCs w:val="36"/>
        </w:rPr>
        <w:t xml:space="preserve">La Mente Como Moneda de Existencia</w:t>
      </w:r>
    </w:p>
    <w:p>
      <w:pPr>
        <w:spacing w:before="200" w:after="800"/>
        <w:jc w:val="center"/>
      </w:pPr>
      <w:r>
        <w:rPr>
          <w:rFonts w:ascii="Arial" w:cs="Arial" w:eastAsia="Arial" w:hAnsi="Arial"/>
          <w:color w:val="666666"/>
          <w:sz w:val="22"/>
          <w:szCs w:val="22"/>
        </w:rPr>
        <w:t xml:space="preserve">Un ensayo sobre conciencia, causalidad y la convergencia de la diversidad cerebral</w:t>
      </w:r>
    </w:p>
    <w:p>
      <w:pPr>
        <w:pBdr>
          <w:bottom w:val="single" w:color="CCCCCC" w:sz="4" w:space="1"/>
        </w:pBdr>
        <w:spacing w:before="200" w:after="200"/>
      </w:pP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Autor</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Jaibo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Ensayo divulgativo (estilo Harari / Rovelli)</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Extensión objetivo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60,000 – 80,000 palabras (~250 páginas)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Audiencia</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Lectores curiosos sin formación técnica requerida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Estado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Blueprint — Fase de conceptualización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Versión</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1.0 — Marzo 2026</w:t>
            </w:r>
          </w:p>
        </w:tc>
      </w:tr>
    </w:tbl>
    <w:p>
      <w:pPr>
        <w:spacing w:before="100" w:after="100"/>
      </w:pPr>
      <w:r>
        <w:t xml:space="preserve"/>
      </w:r>
    </w:p>
    <w:p>
      <w:r>
        <w:br w:type="page"/>
      </w:r>
    </w:p>
    <w:p>
      <w:pPr>
        <w:pStyle w:val="Heading1"/>
        <w:spacing w:before="400" w:after="200"/>
      </w:pPr>
      <w:r>
        <w:rPr>
          <w:rFonts w:ascii="Arial" w:cs="Arial" w:eastAsia="Arial" w:hAnsi="Arial"/>
          <w:b/>
          <w:bCs/>
          <w:color w:val="1A1A2E"/>
          <w:sz w:val="36"/>
          <w:szCs w:val="36"/>
        </w:rPr>
        <w:t xml:space="preserve">1. Tesis Central</w:t>
      </w:r>
    </w:p>
    <w:p>
      <w:pPr>
        <w:spacing w:before="100" w:after="160"/>
      </w:pPr>
      <w:r>
        <w:rPr>
          <w:rFonts w:ascii="Arial" w:cs="Arial" w:eastAsia="Arial" w:hAnsi="Arial"/>
          <w:sz w:val="22"/>
          <w:szCs w:val="22"/>
        </w:rPr>
        <w:t xml:space="preserve">La mente humana no es un espectador pasivo de la realidad. Es la unidad de intercambio mediante la cual la existencia se sostiene, se mide y se transforma. Cada cerebro, al interactuar con el mundo, paga con atención, energía y experiencia — y la realidad devuelve coherencia.</w:t>
      </w:r>
    </w:p>
    <w:p>
      <w:pPr>
        <w:spacing w:before="100" w:after="160"/>
      </w:pPr>
      <w:r>
        <w:rPr>
          <w:rFonts w:ascii="Arial" w:cs="Arial" w:eastAsia="Arial" w:hAnsi="Arial"/>
          <w:sz w:val="22"/>
          <w:szCs w:val="22"/>
        </w:rPr>
        <w:t xml:space="preserve">Pero si cada cerebro es diferente — estructuralmente, químicamente, experiencialmente — entonces cada mente paga con una moneda de denominación distinta. Y sin embargo la realidad converge. El sistema funciona.</w:t>
      </w:r>
    </w:p>
    <w:p>
      <w:pPr>
        <w:spacing w:before="100" w:after="160"/>
      </w:pPr>
      <w:r>
        <w:rPr>
          <w:rFonts w:ascii="Arial" w:cs="Arial" w:eastAsia="Arial" w:hAnsi="Arial"/>
          <w:i/>
          <w:iCs/>
          <w:sz w:val="22"/>
          <w:szCs w:val="22"/>
        </w:rPr>
        <w:t xml:space="preserve">Esa convergencia no es accidental. Es el mecanismo más fundamental de la existencia compartida.</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2. Argumento Núcleo</w:t>
      </w:r>
    </w:p>
    <w:p>
      <w:pPr>
        <w:pStyle w:val="Heading2"/>
        <w:spacing w:before="300" w:after="160"/>
      </w:pPr>
      <w:r>
        <w:rPr>
          <w:rFonts w:ascii="Arial" w:cs="Arial" w:eastAsia="Arial" w:hAnsi="Arial"/>
          <w:b/>
          <w:bCs/>
          <w:color w:val="2E4057"/>
          <w:sz w:val="28"/>
          <w:szCs w:val="28"/>
        </w:rPr>
        <w:t xml:space="preserve">2.1 El cerebro como constructor activo</w:t>
      </w:r>
    </w:p>
    <w:p>
      <w:pPr>
        <w:spacing w:before="100" w:after="160"/>
      </w:pPr>
      <w:r>
        <w:rPr>
          <w:rFonts w:ascii="Arial" w:cs="Arial" w:eastAsia="Arial" w:hAnsi="Arial"/>
          <w:sz w:val="22"/>
          <w:szCs w:val="22"/>
        </w:rPr>
        <w:t xml:space="preserve">El cerebro no registra la realidad — la predice y la corrige constantemente. Cada percepción es una apuesta probabilística. Cada acción es una corrección de error. En ese sentido, la interacción cognitiva ya es una forma de pago metabólico: el cerebro invierte energía real para sostener la coherencia de la experiencia.</w:t>
      </w:r>
    </w:p>
    <w:p>
      <w:pPr>
        <w:pStyle w:val="Heading2"/>
        <w:spacing w:before="300" w:after="160"/>
      </w:pPr>
      <w:r>
        <w:rPr>
          <w:rFonts w:ascii="Arial" w:cs="Arial" w:eastAsia="Arial" w:hAnsi="Arial"/>
          <w:b/>
          <w:bCs/>
          <w:color w:val="2E4057"/>
          <w:sz w:val="28"/>
          <w:szCs w:val="28"/>
        </w:rPr>
        <w:t xml:space="preserve">2.2 La diversidad como variación de moneda</w:t>
      </w:r>
    </w:p>
    <w:p>
      <w:pPr>
        <w:spacing w:before="100" w:after="160"/>
      </w:pPr>
      <w:r>
        <w:rPr>
          <w:rFonts w:ascii="Arial" w:cs="Arial" w:eastAsia="Arial" w:hAnsi="Arial"/>
          <w:sz w:val="22"/>
          <w:szCs w:val="22"/>
        </w:rPr>
        <w:t xml:space="preserve">Si cada cerebro es único, entonces cada interacción con la realidad es única. No existe una percepción universal sino millones de percepciones singulares que, en agregado, producen algo compartido. La realidad social no es un consenso abstracto — es el punto de convergencia emergente de variaciones cerebrales distribuidas.</w:t>
      </w:r>
    </w:p>
    <w:p>
      <w:pPr>
        <w:pStyle w:val="Heading2"/>
        <w:spacing w:before="300" w:after="160"/>
      </w:pPr>
      <w:r>
        <w:rPr>
          <w:rFonts w:ascii="Arial" w:cs="Arial" w:eastAsia="Arial" w:hAnsi="Arial"/>
          <w:b/>
          <w:bCs/>
          <w:color w:val="2E4057"/>
          <w:sz w:val="28"/>
          <w:szCs w:val="28"/>
        </w:rPr>
        <w:t xml:space="preserve">2.3 La convergencia como mecanismo</w:t>
      </w:r>
    </w:p>
    <w:p>
      <w:pPr>
        <w:spacing w:before="100" w:after="160"/>
      </w:pPr>
      <w:r>
        <w:rPr>
          <w:rFonts w:ascii="Arial" w:cs="Arial" w:eastAsia="Arial" w:hAnsi="Arial"/>
          <w:sz w:val="22"/>
          <w:szCs w:val="22"/>
        </w:rPr>
        <w:t xml:space="preserve">El sistema adaptativo que emerge de la diversidad cerebral es el verdadero objeto de estudio. No la mente individual, sino el campo de significado colectivo que emerge cuando millones de mentes distintas interactúan con la misma existencia.</w:t>
      </w:r>
    </w:p>
    <w:p>
      <w:pPr>
        <w:pStyle w:val="Heading2"/>
        <w:spacing w:before="300" w:after="160"/>
      </w:pPr>
      <w:r>
        <w:rPr>
          <w:rFonts w:ascii="Arial" w:cs="Arial" w:eastAsia="Arial" w:hAnsi="Arial"/>
          <w:b/>
          <w:bCs/>
          <w:color w:val="2E4057"/>
          <w:sz w:val="28"/>
          <w:szCs w:val="28"/>
        </w:rPr>
        <w:t xml:space="preserve">2.4 La reafirmación recursiva</w:t>
      </w:r>
    </w:p>
    <w:p>
      <w:pPr>
        <w:spacing w:before="100" w:after="160"/>
      </w:pPr>
      <w:r>
        <w:rPr>
          <w:rFonts w:ascii="Arial" w:cs="Arial" w:eastAsia="Arial" w:hAnsi="Arial"/>
          <w:sz w:val="22"/>
          <w:szCs w:val="22"/>
        </w:rPr>
        <w:t xml:space="preserve">La idea se valida a sí misma: al examinarla, crece. Al hacerle preguntas, se expande. Esta recursividad no es un defecto lógico — es la firma de los sistemas verdaderamente profundos: el ADN, la evolución, el lenguaje.</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3. Estructura del Libro</w:t>
      </w:r>
    </w:p>
    <w:p>
      <w:pPr>
        <w:pStyle w:val="Heading2"/>
        <w:spacing w:before="300" w:after="160"/>
      </w:pPr>
      <w:r>
        <w:rPr>
          <w:rFonts w:ascii="Arial" w:cs="Arial" w:eastAsia="Arial" w:hAnsi="Arial"/>
          <w:b/>
          <w:bCs/>
          <w:color w:val="2E4057"/>
          <w:sz w:val="28"/>
          <w:szCs w:val="28"/>
        </w:rPr>
        <w:t xml:space="preserve">Parte I — El Pago</w:t>
      </w:r>
    </w:p>
    <w:p>
      <w:pPr>
        <w:spacing w:before="240" w:after="120"/>
      </w:pPr>
      <w:r>
        <w:rPr>
          <w:rFonts w:ascii="Arial" w:cs="Arial" w:eastAsia="Arial" w:hAnsi="Arial"/>
          <w:b/>
          <w:bCs/>
          <w:color w:val="3D5A80"/>
          <w:sz w:val="24"/>
          <w:szCs w:val="24"/>
        </w:rPr>
        <w:t xml:space="preserve">Capítulo 1: La ilusión del observador</w:t>
      </w:r>
    </w:p>
    <w:p>
      <w:pPr>
        <w:spacing w:before="100" w:after="160"/>
      </w:pPr>
      <w:r>
        <w:rPr>
          <w:rFonts w:ascii="Arial" w:cs="Arial" w:eastAsia="Arial" w:hAnsi="Arial"/>
          <w:sz w:val="22"/>
          <w:szCs w:val="22"/>
        </w:rPr>
        <w:t xml:space="preserve">Cómo el cerebro construye activamente la realidad. Neurociencia predictiva, el modelo de Karl Friston. El costo metabólico de existir conscientemente.</w:t>
      </w:r>
    </w:p>
    <w:p>
      <w:pPr>
        <w:spacing w:before="240" w:after="120"/>
      </w:pPr>
      <w:r>
        <w:rPr>
          <w:rFonts w:ascii="Arial" w:cs="Arial" w:eastAsia="Arial" w:hAnsi="Arial"/>
          <w:b/>
          <w:bCs/>
          <w:color w:val="3D5A80"/>
          <w:sz w:val="24"/>
          <w:szCs w:val="24"/>
        </w:rPr>
        <w:t xml:space="preserve">Capítulo 2: Moneda biológica</w:t>
      </w:r>
    </w:p>
    <w:p>
      <w:pPr>
        <w:spacing w:before="100" w:after="160"/>
      </w:pPr>
      <w:r>
        <w:rPr>
          <w:rFonts w:ascii="Arial" w:cs="Arial" w:eastAsia="Arial" w:hAnsi="Arial"/>
          <w:sz w:val="22"/>
          <w:szCs w:val="22"/>
        </w:rPr>
        <w:t xml:space="preserve">Energía, atención, emoción como formas de pago. Por qué la experiencia tiene costo real. El cerebro como sistema económico.</w:t>
      </w:r>
    </w:p>
    <w:p>
      <w:pPr>
        <w:spacing w:before="100" w:after="100"/>
      </w:pPr>
      <w:r>
        <w:t xml:space="preserve"/>
      </w:r>
    </w:p>
    <w:p>
      <w:pPr>
        <w:pStyle w:val="Heading2"/>
        <w:spacing w:before="300" w:after="160"/>
      </w:pPr>
      <w:r>
        <w:rPr>
          <w:rFonts w:ascii="Arial" w:cs="Arial" w:eastAsia="Arial" w:hAnsi="Arial"/>
          <w:b/>
          <w:bCs/>
          <w:color w:val="2E4057"/>
          <w:sz w:val="28"/>
          <w:szCs w:val="28"/>
        </w:rPr>
        <w:t xml:space="preserve">Parte II — La Diversidad</w:t>
      </w:r>
    </w:p>
    <w:p>
      <w:pPr>
        <w:spacing w:before="240" w:after="120"/>
      </w:pPr>
      <w:r>
        <w:rPr>
          <w:rFonts w:ascii="Arial" w:cs="Arial" w:eastAsia="Arial" w:hAnsi="Arial"/>
          <w:b/>
          <w:bCs/>
          <w:color w:val="3D5A80"/>
          <w:sz w:val="24"/>
          <w:szCs w:val="24"/>
        </w:rPr>
        <w:t xml:space="preserve">Capítulo 3: No hay dos iguales</w:t>
      </w:r>
    </w:p>
    <w:p>
      <w:pPr>
        <w:spacing w:before="100" w:after="160"/>
      </w:pPr>
      <w:r>
        <w:rPr>
          <w:rFonts w:ascii="Arial" w:cs="Arial" w:eastAsia="Arial" w:hAnsi="Arial"/>
          <w:sz w:val="22"/>
          <w:szCs w:val="22"/>
        </w:rPr>
        <w:t xml:space="preserve">Variabilidad cerebral desde la neurociencia. Conectomas, plasticidad, experiencia acumulada. Cada mente como denominación única.</w:t>
      </w:r>
    </w:p>
    <w:p>
      <w:pPr>
        <w:spacing w:before="240" w:after="120"/>
      </w:pPr>
      <w:r>
        <w:rPr>
          <w:rFonts w:ascii="Arial" w:cs="Arial" w:eastAsia="Arial" w:hAnsi="Arial"/>
          <w:b/>
          <w:bCs/>
          <w:color w:val="3D5A80"/>
          <w:sz w:val="24"/>
          <w:szCs w:val="24"/>
        </w:rPr>
        <w:t xml:space="preserve">Capítulo 4: Variaciones de adaptabilidad</w:t>
      </w:r>
    </w:p>
    <w:p>
      <w:pPr>
        <w:spacing w:before="100" w:after="160"/>
      </w:pPr>
      <w:r>
        <w:rPr>
          <w:rFonts w:ascii="Arial" w:cs="Arial" w:eastAsia="Arial" w:hAnsi="Arial"/>
          <w:sz w:val="22"/>
          <w:szCs w:val="22"/>
        </w:rPr>
        <w:t xml:space="preserve">Cómo la diversidad no fragmenta la realidad compartida sino que la enriquece. El espectro autista, los superdotados, las culturas distintas — como monedas con valor diferente en el mismo mercado.</w:t>
      </w:r>
    </w:p>
    <w:p>
      <w:pPr>
        <w:spacing w:before="100" w:after="100"/>
      </w:pPr>
      <w:r>
        <w:t xml:space="preserve"/>
      </w:r>
    </w:p>
    <w:p>
      <w:pPr>
        <w:pStyle w:val="Heading2"/>
        <w:spacing w:before="300" w:after="160"/>
      </w:pPr>
      <w:r>
        <w:rPr>
          <w:rFonts w:ascii="Arial" w:cs="Arial" w:eastAsia="Arial" w:hAnsi="Arial"/>
          <w:b/>
          <w:bCs/>
          <w:color w:val="2E4057"/>
          <w:sz w:val="28"/>
          <w:szCs w:val="28"/>
        </w:rPr>
        <w:t xml:space="preserve">Parte III — La Convergencia</w:t>
      </w:r>
    </w:p>
    <w:p>
      <w:pPr>
        <w:spacing w:before="240" w:after="120"/>
      </w:pPr>
      <w:r>
        <w:rPr>
          <w:rFonts w:ascii="Arial" w:cs="Arial" w:eastAsia="Arial" w:hAnsi="Arial"/>
          <w:b/>
          <w:bCs/>
          <w:color w:val="3D5A80"/>
          <w:sz w:val="24"/>
          <w:szCs w:val="24"/>
        </w:rPr>
        <w:t xml:space="preserve">Capítulo 5: El punto de encuentro</w:t>
      </w:r>
    </w:p>
    <w:p>
      <w:pPr>
        <w:spacing w:before="100" w:after="160"/>
      </w:pPr>
      <w:r>
        <w:rPr>
          <w:rFonts w:ascii="Arial" w:cs="Arial" w:eastAsia="Arial" w:hAnsi="Arial"/>
          <w:sz w:val="22"/>
          <w:szCs w:val="22"/>
        </w:rPr>
        <w:t xml:space="preserve">Cómo millones de percepciones divergentes producen realidad compartida. Teoría de sistemas complejos. Emergencia.</w:t>
      </w:r>
    </w:p>
    <w:p>
      <w:pPr>
        <w:spacing w:before="240" w:after="120"/>
      </w:pPr>
      <w:r>
        <w:rPr>
          <w:rFonts w:ascii="Arial" w:cs="Arial" w:eastAsia="Arial" w:hAnsi="Arial"/>
          <w:b/>
          <w:bCs/>
          <w:color w:val="3D5A80"/>
          <w:sz w:val="24"/>
          <w:szCs w:val="24"/>
        </w:rPr>
        <w:t xml:space="preserve">Capítulo 6: La esencia medible</w:t>
      </w:r>
    </w:p>
    <w:p>
      <w:pPr>
        <w:spacing w:before="100" w:after="160"/>
      </w:pPr>
      <w:r>
        <w:rPr>
          <w:rFonts w:ascii="Arial" w:cs="Arial" w:eastAsia="Arial" w:hAnsi="Arial"/>
          <w:sz w:val="22"/>
          <w:szCs w:val="22"/>
        </w:rPr>
        <w:t xml:space="preserve">Si pudieras agregar los datos de millones de cerebros en tiempo real, ¿qué emergería? BCI, neuroimagen masiva, IA como espejo colectivo. La esencia de la humanidad como dato.</w:t>
      </w:r>
    </w:p>
    <w:p>
      <w:pPr>
        <w:spacing w:before="100" w:after="100"/>
      </w:pPr>
      <w:r>
        <w:t xml:space="preserve"/>
      </w:r>
    </w:p>
    <w:p>
      <w:pPr>
        <w:pStyle w:val="Heading2"/>
        <w:spacing w:before="300" w:after="160"/>
      </w:pPr>
      <w:r>
        <w:rPr>
          <w:rFonts w:ascii="Arial" w:cs="Arial" w:eastAsia="Arial" w:hAnsi="Arial"/>
          <w:b/>
          <w:bCs/>
          <w:color w:val="2E4057"/>
          <w:sz w:val="28"/>
          <w:szCs w:val="28"/>
        </w:rPr>
        <w:t xml:space="preserve">Parte IV — La Pregunta</w:t>
      </w:r>
    </w:p>
    <w:p>
      <w:pPr>
        <w:spacing w:before="240" w:after="120"/>
      </w:pPr>
      <w:r>
        <w:rPr>
          <w:rFonts w:ascii="Arial" w:cs="Arial" w:eastAsia="Arial" w:hAnsi="Arial"/>
          <w:b/>
          <w:bCs/>
          <w:color w:val="3D5A80"/>
          <w:sz w:val="24"/>
          <w:szCs w:val="24"/>
        </w:rPr>
        <w:t xml:space="preserve">Capítulo 7: La idea que se reafirma</w:t>
      </w:r>
    </w:p>
    <w:p>
      <w:pPr>
        <w:spacing w:before="100" w:after="160"/>
      </w:pPr>
      <w:r>
        <w:rPr>
          <w:rFonts w:ascii="Arial" w:cs="Arial" w:eastAsia="Arial" w:hAnsi="Arial"/>
          <w:sz w:val="22"/>
          <w:szCs w:val="22"/>
        </w:rPr>
        <w:t xml:space="preserve">El argumento recursivo. Por qué esta teoría crece al examinarla. Qué implica para la ciencia, la filosofía, la política, la espiritualidad.</w:t>
      </w:r>
    </w:p>
    <w:p>
      <w:pPr>
        <w:spacing w:before="240" w:after="120"/>
      </w:pPr>
      <w:r>
        <w:rPr>
          <w:rFonts w:ascii="Arial" w:cs="Arial" w:eastAsia="Arial" w:hAnsi="Arial"/>
          <w:b/>
          <w:bCs/>
          <w:color w:val="3D5A80"/>
          <w:sz w:val="24"/>
          <w:szCs w:val="24"/>
        </w:rPr>
        <w:t xml:space="preserve">Capítulo 8: ¿Y ahora qué?</w:t>
      </w:r>
    </w:p>
    <w:p>
      <w:pPr>
        <w:spacing w:before="100" w:after="160"/>
      </w:pPr>
      <w:r>
        <w:rPr>
          <w:rFonts w:ascii="Arial" w:cs="Arial" w:eastAsia="Arial" w:hAnsi="Arial"/>
          <w:sz w:val="22"/>
          <w:szCs w:val="22"/>
        </w:rPr>
        <w:t xml:space="preserve">Consecuencias prácticas. Cómo una sociedad que entiende esto trataría a sus individuos. El valor de cada mente como moneda irreemplazable.</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4. Tensiones Centrales del Libro</w:t>
      </w:r>
    </w:p>
    <w:p>
      <w:pPr>
        <w:spacing w:before="100" w:after="160"/>
      </w:pPr>
      <w:r>
        <w:rPr>
          <w:rFonts w:ascii="Arial" w:cs="Arial" w:eastAsia="Arial" w:hAnsi="Arial"/>
          <w:sz w:val="22"/>
          <w:szCs w:val="22"/>
        </w:rPr>
        <w:t xml:space="preserve">Todo buen ensayo necesita fricciones. Estas son las del libro:</w:t>
      </w:r>
    </w:p>
    <w:p>
      <w:pPr>
        <w:spacing w:before="100" w:after="100"/>
      </w:pPr>
      <w:r>
        <w:t xml:space="preserve"/>
      </w:r>
    </w:p>
    <w:p>
      <w:pPr>
        <w:pStyle w:val="ListParagraph"/>
        <w:numPr>
          <w:ilvl w:val="0"/>
          <w:numId w:val="2"/>
        </w:numPr>
        <w:spacing w:before="80" w:after="80"/>
      </w:pPr>
      <w:r>
        <w:rPr>
          <w:rFonts w:ascii="Arial" w:cs="Arial" w:eastAsia="Arial" w:hAnsi="Arial"/>
          <w:sz w:val="22"/>
          <w:szCs w:val="22"/>
        </w:rPr>
        <w:t xml:space="preserve">Individual vs. colectivo: si cada mente paga diferente, ¿quién decide qué vale más?</w:t>
      </w:r>
    </w:p>
    <w:p>
      <w:pPr>
        <w:pStyle w:val="ListParagraph"/>
        <w:numPr>
          <w:ilvl w:val="0"/>
          <w:numId w:val="2"/>
        </w:numPr>
        <w:spacing w:before="80" w:after="80"/>
      </w:pPr>
      <w:r>
        <w:rPr>
          <w:rFonts w:ascii="Arial" w:cs="Arial" w:eastAsia="Arial" w:hAnsi="Arial"/>
          <w:sz w:val="22"/>
          <w:szCs w:val="22"/>
        </w:rPr>
        <w:t xml:space="preserve">Medible vs. inefable: ¿puede la neurociencia capturar lo que significa existir?</w:t>
      </w:r>
    </w:p>
    <w:p>
      <w:pPr>
        <w:pStyle w:val="ListParagraph"/>
        <w:numPr>
          <w:ilvl w:val="0"/>
          <w:numId w:val="2"/>
        </w:numPr>
        <w:spacing w:before="80" w:after="80"/>
      </w:pPr>
      <w:r>
        <w:rPr>
          <w:rFonts w:ascii="Arial" w:cs="Arial" w:eastAsia="Arial" w:hAnsi="Arial"/>
          <w:sz w:val="22"/>
          <w:szCs w:val="22"/>
        </w:rPr>
        <w:t xml:space="preserve">Convergencia vs. fragmentación: ¿la realidad nos une o cada cerebro vive en su propio universo?</w:t>
      </w:r>
    </w:p>
    <w:p>
      <w:pPr>
        <w:pStyle w:val="ListParagraph"/>
        <w:numPr>
          <w:ilvl w:val="0"/>
          <w:numId w:val="2"/>
        </w:numPr>
        <w:spacing w:before="80" w:after="80"/>
      </w:pPr>
      <w:r>
        <w:rPr>
          <w:rFonts w:ascii="Arial" w:cs="Arial" w:eastAsia="Arial" w:hAnsi="Arial"/>
          <w:sz w:val="22"/>
          <w:szCs w:val="22"/>
        </w:rPr>
        <w:t xml:space="preserve">Descriptivo vs. normativo: ¿este sistema ES así, o DEBERÍA ser así?</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5. Campo de Referencias</w:t>
      </w:r>
    </w:p>
    <w:p>
      <w:pPr>
        <w:pStyle w:val="Heading2"/>
        <w:spacing w:before="300" w:after="160"/>
      </w:pPr>
      <w:r>
        <w:rPr>
          <w:rFonts w:ascii="Arial" w:cs="Arial" w:eastAsia="Arial" w:hAnsi="Arial"/>
          <w:b/>
          <w:bCs/>
          <w:color w:val="2E4057"/>
          <w:sz w:val="28"/>
          <w:szCs w:val="28"/>
        </w:rPr>
        <w:t xml:space="preserve">Científicas</w:t>
      </w:r>
    </w:p>
    <w:p>
      <w:pPr>
        <w:pStyle w:val="ListParagraph"/>
        <w:numPr>
          <w:ilvl w:val="0"/>
          <w:numId w:val="2"/>
        </w:numPr>
        <w:spacing w:before="80" w:after="80"/>
      </w:pPr>
      <w:r>
        <w:rPr>
          <w:rFonts w:ascii="Arial" w:cs="Arial" w:eastAsia="Arial" w:hAnsi="Arial"/>
          <w:sz w:val="22"/>
          <w:szCs w:val="22"/>
        </w:rPr>
        <w:t xml:space="preserve">Karl Friston — Principio de energía libre, cerebro predictivo</w:t>
      </w:r>
    </w:p>
    <w:p>
      <w:pPr>
        <w:pStyle w:val="ListParagraph"/>
        <w:numPr>
          <w:ilvl w:val="0"/>
          <w:numId w:val="2"/>
        </w:numPr>
        <w:spacing w:before="80" w:after="80"/>
      </w:pPr>
      <w:r>
        <w:rPr>
          <w:rFonts w:ascii="Arial" w:cs="Arial" w:eastAsia="Arial" w:hAnsi="Arial"/>
          <w:sz w:val="22"/>
          <w:szCs w:val="22"/>
        </w:rPr>
        <w:t xml:space="preserve">Antonio Damasio — El error de Descartes, el cuerpo en la mente</w:t>
      </w:r>
    </w:p>
    <w:p>
      <w:pPr>
        <w:pStyle w:val="ListParagraph"/>
        <w:numPr>
          <w:ilvl w:val="0"/>
          <w:numId w:val="2"/>
        </w:numPr>
        <w:spacing w:before="80" w:after="80"/>
      </w:pPr>
      <w:r>
        <w:rPr>
          <w:rFonts w:ascii="Arial" w:cs="Arial" w:eastAsia="Arial" w:hAnsi="Arial"/>
          <w:sz w:val="22"/>
          <w:szCs w:val="22"/>
        </w:rPr>
        <w:t xml:space="preserve">Anil Seth — Being You (la alucinación controlada)</w:t>
      </w:r>
    </w:p>
    <w:p>
      <w:pPr>
        <w:pStyle w:val="ListParagraph"/>
        <w:numPr>
          <w:ilvl w:val="0"/>
          <w:numId w:val="2"/>
        </w:numPr>
        <w:spacing w:before="80" w:after="80"/>
      </w:pPr>
      <w:r>
        <w:rPr>
          <w:rFonts w:ascii="Arial" w:cs="Arial" w:eastAsia="Arial" w:hAnsi="Arial"/>
          <w:sz w:val="22"/>
          <w:szCs w:val="22"/>
        </w:rPr>
        <w:t xml:space="preserve">Olaf Sporns — Conectómica y redes cerebrales</w:t>
      </w:r>
    </w:p>
    <w:p>
      <w:pPr>
        <w:pStyle w:val="Heading2"/>
        <w:spacing w:before="300" w:after="160"/>
      </w:pPr>
      <w:r>
        <w:rPr>
          <w:rFonts w:ascii="Arial" w:cs="Arial" w:eastAsia="Arial" w:hAnsi="Arial"/>
          <w:b/>
          <w:bCs/>
          <w:color w:val="2E4057"/>
          <w:sz w:val="28"/>
          <w:szCs w:val="28"/>
        </w:rPr>
        <w:t xml:space="preserve">Divulgativas / Filosóficas</w:t>
      </w:r>
    </w:p>
    <w:p>
      <w:pPr>
        <w:pStyle w:val="ListParagraph"/>
        <w:numPr>
          <w:ilvl w:val="0"/>
          <w:numId w:val="2"/>
        </w:numPr>
        <w:spacing w:before="80" w:after="80"/>
      </w:pPr>
      <w:r>
        <w:rPr>
          <w:rFonts w:ascii="Arial" w:cs="Arial" w:eastAsia="Arial" w:hAnsi="Arial"/>
          <w:sz w:val="22"/>
          <w:szCs w:val="22"/>
        </w:rPr>
        <w:t xml:space="preserve">Carlo Rovelli — El orden del tiempo, Helgoland</w:t>
      </w:r>
    </w:p>
    <w:p>
      <w:pPr>
        <w:pStyle w:val="ListParagraph"/>
        <w:numPr>
          <w:ilvl w:val="0"/>
          <w:numId w:val="2"/>
        </w:numPr>
        <w:spacing w:before="80" w:after="80"/>
      </w:pPr>
      <w:r>
        <w:rPr>
          <w:rFonts w:ascii="Arial" w:cs="Arial" w:eastAsia="Arial" w:hAnsi="Arial"/>
          <w:sz w:val="22"/>
          <w:szCs w:val="22"/>
        </w:rPr>
        <w:t xml:space="preserve">Yuval Noah Harari — Sapiens (estructura narrativa de referencia)</w:t>
      </w:r>
    </w:p>
    <w:p>
      <w:pPr>
        <w:pStyle w:val="ListParagraph"/>
        <w:numPr>
          <w:ilvl w:val="0"/>
          <w:numId w:val="2"/>
        </w:numPr>
        <w:spacing w:before="80" w:after="80"/>
      </w:pPr>
      <w:r>
        <w:rPr>
          <w:rFonts w:ascii="Arial" w:cs="Arial" w:eastAsia="Arial" w:hAnsi="Arial"/>
          <w:sz w:val="22"/>
          <w:szCs w:val="22"/>
        </w:rPr>
        <w:t xml:space="preserve">Douglas Hofstadter — Gödel, Escher, Bach (recursividad)</w:t>
      </w:r>
    </w:p>
    <w:p>
      <w:pPr>
        <w:pStyle w:val="Heading2"/>
        <w:spacing w:before="300" w:after="160"/>
      </w:pPr>
      <w:r>
        <w:rPr>
          <w:rFonts w:ascii="Arial" w:cs="Arial" w:eastAsia="Arial" w:hAnsi="Arial"/>
          <w:b/>
          <w:bCs/>
          <w:color w:val="2E4057"/>
          <w:sz w:val="28"/>
          <w:szCs w:val="28"/>
        </w:rPr>
        <w:t xml:space="preserve">Técnicas / Emergentes</w:t>
      </w:r>
    </w:p>
    <w:p>
      <w:pPr>
        <w:pStyle w:val="ListParagraph"/>
        <w:numPr>
          <w:ilvl w:val="0"/>
          <w:numId w:val="2"/>
        </w:numPr>
        <w:spacing w:before="80" w:after="80"/>
      </w:pPr>
      <w:r>
        <w:rPr>
          <w:rFonts w:ascii="Arial" w:cs="Arial" w:eastAsia="Arial" w:hAnsi="Arial"/>
          <w:sz w:val="22"/>
          <w:szCs w:val="22"/>
        </w:rPr>
        <w:t xml:space="preserve">BCI: Neuralink, BrainGate — interfaces cerebro-computadora</w:t>
      </w:r>
    </w:p>
    <w:p>
      <w:pPr>
        <w:pStyle w:val="ListParagraph"/>
        <w:numPr>
          <w:ilvl w:val="0"/>
          <w:numId w:val="2"/>
        </w:numPr>
        <w:spacing w:before="80" w:after="80"/>
      </w:pPr>
      <w:r>
        <w:rPr>
          <w:rFonts w:ascii="Arial" w:cs="Arial" w:eastAsia="Arial" w:hAnsi="Arial"/>
          <w:sz w:val="22"/>
          <w:szCs w:val="22"/>
        </w:rPr>
        <w:t xml:space="preserve">GibberLink / ggwave — comunicación agente-a-agente como analogía</w:t>
      </w:r>
    </w:p>
    <w:p>
      <w:pPr>
        <w:pStyle w:val="ListParagraph"/>
        <w:numPr>
          <w:ilvl w:val="0"/>
          <w:numId w:val="2"/>
        </w:numPr>
        <w:spacing w:before="80" w:after="80"/>
      </w:pPr>
      <w:r>
        <w:rPr>
          <w:rFonts w:ascii="Arial" w:cs="Arial" w:eastAsia="Arial" w:hAnsi="Arial"/>
          <w:sz w:val="22"/>
          <w:szCs w:val="22"/>
        </w:rPr>
        <w:t xml:space="preserve">Teoría de sistemas complejos — Santa Fe Institute</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6. Estrategia de Monetización</w:t>
      </w:r>
    </w:p>
    <w:p>
      <w:pPr>
        <w:pStyle w:val="Heading2"/>
        <w:spacing w:before="300" w:after="160"/>
      </w:pPr>
      <w:r>
        <w:rPr>
          <w:rFonts w:ascii="Arial" w:cs="Arial" w:eastAsia="Arial" w:hAnsi="Arial"/>
          <w:b/>
          <w:bCs/>
          <w:color w:val="2E4057"/>
          <w:sz w:val="28"/>
          <w:szCs w:val="28"/>
        </w:rPr>
        <w:t xml:space="preserve">Fase 1 — Validación (0-3 meses)</w:t>
      </w:r>
    </w:p>
    <w:p>
      <w:pPr>
        <w:pStyle w:val="ListParagraph"/>
        <w:numPr>
          <w:ilvl w:val="0"/>
          <w:numId w:val="2"/>
        </w:numPr>
        <w:spacing w:before="80" w:after="80"/>
      </w:pPr>
      <w:r>
        <w:rPr>
          <w:rFonts w:ascii="Arial" w:cs="Arial" w:eastAsia="Arial" w:hAnsi="Arial"/>
          <w:sz w:val="22"/>
          <w:szCs w:val="22"/>
        </w:rPr>
        <w:t xml:space="preserve">Escribir ensayo piloto de 3,000-5,000 palabras con el núcleo de la tesis</w:t>
      </w:r>
    </w:p>
    <w:p>
      <w:pPr>
        <w:pStyle w:val="ListParagraph"/>
        <w:numPr>
          <w:ilvl w:val="0"/>
          <w:numId w:val="2"/>
        </w:numPr>
        <w:spacing w:before="80" w:after="80"/>
      </w:pPr>
      <w:r>
        <w:rPr>
          <w:rFonts w:ascii="Arial" w:cs="Arial" w:eastAsia="Arial" w:hAnsi="Arial"/>
          <w:sz w:val="22"/>
          <w:szCs w:val="22"/>
        </w:rPr>
        <w:t xml:space="preserve">Publicar en Substack o Medium en español</w:t>
      </w:r>
    </w:p>
    <w:p>
      <w:pPr>
        <w:pStyle w:val="ListParagraph"/>
        <w:numPr>
          <w:ilvl w:val="0"/>
          <w:numId w:val="2"/>
        </w:numPr>
        <w:spacing w:before="80" w:after="80"/>
      </w:pPr>
      <w:r>
        <w:rPr>
          <w:rFonts w:ascii="Arial" w:cs="Arial" w:eastAsia="Arial" w:hAnsi="Arial"/>
          <w:sz w:val="22"/>
          <w:szCs w:val="22"/>
        </w:rPr>
        <w:t xml:space="preserve">Medir resonancia: lectores, comentarios, compartidos</w:t>
      </w:r>
    </w:p>
    <w:p>
      <w:pPr>
        <w:pStyle w:val="Heading2"/>
        <w:spacing w:before="300" w:after="160"/>
      </w:pPr>
      <w:r>
        <w:rPr>
          <w:rFonts w:ascii="Arial" w:cs="Arial" w:eastAsia="Arial" w:hAnsi="Arial"/>
          <w:b/>
          <w:bCs/>
          <w:color w:val="2E4057"/>
          <w:sz w:val="28"/>
          <w:szCs w:val="28"/>
        </w:rPr>
        <w:t xml:space="preserve">Fase 2 — Construcción (3-12 meses)</w:t>
      </w:r>
    </w:p>
    <w:p>
      <w:pPr>
        <w:pStyle w:val="ListParagraph"/>
        <w:numPr>
          <w:ilvl w:val="0"/>
          <w:numId w:val="2"/>
        </w:numPr>
        <w:spacing w:before="80" w:after="80"/>
      </w:pPr>
      <w:r>
        <w:rPr>
          <w:rFonts w:ascii="Arial" w:cs="Arial" w:eastAsia="Arial" w:hAnsi="Arial"/>
          <w:sz w:val="22"/>
          <w:szCs w:val="22"/>
        </w:rPr>
        <w:t xml:space="preserve">Desarrollar capítulos en orden de la Parte I a la IV</w:t>
      </w:r>
    </w:p>
    <w:p>
      <w:pPr>
        <w:pStyle w:val="ListParagraph"/>
        <w:numPr>
          <w:ilvl w:val="0"/>
          <w:numId w:val="2"/>
        </w:numPr>
        <w:spacing w:before="80" w:after="80"/>
      </w:pPr>
      <w:r>
        <w:rPr>
          <w:rFonts w:ascii="Arial" w:cs="Arial" w:eastAsia="Arial" w:hAnsi="Arial"/>
          <w:sz w:val="22"/>
          <w:szCs w:val="22"/>
        </w:rPr>
        <w:t xml:space="preserve">Usar Claude Code para mantener coherencia interna, referencias cruzadas y estructura</w:t>
      </w:r>
    </w:p>
    <w:p>
      <w:pPr>
        <w:pStyle w:val="ListParagraph"/>
        <w:numPr>
          <w:ilvl w:val="0"/>
          <w:numId w:val="2"/>
        </w:numPr>
        <w:spacing w:before="80" w:after="80"/>
      </w:pPr>
      <w:r>
        <w:rPr>
          <w:rFonts w:ascii="Arial" w:cs="Arial" w:eastAsia="Arial" w:hAnsi="Arial"/>
          <w:sz w:val="22"/>
          <w:szCs w:val="22"/>
        </w:rPr>
        <w:t xml:space="preserve">Buscar beta-lectores en comunidades de neurociencia, filosofía y tecnología</w:t>
      </w:r>
    </w:p>
    <w:p>
      <w:pPr>
        <w:pStyle w:val="Heading2"/>
        <w:spacing w:before="300" w:after="160"/>
      </w:pPr>
      <w:r>
        <w:rPr>
          <w:rFonts w:ascii="Arial" w:cs="Arial" w:eastAsia="Arial" w:hAnsi="Arial"/>
          <w:b/>
          <w:bCs/>
          <w:color w:val="2E4057"/>
          <w:sz w:val="28"/>
          <w:szCs w:val="28"/>
        </w:rPr>
        <w:t xml:space="preserve">Fase 3 — Publicación</w:t>
      </w:r>
    </w:p>
    <w:p>
      <w:pPr>
        <w:pStyle w:val="ListParagraph"/>
        <w:numPr>
          <w:ilvl w:val="0"/>
          <w:numId w:val="2"/>
        </w:numPr>
        <w:spacing w:before="80" w:after="80"/>
      </w:pPr>
      <w:r>
        <w:rPr>
          <w:rFonts w:ascii="Arial" w:cs="Arial" w:eastAsia="Arial" w:hAnsi="Arial"/>
          <w:sz w:val="22"/>
          <w:szCs w:val="22"/>
        </w:rPr>
        <w:t xml:space="preserve">Editorial independiente (KDP/Amazon) como primera opción viable sin inversión</w:t>
      </w:r>
    </w:p>
    <w:p>
      <w:pPr>
        <w:pStyle w:val="ListParagraph"/>
        <w:numPr>
          <w:ilvl w:val="0"/>
          <w:numId w:val="2"/>
        </w:numPr>
        <w:spacing w:before="80" w:after="80"/>
      </w:pPr>
      <w:r>
        <w:rPr>
          <w:rFonts w:ascii="Arial" w:cs="Arial" w:eastAsia="Arial" w:hAnsi="Arial"/>
          <w:sz w:val="22"/>
          <w:szCs w:val="22"/>
        </w:rPr>
        <w:t xml:space="preserve">Pitch a editoriales hispanohablantes: Paidós, Anagrama, FCE</w:t>
      </w:r>
    </w:p>
    <w:p>
      <w:pPr>
        <w:pStyle w:val="ListParagraph"/>
        <w:numPr>
          <w:ilvl w:val="0"/>
          <w:numId w:val="2"/>
        </w:numPr>
        <w:spacing w:before="80" w:after="80"/>
      </w:pPr>
      <w:r>
        <w:rPr>
          <w:rFonts w:ascii="Arial" w:cs="Arial" w:eastAsia="Arial" w:hAnsi="Arial"/>
          <w:sz w:val="22"/>
          <w:szCs w:val="22"/>
        </w:rPr>
        <w:t xml:space="preserve">Versión en inglés como mercado secundario de mayor volumen</w:t>
      </w:r>
    </w:p>
    <w:p>
      <w:pPr>
        <w:spacing w:before="100" w:after="100"/>
      </w:pPr>
      <w:r>
        <w:t xml:space="preserve"/>
      </w:r>
    </w:p>
    <w:p>
      <w:pPr>
        <w:pStyle w:val="Heading1"/>
        <w:spacing w:before="400" w:after="200"/>
      </w:pPr>
      <w:r>
        <w:rPr>
          <w:rFonts w:ascii="Arial" w:cs="Arial" w:eastAsia="Arial" w:hAnsi="Arial"/>
          <w:b/>
          <w:bCs/>
          <w:color w:val="1A1A2E"/>
          <w:sz w:val="36"/>
          <w:szCs w:val="36"/>
        </w:rPr>
        <w:t xml:space="preserve">7. Instrucciones para Claude Code</w:t>
      </w:r>
    </w:p>
    <w:p>
      <w:pPr>
        <w:spacing w:before="100" w:after="160"/>
      </w:pPr>
      <w:r>
        <w:rPr>
          <w:rFonts w:ascii="Arial" w:cs="Arial" w:eastAsia="Arial" w:hAnsi="Arial"/>
          <w:sz w:val="22"/>
          <w:szCs w:val="22"/>
        </w:rPr>
        <w:t xml:space="preserve">Este blueprint está diseñado para ser usado con Claude Code como motor de desarrollo del libro. Instrucciones recomendadas:</w:t>
      </w:r>
    </w:p>
    <w:p>
      <w:pPr>
        <w:spacing w:before="100" w:after="100"/>
      </w:pPr>
      <w:r>
        <w:t xml:space="preserve"/>
      </w:r>
    </w:p>
    <w:p>
      <w:pPr>
        <w:pStyle w:val="Heading2"/>
        <w:spacing w:before="300" w:after="160"/>
      </w:pPr>
      <w:r>
        <w:rPr>
          <w:rFonts w:ascii="Arial" w:cs="Arial" w:eastAsia="Arial" w:hAnsi="Arial"/>
          <w:b/>
          <w:bCs/>
          <w:color w:val="2E4057"/>
          <w:sz w:val="28"/>
          <w:szCs w:val="28"/>
        </w:rPr>
        <w:t xml:space="preserve">Contexto persistente</w:t>
      </w:r>
    </w:p>
    <w:p>
      <w:pPr>
        <w:spacing w:before="100" w:after="160"/>
      </w:pPr>
      <w:r>
        <w:rPr>
          <w:rFonts w:ascii="Arial" w:cs="Arial" w:eastAsia="Arial" w:hAnsi="Arial"/>
          <w:sz w:val="22"/>
          <w:szCs w:val="22"/>
        </w:rPr>
        <w:t xml:space="preserve">Mantener este blueprint como documento de referencia en cada sesión. Claude Code debe verificar consistencia de argumentos contra la tesis central en cada capítulo nuevo.</w:t>
      </w:r>
    </w:p>
    <w:p>
      <w:pPr>
        <w:pStyle w:val="Heading2"/>
        <w:spacing w:before="300" w:after="160"/>
      </w:pPr>
      <w:r>
        <w:rPr>
          <w:rFonts w:ascii="Arial" w:cs="Arial" w:eastAsia="Arial" w:hAnsi="Arial"/>
          <w:b/>
          <w:bCs/>
          <w:color w:val="2E4057"/>
          <w:sz w:val="28"/>
          <w:szCs w:val="28"/>
        </w:rPr>
        <w:t xml:space="preserve">Tareas prioritarias</w:t>
      </w:r>
    </w:p>
    <w:p>
      <w:pPr>
        <w:pStyle w:val="ListParagraph"/>
        <w:numPr>
          <w:ilvl w:val="0"/>
          <w:numId w:val="2"/>
        </w:numPr>
        <w:spacing w:before="80" w:after="80"/>
      </w:pPr>
      <w:r>
        <w:rPr>
          <w:rFonts w:ascii="Arial" w:cs="Arial" w:eastAsia="Arial" w:hAnsi="Arial"/>
          <w:sz w:val="22"/>
          <w:szCs w:val="22"/>
        </w:rPr>
        <w:t xml:space="preserve">Desarrollar el Capítulo 1 completo como prueba de estilo y profundidad</w:t>
      </w:r>
    </w:p>
    <w:p>
      <w:pPr>
        <w:pStyle w:val="ListParagraph"/>
        <w:numPr>
          <w:ilvl w:val="0"/>
          <w:numId w:val="2"/>
        </w:numPr>
        <w:spacing w:before="80" w:after="80"/>
      </w:pPr>
      <w:r>
        <w:rPr>
          <w:rFonts w:ascii="Arial" w:cs="Arial" w:eastAsia="Arial" w:hAnsi="Arial"/>
          <w:sz w:val="22"/>
          <w:szCs w:val="22"/>
        </w:rPr>
        <w:t xml:space="preserve">Construir glosario de términos clave con definiciones propias del libro</w:t>
      </w:r>
    </w:p>
    <w:p>
      <w:pPr>
        <w:pStyle w:val="ListParagraph"/>
        <w:numPr>
          <w:ilvl w:val="0"/>
          <w:numId w:val="2"/>
        </w:numPr>
        <w:spacing w:before="80" w:after="80"/>
      </w:pPr>
      <w:r>
        <w:rPr>
          <w:rFonts w:ascii="Arial" w:cs="Arial" w:eastAsia="Arial" w:hAnsi="Arial"/>
          <w:sz w:val="22"/>
          <w:szCs w:val="22"/>
        </w:rPr>
        <w:t xml:space="preserve">Generar lista de preguntas de investigación por capítulo</w:t>
      </w:r>
    </w:p>
    <w:p>
      <w:pPr>
        <w:pStyle w:val="ListParagraph"/>
        <w:numPr>
          <w:ilvl w:val="0"/>
          <w:numId w:val="2"/>
        </w:numPr>
        <w:spacing w:before="80" w:after="80"/>
      </w:pPr>
      <w:r>
        <w:rPr>
          <w:rFonts w:ascii="Arial" w:cs="Arial" w:eastAsia="Arial" w:hAnsi="Arial"/>
          <w:sz w:val="22"/>
          <w:szCs w:val="22"/>
        </w:rPr>
        <w:t xml:space="preserve">Mantener log de tensiones y contraargumentos encontrados</w:t>
      </w:r>
    </w:p>
    <w:p>
      <w:pPr>
        <w:pStyle w:val="Heading2"/>
        <w:spacing w:before="300" w:after="160"/>
      </w:pPr>
      <w:r>
        <w:rPr>
          <w:rFonts w:ascii="Arial" w:cs="Arial" w:eastAsia="Arial" w:hAnsi="Arial"/>
          <w:b/>
          <w:bCs/>
          <w:color w:val="2E4057"/>
          <w:sz w:val="28"/>
          <w:szCs w:val="28"/>
        </w:rPr>
        <w:t xml:space="preserve">Parámetros de estilo</w:t>
      </w:r>
    </w:p>
    <w:p>
      <w:pPr>
        <w:pStyle w:val="ListParagraph"/>
        <w:numPr>
          <w:ilvl w:val="0"/>
          <w:numId w:val="2"/>
        </w:numPr>
        <w:spacing w:before="80" w:after="80"/>
      </w:pPr>
      <w:r>
        <w:rPr>
          <w:rFonts w:ascii="Arial" w:cs="Arial" w:eastAsia="Arial" w:hAnsi="Arial"/>
          <w:sz w:val="22"/>
          <w:szCs w:val="22"/>
        </w:rPr>
        <w:t xml:space="preserve">Tono: accesible pero no condescendiente. Curioso, no dogmático</w:t>
      </w:r>
    </w:p>
    <w:p>
      <w:pPr>
        <w:pStyle w:val="ListParagraph"/>
        <w:numPr>
          <w:ilvl w:val="0"/>
          <w:numId w:val="2"/>
        </w:numPr>
        <w:spacing w:before="80" w:after="80"/>
      </w:pPr>
      <w:r>
        <w:rPr>
          <w:rFonts w:ascii="Arial" w:cs="Arial" w:eastAsia="Arial" w:hAnsi="Arial"/>
          <w:sz w:val="22"/>
          <w:szCs w:val="22"/>
        </w:rPr>
        <w:t xml:space="preserve">Analogías: usar sistemas físicos, económicos y biológicos — no filosofía abstracta</w:t>
      </w:r>
    </w:p>
    <w:p>
      <w:pPr>
        <w:pStyle w:val="ListParagraph"/>
        <w:numPr>
          <w:ilvl w:val="0"/>
          <w:numId w:val="2"/>
        </w:numPr>
        <w:spacing w:before="80" w:after="80"/>
      </w:pPr>
      <w:r>
        <w:rPr>
          <w:rFonts w:ascii="Arial" w:cs="Arial" w:eastAsia="Arial" w:hAnsi="Arial"/>
          <w:sz w:val="22"/>
          <w:szCs w:val="22"/>
        </w:rPr>
        <w:t xml:space="preserve">Estructura de párrafo: idea → evidencia → implicación</w:t>
      </w:r>
    </w:p>
    <w:p>
      <w:pPr>
        <w:pStyle w:val="ListParagraph"/>
        <w:numPr>
          <w:ilvl w:val="0"/>
          <w:numId w:val="2"/>
        </w:numPr>
        <w:spacing w:before="80" w:after="80"/>
      </w:pPr>
      <w:r>
        <w:rPr>
          <w:rFonts w:ascii="Arial" w:cs="Arial" w:eastAsia="Arial" w:hAnsi="Arial"/>
          <w:sz w:val="22"/>
          <w:szCs w:val="22"/>
        </w:rPr>
        <w:t xml:space="preserve">Longitud de capítulo objetivo: 6,000-8,000 palabras</w:t>
      </w:r>
    </w:p>
    <w:p>
      <w:pPr>
        <w:spacing w:before="100" w:after="100"/>
      </w:pPr>
      <w:r>
        <w:t xml:space="preserve"/>
      </w:r>
    </w:p>
    <w:p>
      <w:pPr>
        <w:pBdr>
          <w:bottom w:val="single" w:color="CCCCCC" w:sz="4" w:space="1"/>
        </w:pBdr>
        <w:spacing w:before="200" w:after="200"/>
      </w:pPr>
    </w:p>
    <w:p>
      <w:pPr>
        <w:spacing w:before="400" w:after="200"/>
        <w:jc w:val="center"/>
      </w:pPr>
      <w:r>
        <w:rPr>
          <w:rFonts w:ascii="Arial" w:cs="Arial" w:eastAsia="Arial" w:hAnsi="Arial"/>
          <w:i/>
          <w:iCs/>
          <w:color w:val="3D5A80"/>
          <w:sz w:val="24"/>
          <w:szCs w:val="24"/>
        </w:rPr>
        <w:t xml:space="preserve">"La forma es irrepetible. El impulso, casi inevitable."</w:t>
      </w:r>
    </w:p>
    <w:p>
      <w:pPr>
        <w:spacing w:before="0" w:after="400"/>
        <w:jc w:val="center"/>
      </w:pPr>
      <w:r>
        <w:rPr>
          <w:rFonts w:ascii="Arial" w:cs="Arial" w:eastAsia="Arial" w:hAnsi="Arial"/>
          <w:color w:val="999999"/>
          <w:sz w:val="20"/>
          <w:szCs w:val="20"/>
        </w:rPr>
        <w:t xml:space="preserve">— Blueprint v1.0, Marzo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Blueprint confidencial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2026-03-07T01:26:17.009Z</dcterms:created>
  <dcterms:modified xsi:type="dcterms:W3CDTF">2026-03-07T01:26:17.010Z</dcterms:modified>
</cp:coreProperties>
</file>

<file path=docProps/custom.xml><?xml version="1.0" encoding="utf-8"?>
<Properties xmlns="http://schemas.openxmlformats.org/officeDocument/2006/custom-properties" xmlns:vt="http://schemas.openxmlformats.org/officeDocument/2006/docPropsVTypes"/>
</file>