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Aptos" w:hAnsi="Aptos"/>
          <w:b/>
          <w:sz w:val="22"/>
        </w:rPr>
        <w:t>LEVIATHAN / RIPG</w:t>
      </w:r>
    </w:p>
    <w:p>
      <w:pPr>
        <w:pStyle w:val="Title"/>
        <w:jc w:val="center"/>
      </w:pPr>
      <w:r>
        <w:t>Mapa de rutas de investigación</w:t>
      </w:r>
    </w:p>
    <w:p>
      <w:pPr>
        <w:spacing w:after="40" w:line="240" w:lineRule="auto"/>
        <w:jc w:val="center"/>
      </w:pPr>
      <w:r>
        <w:rPr>
          <w:i/>
          <w:sz w:val="24"/>
        </w:rPr>
        <w:t>Prioridades, dependencias, riesgos y criterios de decisión</w:t>
      </w:r>
    </w:p>
    <w:p>
      <w:pPr>
        <w:spacing w:after="40" w:line="240" w:lineRule="auto"/>
        <w:jc w:val="center"/>
      </w:pPr>
      <w:r>
        <w:rPr>
          <w:sz w:val="20"/>
        </w:rPr>
        <w:t>Estado de referencia: T2-A en 468/800 auditorías, protocolo congelado.</w:t>
      </w:r>
    </w:p>
    <w:p>
      <w:pPr>
        <w:spacing w:after="40" w:line="240" w:lineRule="auto"/>
      </w:pPr>
    </w:p>
    <w:p>
      <w:pPr>
        <w:pStyle w:val="Heading1"/>
      </w:pPr>
      <w:r>
        <w:t>1. Propósito</w:t>
      </w:r>
    </w:p>
    <w:p>
      <w:pPr>
        <w:spacing w:after="40" w:line="240" w:lineRule="auto"/>
      </w:pPr>
      <w:r>
        <w:t>Este documento organiza los principales caminos científicos de RIPG después del programa E12–E15 y durante la validación prospectiva T2-A. El objetivo no es maximizar el número de extensiones, sino priorizar aquellas que más reducen incertidumbre sobre la hipótesis central: qué parte de la geometría perspectival es intrínseca, predictiva y estable frente a decisiones de modelado.</w:t>
      </w:r>
    </w:p>
    <w:p>
      <w:pPr>
        <w:spacing w:after="40" w:line="240" w:lineRule="auto"/>
      </w:pPr>
      <w:r>
        <w:t>El peso estratégico asignado a cada línea es una recomendación de cartera, no una probabilidad de éxito. Los pesos suman 100% y reflejan cuatro factores: valor científico, urgencia como prerrequisito, poder de falsación y costo/riesgo de confusión.</w:t>
      </w:r>
    </w:p>
    <w:p>
      <w:pPr>
        <w:pStyle w:val="Heading1"/>
      </w:pPr>
      <w:r>
        <w:t>2. Estado científico actual</w:t>
      </w:r>
    </w:p>
    <w:p>
      <w:pPr>
        <w:pStyle w:val="ListBullet"/>
        <w:spacing w:after="20" w:line="240" w:lineRule="auto"/>
      </w:pPr>
      <w:r>
        <w:t>T2-A está incompleto y permanece ciego respecto de desenlaces futuros; el estado reportado es 468/800 auditorías basales.</w:t>
      </w:r>
    </w:p>
    <w:p>
      <w:pPr>
        <w:pStyle w:val="ListBullet"/>
        <w:spacing w:after="20" w:line="240" w:lineRule="auto"/>
      </w:pPr>
      <w:r>
        <w:t>La geometría operativa validada es una familia 2D de perspectivas; no existe todavía un espacio ambiente canónico P_m para m&gt;2.</w:t>
      </w:r>
    </w:p>
    <w:p>
      <w:pPr>
        <w:pStyle w:val="ListBullet"/>
        <w:spacing w:after="20" w:line="240" w:lineRule="auto"/>
      </w:pPr>
      <w:r>
        <w:t>En P₂ hay evidencia fuerte de pérdida de inyectividad en casos concretos, pero conviene separar y certificar formalmente las ramas conjugada y Maxwell/corte.</w:t>
      </w:r>
    </w:p>
    <w:p>
      <w:pPr>
        <w:pStyle w:val="ListBullet"/>
        <w:spacing w:after="20" w:line="240" w:lineRule="auto"/>
      </w:pPr>
      <w:r>
        <w:t>La curvatura K usada en C1-A2 proviene del campo métrico exacto Gρ y sus derivadas por autodiferenciación, no de diferencias finitas.</w:t>
      </w:r>
    </w:p>
    <w:p>
      <w:pPr>
        <w:pStyle w:val="ListBullet"/>
        <w:spacing w:after="20" w:line="240" w:lineRule="auto"/>
      </w:pPr>
      <w:r>
        <w:t>Para una futura extensión m&gt;2, las rebanadas geodésicas Σ_Π permiten aislar K(Π) en P₀, pero toda interpretación es relativa a la familia perspectival Φ elegida.</w:t>
      </w:r>
    </w:p>
    <w:p>
      <w:pPr>
        <w:pStyle w:val="Heading1"/>
      </w:pPr>
      <w:r>
        <w:t>3. Portafolio propuesto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ID</w:t>
            </w:r>
          </w:p>
        </w:tc>
        <w:tc>
          <w:tcPr>
            <w:tcW w:type="dxa" w:w="1704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Línea</w:t>
            </w:r>
          </w:p>
        </w:tc>
        <w:tc>
          <w:tcPr>
            <w:tcW w:type="dxa" w:w="1704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Peso</w:t>
            </w:r>
          </w:p>
        </w:tc>
        <w:tc>
          <w:tcPr>
            <w:tcW w:type="dxa" w:w="1704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Relevancia</w:t>
            </w:r>
          </w:p>
        </w:tc>
        <w:tc>
          <w:tcPr>
            <w:tcW w:type="dxa" w:w="1704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Momento</w:t>
            </w:r>
          </w:p>
        </w:tc>
        <w:tc>
          <w:tcPr>
            <w:tcW w:type="dxa" w:w="1704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Pregunta que resuelve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Completar T2-A prospectivo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20%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Muy alta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Ahora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Prueba si una señal geométrica temprana predice no-inyectividad futura fuera de muestra.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Certificación conjugada en P₂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15%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Muy alta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Ahora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Cierra el mecanismo focal con cantidades con signo y dos rutas independientes.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Capa Maxwell / colisión del frente en P₂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15%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Muy alta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Después de B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Separa corte global de autointersecciones inducidas por conjugados.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Robustez dentro de P₂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8%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Después de B–C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Controla activación, elecciones instrumentales y estabilidad del fenómeno sin cambiar de familia ambiente.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Canonicidad y extensiones P_m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12%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Tras cerrar P₂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Formaliza que P_m depende de Φ y compara familias admisibles.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Tomografía Grassmanniana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10%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Después de 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Estudia Π↦K^(Φ)(Π), r_conj^(Φ)(Π) y estructura direccional en una familia fija.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Composicionalidad y coarse-graining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10%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Exploratoria controlada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Pregunta si composiciones no invertibles crean estructura y reducen dimensión geométrica efectiva.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Benchmarks físicos: PINNs / Boltzmann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7%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Media-alta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Tras cierre básico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Prueba RIPG contra invariantes y estructura física conocida.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Puente con teoría de aproximación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3%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Media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Largo plazo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Relaciona dimensión geométrica efectiva con complejidad, generalización y tasas de aproximación.</w:t>
            </w:r>
          </w:p>
        </w:tc>
      </w:tr>
    </w:tbl>
    <w:p>
      <w:pPr>
        <w:pStyle w:val="Heading1"/>
      </w:pPr>
      <w:r>
        <w:t>4. Líneas prioritarias</w:t>
      </w:r>
    </w:p>
    <w:p>
      <w:pPr>
        <w:pStyle w:val="Heading2"/>
      </w:pPr>
      <w:r>
        <w:t>A. Completar T2-A — validación prospectiva</w:t>
      </w:r>
    </w:p>
    <w:p>
      <w:pPr>
        <w:spacing w:after="40" w:line="240" w:lineRule="auto"/>
      </w:pPr>
      <w:r>
        <w:rPr>
          <w:b/>
        </w:rPr>
        <w:t xml:space="preserve">Peso sugerido: </w:t>
      </w:r>
      <w:r>
        <w:t>20%</w:t>
      </w:r>
    </w:p>
    <w:p>
      <w:pPr>
        <w:spacing w:after="40" w:line="240" w:lineRule="auto"/>
      </w:pPr>
      <w:r>
        <w:rPr>
          <w:b/>
        </w:rPr>
        <w:t xml:space="preserve">Hipótesis: </w:t>
      </w:r>
      <w:r>
        <w:t>Una propiedad geométrica temprana puede anticipar pérdida futura de inyectividad bajo un protocolo preregistrado y sin abrir desenlaces.</w:t>
      </w:r>
    </w:p>
    <w:p>
      <w:pPr>
        <w:spacing w:after="40" w:line="240" w:lineRule="auto"/>
      </w:pPr>
      <w:r>
        <w:rPr>
          <w:b/>
        </w:rPr>
        <w:t xml:space="preserve">Valor: </w:t>
      </w:r>
      <w:r>
        <w:t>Es la prueba más directa de poder predictivo prospectivo; distingue señal descriptiva de mecanismo útil.</w:t>
      </w:r>
    </w:p>
    <w:p>
      <w:pPr>
        <w:spacing w:after="40" w:line="240" w:lineRule="auto"/>
      </w:pPr>
      <w:r>
        <w:rPr>
          <w:b/>
        </w:rPr>
        <w:t xml:space="preserve">Criterio de salida: </w:t>
      </w:r>
      <w:r>
        <w:t>PASS / FAIL / INCONCLUSIVE según reglas congeladas de T2-A0, sin redefinir predictor, umbrales ni cohorte.</w:t>
      </w:r>
    </w:p>
    <w:p>
      <w:pPr>
        <w:spacing w:after="40" w:line="240" w:lineRule="auto"/>
      </w:pPr>
      <w:r>
        <w:rPr>
          <w:b/>
        </w:rPr>
        <w:t xml:space="preserve">Dependencias: </w:t>
      </w:r>
      <w:r>
        <w:t>Ninguna línea nueva debe contaminar la cohorte o alterar el protocolo antes del cierre.</w:t>
      </w:r>
    </w:p>
    <w:p>
      <w:pPr>
        <w:pStyle w:val="Heading2"/>
      </w:pPr>
      <w:r>
        <w:t>B. Certificación conjugada en P₂</w:t>
      </w:r>
    </w:p>
    <w:p>
      <w:pPr>
        <w:spacing w:after="40" w:line="240" w:lineRule="auto"/>
      </w:pPr>
      <w:r>
        <w:rPr>
          <w:b/>
        </w:rPr>
        <w:t xml:space="preserve">Peso sugerido: </w:t>
      </w:r>
      <w:r>
        <w:t>15%</w:t>
      </w:r>
    </w:p>
    <w:p>
      <w:pPr>
        <w:spacing w:after="40" w:line="240" w:lineRule="auto"/>
      </w:pPr>
      <w:r>
        <w:rPr>
          <w:b/>
        </w:rPr>
        <w:t xml:space="preserve">Objetivo: </w:t>
      </w:r>
      <w:r>
        <w:t>Certificar el primer conjugado con información orientada y no únicamente con σ_min.</w:t>
      </w:r>
    </w:p>
    <w:p>
      <w:pPr>
        <w:pStyle w:val="ListBullet"/>
        <w:spacing w:after="20" w:line="240" w:lineRule="auto"/>
      </w:pPr>
      <w:r>
        <w:t>Usar det(Dexp) con signo o, equivalentemente en 2D, el signo de J(r)/r.</w:t>
      </w:r>
    </w:p>
    <w:p>
      <w:pPr>
        <w:pStyle w:val="ListBullet"/>
        <w:spacing w:after="20" w:line="240" w:lineRule="auto"/>
      </w:pPr>
      <w:r>
        <w:t>Exigir un cambio de signo entre radios r₋ y r₊ cuyos valores excedan la barra de error del integrador.</w:t>
      </w:r>
    </w:p>
    <w:p>
      <w:pPr>
        <w:pStyle w:val="ListBullet"/>
        <w:spacing w:after="20" w:line="240" w:lineRule="auto"/>
      </w:pPr>
      <w:r>
        <w:t>Integrar de forma independiente J'' + K(γ(t))J = 0 y comparar su primer cero con el obtenido desde Dexp.</w:t>
      </w:r>
    </w:p>
    <w:p>
      <w:pPr>
        <w:pStyle w:val="ListBullet"/>
        <w:spacing w:after="20" w:line="240" w:lineRule="auto"/>
      </w:pPr>
      <w:r>
        <w:t>Usar comparación de Sturm para cotas: límites superiores e inferiores sobre K a lo largo del rayo producen cotas sobre r_conj.</w:t>
      </w:r>
    </w:p>
    <w:p>
      <w:pPr>
        <w:pStyle w:val="ListBullet"/>
        <w:spacing w:after="20" w:line="240" w:lineRule="auto"/>
      </w:pPr>
      <w:r>
        <w:t>Documentar presupuesto de error: autodiferenciación de G/K, integración DOP853, salida densa y refinamiento de raíz.</w:t>
      </w:r>
    </w:p>
    <w:p>
      <w:pPr>
        <w:spacing w:after="40" w:line="240" w:lineRule="auto"/>
      </w:pPr>
      <w:r>
        <w:rPr>
          <w:b/>
        </w:rPr>
        <w:t xml:space="preserve">Instrumentación: </w:t>
      </w:r>
      <w:r>
        <w:t>Persistir por rayo: dirección inicial, radios, J(r), det(Dexp), Dexp, σ_max y tangente final de la geodésica.</w:t>
      </w:r>
    </w:p>
    <w:p>
      <w:pPr>
        <w:pStyle w:val="Heading2"/>
      </w:pPr>
      <w:r>
        <w:t>C. Capa Maxwell / colisión del frente en P₂</w:t>
      </w:r>
    </w:p>
    <w:p>
      <w:pPr>
        <w:spacing w:after="40" w:line="240" w:lineRule="auto"/>
      </w:pPr>
      <w:r>
        <w:rPr>
          <w:b/>
        </w:rPr>
        <w:t xml:space="preserve">Peso sugerido: </w:t>
      </w:r>
      <w:r>
        <w:t>15%</w:t>
      </w:r>
    </w:p>
    <w:p>
      <w:pPr>
        <w:spacing w:after="40" w:line="240" w:lineRule="auto"/>
      </w:pPr>
      <w:r>
        <w:rPr>
          <w:b/>
        </w:rPr>
        <w:t xml:space="preserve">Objetivo: </w:t>
      </w:r>
      <w:r>
        <w:t>Determinar qué ocurre primero: conjugado o colisión global del frente.</w:t>
      </w:r>
    </w:p>
    <w:p>
      <w:pPr>
        <w:pStyle w:val="ListBullet"/>
        <w:spacing w:after="20" w:line="240" w:lineRule="auto"/>
      </w:pPr>
      <w:r>
        <w:t>Una autointersección del borde no discrimina por sí sola entre Maxwell y una cola/cúspide posterior a un conjugado.</w:t>
      </w:r>
    </w:p>
    <w:p>
      <w:pPr>
        <w:pStyle w:val="ListBullet"/>
        <w:spacing w:after="20" w:line="240" w:lineRule="auto"/>
      </w:pPr>
      <w:r>
        <w:t>Construir una función de separación mínima del frente M(r) excluyendo vecinos angulares triviales.</w:t>
      </w:r>
    </w:p>
    <w:p>
      <w:pPr>
        <w:pStyle w:val="ListBullet"/>
        <w:spacing w:after="20" w:line="240" w:lineRule="auto"/>
      </w:pPr>
      <w:r>
        <w:t>Para N rayos, usar un criterio conservador de ausencia de colisión basado en M_N(r) &gt; L(r)·Δθ, con Δθ=2π/N.</w:t>
      </w:r>
    </w:p>
    <w:p>
      <w:pPr>
        <w:pStyle w:val="ListBullet"/>
        <w:spacing w:after="20" w:line="240" w:lineRule="auto"/>
      </w:pPr>
      <w:r>
        <w:t>Acotar L(r) con información de Dexp, por ejemplo mediante r·σ_max(Dexp) cuando corresponda al parametrizado radial.</w:t>
      </w:r>
    </w:p>
    <w:p>
      <w:pPr>
        <w:pStyle w:val="ListBullet"/>
        <w:spacing w:after="20" w:line="240" w:lineRule="auto"/>
      </w:pPr>
      <w:r>
        <w:t>Comparar el primer radio Maxwell con r_conj y clasificar la pérdida de inyectividad por orden de eventos.</w:t>
      </w:r>
    </w:p>
    <w:p>
      <w:pPr>
        <w:spacing w:after="40" w:line="240" w:lineRule="auto"/>
      </w:pPr>
      <w:r>
        <w:rPr>
          <w:b/>
        </w:rPr>
        <w:t xml:space="preserve">Resultado esperado: </w:t>
      </w:r>
      <w:r>
        <w:t>Clasificación conjugada / Maxwell / ambas, con orden radial explícito.</w:t>
      </w:r>
    </w:p>
    <w:p>
      <w:pPr>
        <w:pStyle w:val="Heading2"/>
      </w:pPr>
      <w:r>
        <w:t>D. Robustez dentro de P₂</w:t>
      </w:r>
    </w:p>
    <w:p>
      <w:pPr>
        <w:spacing w:after="40" w:line="240" w:lineRule="auto"/>
      </w:pPr>
      <w:r>
        <w:rPr>
          <w:b/>
        </w:rPr>
        <w:t xml:space="preserve">Peso sugerido: </w:t>
      </w:r>
      <w:r>
        <w:t>8%</w:t>
      </w:r>
    </w:p>
    <w:p>
      <w:pPr>
        <w:pStyle w:val="ListBullet"/>
        <w:spacing w:after="20" w:line="240" w:lineRule="auto"/>
      </w:pPr>
      <w:r>
        <w:t>Repetir controles clave con activaciones suaves (tanh, GELU o SiLU) frente a ReLU, sin reinterpretar retrospectivamente los umbrales.</w:t>
      </w:r>
    </w:p>
    <w:p>
      <w:pPr>
        <w:pStyle w:val="ListBullet"/>
        <w:spacing w:after="20" w:line="240" w:lineRule="auto"/>
      </w:pPr>
      <w:r>
        <w:t>Separar fenómenos geométricos genuinos de efectos inducidos por regiones lineales de ReLU.</w:t>
      </w:r>
    </w:p>
    <w:p>
      <w:pPr>
        <w:pStyle w:val="ListBullet"/>
        <w:spacing w:after="20" w:line="240" w:lineRule="auto"/>
      </w:pPr>
      <w:r>
        <w:t>Comprobar estabilidad frente a elecciones instrumentales ya declaradas: regularización ρ, precisión ODE y parametrización equivalente de la misma familia.</w:t>
      </w:r>
    </w:p>
    <w:p>
      <w:pPr>
        <w:pStyle w:val="Heading1"/>
      </w:pPr>
      <w:r>
        <w:t>5. Extensiones después de cerrar P₂</w:t>
      </w:r>
    </w:p>
    <w:p>
      <w:pPr>
        <w:pStyle w:val="Heading2"/>
      </w:pPr>
      <w:r>
        <w:t>E. Canonicidad y construcción de P_m</w:t>
      </w:r>
    </w:p>
    <w:p>
      <w:pPr>
        <w:spacing w:after="40" w:line="240" w:lineRule="auto"/>
      </w:pPr>
      <w:r>
        <w:rPr>
          <w:b/>
        </w:rPr>
        <w:t xml:space="preserve">Peso sugerido: </w:t>
      </w:r>
      <w:r>
        <w:t>12%</w:t>
      </w:r>
    </w:p>
    <w:p>
      <w:pPr>
        <w:spacing w:after="40" w:line="240" w:lineRule="auto"/>
      </w:pPr>
      <w:r>
        <w:t>No debe asumirse que existe un único espacio de perspectivas de dimensión m. Cada familia admisible Φ que extienda la rebanada actual puede inducir una métrica ambiente diferente G_P^(Φ). Por tanto, elegir p³,…,p^m es una decisión de modelado.</w:t>
      </w:r>
    </w:p>
    <w:p>
      <w:pPr>
        <w:pStyle w:val="ListBullet"/>
        <w:spacing w:after="20" w:line="240" w:lineRule="auto"/>
      </w:pPr>
      <w:r>
        <w:t>Definir varias familias candidatas Φ que contengan la rebanada P₂ actual.</w:t>
      </w:r>
    </w:p>
    <w:p>
      <w:pPr>
        <w:pStyle w:val="ListBullet"/>
        <w:spacing w:after="20" w:line="240" w:lineRule="auto"/>
      </w:pPr>
      <w:r>
        <w:t>Clasificar resultados como dependientes de Φ, covariantes bajo ciertas extensiones o invariantes respecto de una clase natural.</w:t>
      </w:r>
    </w:p>
    <w:p>
      <w:pPr>
        <w:pStyle w:val="ListBullet"/>
        <w:spacing w:after="20" w:line="240" w:lineRule="auto"/>
      </w:pPr>
      <w:r>
        <w:t>Evitar lenguaje de 'la geometría de P_m' sin especificar la familia perspectival.</w:t>
      </w:r>
    </w:p>
    <w:p>
      <w:pPr>
        <w:pStyle w:val="Heading2"/>
      </w:pPr>
      <w:r>
        <w:t>F. Tomografía Grassmanniana relativa a Φ</w:t>
      </w:r>
    </w:p>
    <w:p>
      <w:pPr>
        <w:spacing w:after="40" w:line="240" w:lineRule="auto"/>
      </w:pPr>
      <w:r>
        <w:rPr>
          <w:b/>
        </w:rPr>
        <w:t xml:space="preserve">Peso sugerido: </w:t>
      </w:r>
      <w:r>
        <w:t>10%</w:t>
      </w:r>
    </w:p>
    <w:p>
      <w:pPr>
        <w:spacing w:after="40" w:line="240" w:lineRule="auto"/>
      </w:pPr>
      <w:r>
        <w:t>Para una familia fija Φ, estudiar funciones sobre Gr₂(T_P₀P), usando rebanadas geodésicas Σ_Π = exp_P₀(Π) para eliminar en P₀ el término extrínseco de la ecuación de Gauss.</w:t>
      </w:r>
    </w:p>
    <w:p>
      <w:pPr>
        <w:pStyle w:val="ListBullet"/>
        <w:spacing w:after="20" w:line="240" w:lineRule="auto"/>
      </w:pPr>
      <w:r>
        <w:t>Perfil local: Π ↦ K^(Φ)(Π).</w:t>
      </w:r>
    </w:p>
    <w:p>
      <w:pPr>
        <w:pStyle w:val="ListBullet"/>
        <w:spacing w:after="20" w:line="240" w:lineRule="auto"/>
      </w:pPr>
      <w:r>
        <w:t>Perfil focal: Π ↦ r_conj^(Φ)(Π); el radio conjugado ambiente se obtiene como ínfimo/mínimo sobre planos cuando corresponde.</w:t>
      </w:r>
    </w:p>
    <w:p>
      <w:pPr>
        <w:pStyle w:val="ListBullet"/>
        <w:spacing w:after="20" w:line="240" w:lineRule="auto"/>
      </w:pPr>
      <w:r>
        <w:t>La rama Maxwell no puede inferirse por ausencia en un atlas aleatorio; debe buscarse en el espacio de pares de direcciones y luego identificar span(v₁,v₂).</w:t>
      </w:r>
    </w:p>
    <w:p>
      <w:pPr>
        <w:pStyle w:val="Heading2"/>
      </w:pPr>
      <w:r>
        <w:t>G. Composicionalidad y coarse-graining perspectival</w:t>
      </w:r>
    </w:p>
    <w:p>
      <w:pPr>
        <w:spacing w:after="40" w:line="240" w:lineRule="auto"/>
      </w:pPr>
      <w:r>
        <w:rPr>
          <w:b/>
        </w:rPr>
        <w:t xml:space="preserve">Peso sugerido: </w:t>
      </w:r>
      <w:r>
        <w:t>10%</w:t>
      </w:r>
    </w:p>
    <w:p>
      <w:pPr>
        <w:spacing w:after="40" w:line="240" w:lineRule="auto"/>
      </w:pPr>
      <w:r>
        <w:rPr>
          <w:b/>
        </w:rPr>
        <w:t xml:space="preserve">Hipótesis: </w:t>
      </w:r>
      <w:r>
        <w:t>Propiedades estructurales pueden emerger de composiciones de perspectivas aunque no estén presentes en cada perspectiva elemental.</w:t>
      </w:r>
    </w:p>
    <w:p>
      <w:pPr>
        <w:pStyle w:val="ListBullet"/>
        <w:spacing w:after="20" w:line="240" w:lineRule="auto"/>
      </w:pPr>
      <w:r>
        <w:t>Construir P = Φ(P₁,…,P_n) o S_P = Ψ(S_{P₁},…,S_{P_n}) con composiciones controladas.</w:t>
      </w:r>
    </w:p>
    <w:p>
      <w:pPr>
        <w:pStyle w:val="ListBullet"/>
        <w:spacing w:after="20" w:line="240" w:lineRule="auto"/>
      </w:pPr>
      <w:r>
        <w:t>Separar cambios invertibles de coordenadas de composiciones no invertibles que agregan o colapsan información.</w:t>
      </w:r>
    </w:p>
    <w:p>
      <w:pPr>
        <w:pStyle w:val="ListBullet"/>
        <w:spacing w:after="20" w:line="240" w:lineRule="auto"/>
      </w:pPr>
      <w:r>
        <w:t>Medir si rank(h), el espectro de h y la dimensión efectiva disminuyen bajo coarse-graining.</w:t>
      </w:r>
    </w:p>
    <w:p>
      <w:pPr>
        <w:pStyle w:val="ListBullet"/>
        <w:spacing w:after="20" w:line="240" w:lineRule="auto"/>
      </w:pPr>
      <w:r>
        <w:t>Comparar curvatura, radios conjugados y estructura de relevancia antes y después de la composición.</w:t>
      </w:r>
    </w:p>
    <w:p>
      <w:pPr>
        <w:pStyle w:val="ListBullet"/>
        <w:spacing w:after="20" w:line="240" w:lineRule="auto"/>
      </w:pPr>
      <w:r>
        <w:t>Explorar la interpretación de profundidad como reorganización de qué distinciones siguen siendo geométricamente relevantes.</w:t>
      </w:r>
    </w:p>
    <w:p>
      <w:pPr>
        <w:spacing w:after="40" w:line="240" w:lineRule="auto"/>
      </w:pPr>
      <w:r>
        <w:rPr>
          <w:b/>
        </w:rPr>
        <w:t xml:space="preserve">Conexiones: </w:t>
      </w:r>
      <w:r>
        <w:t>Composicionalidad profunda, teoría de representación, coarse-graining, renormalización, manifolds efectivos y física estadística.</w:t>
      </w:r>
    </w:p>
    <w:p>
      <w:pPr>
        <w:pStyle w:val="Heading2"/>
      </w:pPr>
      <w:r>
        <w:t>H. Benchmarks físicos: PINNs y Boltzmann</w:t>
      </w:r>
    </w:p>
    <w:p>
      <w:pPr>
        <w:spacing w:after="40" w:line="240" w:lineRule="auto"/>
      </w:pPr>
      <w:r>
        <w:rPr>
          <w:b/>
        </w:rPr>
        <w:t xml:space="preserve">Peso sugerido: </w:t>
      </w:r>
      <w:r>
        <w:t>7%</w:t>
      </w:r>
    </w:p>
    <w:p>
      <w:pPr>
        <w:pStyle w:val="ListBullet"/>
        <w:spacing w:after="20" w:line="240" w:lineRule="auto"/>
      </w:pPr>
      <w:r>
        <w:t>PINNs: tratar PDE, condiciones de frontera, condiciones iniciales y datos como perspectivas físicas diferentes sobre el mismo modelo.</w:t>
      </w:r>
    </w:p>
    <w:p>
      <w:pPr>
        <w:pStyle w:val="ListBullet"/>
        <w:spacing w:after="20" w:line="240" w:lineRule="auto"/>
      </w:pPr>
      <w:r>
        <w:t>Boltzmann: usar masa, momento, energía, entropía y operador de colisión como banco de pruebas con estructura analítica conocida.</w:t>
      </w:r>
    </w:p>
    <w:p>
      <w:pPr>
        <w:pStyle w:val="ListBullet"/>
        <w:spacing w:after="20" w:line="240" w:lineRule="auto"/>
      </w:pPr>
      <w:r>
        <w:t>Preguntar si RIPG recupera invariantes, modos lentos/rápidos, relajación al equilibrio y relaciones de conservación.</w:t>
      </w:r>
    </w:p>
    <w:p>
      <w:pPr>
        <w:pStyle w:val="ListBullet"/>
        <w:spacing w:after="20" w:line="240" w:lineRule="auto"/>
      </w:pPr>
      <w:r>
        <w:t>Usar la física conocida como falsador: si la geometría no refleja restricciones necesarias, revisar la construcción antes de atribuir contenido físico nuevo.</w:t>
      </w:r>
    </w:p>
    <w:p>
      <w:pPr>
        <w:pStyle w:val="Heading2"/>
      </w:pPr>
      <w:r>
        <w:t>I. Puente con teoría de aproximación y generalización</w:t>
      </w:r>
    </w:p>
    <w:p>
      <w:pPr>
        <w:spacing w:after="40" w:line="240" w:lineRule="auto"/>
      </w:pPr>
      <w:r>
        <w:rPr>
          <w:b/>
        </w:rPr>
        <w:t xml:space="preserve">Peso sugerido: </w:t>
      </w:r>
      <w:r>
        <w:t>3%</w:t>
      </w:r>
    </w:p>
    <w:p>
      <w:pPr>
        <w:spacing w:after="40" w:line="240" w:lineRule="auto"/>
      </w:pPr>
      <w:r>
        <w:t>Investigar si la dificultad efectiva de aproximación está mejor relacionada con una dimensión intrínseca/espectral del espacio de perspectivas que con la dimensión ambiente. Esta línea es conceptualmente atractiva, pero debe esperar a que la geometría y su canonicidad estén mejor cerradas.</w:t>
      </w:r>
    </w:p>
    <w:p>
      <w:pPr>
        <w:pStyle w:val="Heading1"/>
      </w:pPr>
      <w:r>
        <w:t>6. Qué más conviene considerar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Consideración</w:t>
            </w:r>
          </w:p>
        </w:tc>
        <w:tc>
          <w:tcPr>
            <w:tcW w:type="dxa" w:w="5112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Por qué importa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Definición de dimensión efectiva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Fijar una o varias definiciones preregistrables: rango numérico, participación espectral, entropía espectral o dimensión basada en volumen.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Identificabilidad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Separar degeneraciones de la métrica debidas a redundancia perspectival de degeneraciones debidas al modelo o a Fisher.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Estabilidad bajo reparametrización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Mantener controles explícitos de cambios de carta y transformaciones equivalentes del modelo.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Jerarquía local–global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mezclar curvatura local, focalización/conjugados y corte/Maxwell; cada fenómeno requiere observables e inferencia diferentes.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Persistencia de datos geométricos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Guardar trayectorias, tangentes finales, J(r), determinantes con signo, Dexp y metadatos de tolerancia para auditorías posteriores.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Controles negativos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Diseñar familias o composiciones que no deberían producir la señal propuesta; son esenciales para atribuir significado a cualquier patrón.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Predicciones antes de cómputo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Convertir cada extensión en una hipótesis falsable antes de abrir resultados, replicando la disciplina de T2-A0.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Generalización entre datasets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Después de Wine, repetir solo resultados ya definidos en dominios diferentes; evitar redefinir observables por dataset.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Escala por capas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Volver a la pregunta mecanística de E15: qué capas contribuyen a cada fenómeno y si la geometría aparece por composición jerárquica.</w:t>
            </w:r>
          </w:p>
        </w:tc>
      </w:tr>
    </w:tbl>
    <w:p>
      <w:pPr>
        <w:pStyle w:val="Heading1"/>
      </w:pPr>
      <w:r>
        <w:t>7. Secuencia recomendada y compuertas</w:t>
      </w:r>
    </w:p>
    <w:p>
      <w:pPr>
        <w:spacing w:after="40" w:line="240" w:lineRule="auto"/>
      </w:pPr>
      <w:r>
        <w:t>La secuencia recomendada evita que una extensión atractiva introduzca grados de libertad antes de cerrar los fenómenos ya observados.</w:t>
      </w:r>
    </w:p>
    <w:p>
      <w:pPr>
        <w:spacing w:after="40" w:line="240" w:lineRule="auto"/>
      </w:pPr>
      <w:r>
        <w:rPr>
          <w:b/>
        </w:rPr>
        <w:t xml:space="preserve">G0 — Integridad — </w:t>
      </w:r>
      <w:r>
        <w:t>Completar T2-A sin tocar el protocolo ni abrir desenlaces.</w:t>
      </w:r>
    </w:p>
    <w:p>
      <w:pPr>
        <w:spacing w:after="40" w:line="240" w:lineRule="auto"/>
      </w:pPr>
      <w:r>
        <w:rPr>
          <w:b/>
        </w:rPr>
        <w:t xml:space="preserve">G1 — Conjugados P₂ — </w:t>
      </w:r>
      <w:r>
        <w:t>Certificación por signo + Jacobi independiente + cotas de Sturm.</w:t>
      </w:r>
    </w:p>
    <w:p>
      <w:pPr>
        <w:spacing w:after="40" w:line="240" w:lineRule="auto"/>
      </w:pPr>
      <w:r>
        <w:rPr>
          <w:b/>
        </w:rPr>
        <w:t xml:space="preserve">G2 — Corte P₂ — </w:t>
      </w:r>
      <w:r>
        <w:t>Establecer o descartar colisión Maxwell antes de r_conj con una cota de discretización explícita.</w:t>
      </w:r>
    </w:p>
    <w:p>
      <w:pPr>
        <w:spacing w:after="40" w:line="240" w:lineRule="auto"/>
      </w:pPr>
      <w:r>
        <w:rPr>
          <w:b/>
        </w:rPr>
        <w:t xml:space="preserve">G3 — Cierre P₂ — </w:t>
      </w:r>
      <w:r>
        <w:t>Declarar qué parte del fenómeno es local, focal y global; congelar el instrumental resultante.</w:t>
      </w:r>
    </w:p>
    <w:p>
      <w:pPr>
        <w:spacing w:after="40" w:line="240" w:lineRule="auto"/>
      </w:pPr>
      <w:r>
        <w:rPr>
          <w:b/>
        </w:rPr>
        <w:t xml:space="preserve">G4 — Robustez — </w:t>
      </w:r>
      <w:r>
        <w:t>Probar activación/representación sin cambiar la pregunta científica.</w:t>
      </w:r>
    </w:p>
    <w:p>
      <w:pPr>
        <w:spacing w:after="40" w:line="240" w:lineRule="auto"/>
      </w:pPr>
      <w:r>
        <w:rPr>
          <w:b/>
        </w:rPr>
        <w:t xml:space="preserve">G5 — Extensiones Φ — </w:t>
      </w:r>
      <w:r>
        <w:t>Definir familias P_m candidatas y auditar canonicidad relativa.</w:t>
      </w:r>
    </w:p>
    <w:p>
      <w:pPr>
        <w:spacing w:after="40" w:line="240" w:lineRule="auto"/>
      </w:pPr>
      <w:r>
        <w:rPr>
          <w:b/>
        </w:rPr>
        <w:t xml:space="preserve">G6 — Grassmanniana — </w:t>
      </w:r>
      <w:r>
        <w:t>Caracterizar perfiles direccionales dentro de una familia fija.</w:t>
      </w:r>
    </w:p>
    <w:p>
      <w:pPr>
        <w:spacing w:after="40" w:line="240" w:lineRule="auto"/>
      </w:pPr>
      <w:r>
        <w:rPr>
          <w:b/>
        </w:rPr>
        <w:t xml:space="preserve">G7 — Composición y física — </w:t>
      </w:r>
      <w:r>
        <w:t>Explorar coarse-graining y benchmarks PINN/Boltzmann con predicciones predefinidas.</w:t>
      </w:r>
    </w:p>
    <w:p>
      <w:pPr>
        <w:pStyle w:val="Heading1"/>
      </w:pPr>
      <w:r>
        <w:t>8. Lectura estratégica</w:t>
      </w:r>
    </w:p>
    <w:p>
      <w:pPr>
        <w:spacing w:after="40" w:line="240" w:lineRule="auto"/>
      </w:pPr>
      <w:r>
        <w:t>La cartera queda deliberadamente sesgada hacia validación y cierre antes que hacia expansión. Un 58% del peso se asigna a terminar T2-A, certificar conjugados, resolver Maxwell y robustecer P₂. Un 32% se asigna a extensión geométrica/canonicidad/composición, y solo 10% a aplicaciones y puentes teóricos externos. La razón es metodológica: si P₂ no queda limpio, cualquier estructura en P_m, PINNs o Boltzmann heredará una ambigüedad difícil de interpretar.</w:t>
      </w:r>
    </w:p>
    <w:p>
      <w:pPr>
        <w:spacing w:after="40" w:line="240" w:lineRule="auto"/>
      </w:pPr>
      <w:r>
        <w:t>La extensión composicional merece un peso alto (10%) porque puede conectar profundidad, reducción de dimensión y estructura emergente; sin embargo, debe diseñarse como una prueba de hipótesis y no como una narrativa posterior a los datos.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Leviathan / RIPG — mapa vivo de rutas de investigación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