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389"/>
        <w:tblW w:w="12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2620"/>
        <w:gridCol w:w="3304"/>
        <w:gridCol w:w="3402"/>
      </w:tblGrid>
      <w:tr w:rsidR="00B87333" w:rsidRPr="00EC117D" w14:paraId="0CFFB7DE" w14:textId="77777777" w:rsidTr="00B87333">
        <w:trPr>
          <w:trHeight w:val="1200"/>
        </w:trPr>
        <w:tc>
          <w:tcPr>
            <w:tcW w:w="2860" w:type="dxa"/>
            <w:vAlign w:val="center"/>
            <w:hideMark/>
          </w:tcPr>
          <w:p w14:paraId="5D66FCB4" w14:textId="77777777" w:rsidR="00B87333" w:rsidRPr="00EC117D" w:rsidRDefault="00B87333" w:rsidP="00B873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Criterio</w:t>
            </w:r>
          </w:p>
        </w:tc>
        <w:tc>
          <w:tcPr>
            <w:tcW w:w="2620" w:type="dxa"/>
            <w:vAlign w:val="center"/>
            <w:hideMark/>
          </w:tcPr>
          <w:p w14:paraId="52F9623A" w14:textId="77777777" w:rsidR="00B87333" w:rsidRPr="00EC117D" w:rsidRDefault="00B87333" w:rsidP="00B873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Apetito al riesgo en ciberseguridad</w:t>
            </w:r>
          </w:p>
        </w:tc>
        <w:tc>
          <w:tcPr>
            <w:tcW w:w="3304" w:type="dxa"/>
            <w:vAlign w:val="center"/>
            <w:hideMark/>
          </w:tcPr>
          <w:p w14:paraId="443A26EF" w14:textId="77777777" w:rsidR="00B87333" w:rsidRPr="00EC117D" w:rsidRDefault="00B87333" w:rsidP="00B873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Tolerancia al riesgo en ciberseguridad</w:t>
            </w:r>
          </w:p>
        </w:tc>
        <w:tc>
          <w:tcPr>
            <w:tcW w:w="3402" w:type="dxa"/>
            <w:vAlign w:val="center"/>
            <w:hideMark/>
          </w:tcPr>
          <w:p w14:paraId="05F46CD4" w14:textId="77777777" w:rsidR="00B87333" w:rsidRPr="00EC117D" w:rsidRDefault="00B87333" w:rsidP="00B873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Capacidad al riesgo en ciberseguridad</w:t>
            </w:r>
          </w:p>
        </w:tc>
      </w:tr>
      <w:tr w:rsidR="00B87333" w:rsidRPr="00EC117D" w14:paraId="14405872" w14:textId="77777777" w:rsidTr="00B87333">
        <w:trPr>
          <w:trHeight w:val="621"/>
        </w:trPr>
        <w:tc>
          <w:tcPr>
            <w:tcW w:w="2860" w:type="dxa"/>
            <w:vAlign w:val="center"/>
            <w:hideMark/>
          </w:tcPr>
          <w:p w14:paraId="493D71A0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Definición</w:t>
            </w:r>
          </w:p>
        </w:tc>
        <w:tc>
          <w:tcPr>
            <w:tcW w:w="2620" w:type="dxa"/>
            <w:vAlign w:val="center"/>
          </w:tcPr>
          <w:p w14:paraId="553CE6E2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304" w:type="dxa"/>
            <w:vAlign w:val="center"/>
          </w:tcPr>
          <w:p w14:paraId="1C724B30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67BB372B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B87333" w:rsidRPr="00EC117D" w14:paraId="0AAE91CC" w14:textId="77777777" w:rsidTr="00B87333">
        <w:trPr>
          <w:trHeight w:val="637"/>
        </w:trPr>
        <w:tc>
          <w:tcPr>
            <w:tcW w:w="2860" w:type="dxa"/>
            <w:vAlign w:val="center"/>
            <w:hideMark/>
          </w:tcPr>
          <w:p w14:paraId="038DCF81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Enfoque</w:t>
            </w:r>
          </w:p>
        </w:tc>
        <w:tc>
          <w:tcPr>
            <w:tcW w:w="2620" w:type="dxa"/>
            <w:vAlign w:val="center"/>
          </w:tcPr>
          <w:p w14:paraId="725E4347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304" w:type="dxa"/>
            <w:vAlign w:val="center"/>
          </w:tcPr>
          <w:p w14:paraId="2547FC92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55B13797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B87333" w:rsidRPr="00EC117D" w14:paraId="1E15A4B6" w14:textId="77777777" w:rsidTr="00B87333">
        <w:trPr>
          <w:trHeight w:val="972"/>
        </w:trPr>
        <w:tc>
          <w:tcPr>
            <w:tcW w:w="2860" w:type="dxa"/>
            <w:vAlign w:val="center"/>
            <w:hideMark/>
          </w:tcPr>
          <w:p w14:paraId="661BEED6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Base de decisión</w:t>
            </w:r>
          </w:p>
        </w:tc>
        <w:tc>
          <w:tcPr>
            <w:tcW w:w="2620" w:type="dxa"/>
            <w:vAlign w:val="center"/>
          </w:tcPr>
          <w:p w14:paraId="58A67CA1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304" w:type="dxa"/>
            <w:vAlign w:val="center"/>
          </w:tcPr>
          <w:p w14:paraId="0608141E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7EF87E63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B87333" w:rsidRPr="00EC117D" w14:paraId="6A71BFAA" w14:textId="77777777" w:rsidTr="00B87333">
        <w:trPr>
          <w:trHeight w:val="625"/>
        </w:trPr>
        <w:tc>
          <w:tcPr>
            <w:tcW w:w="2860" w:type="dxa"/>
            <w:vAlign w:val="center"/>
            <w:hideMark/>
          </w:tcPr>
          <w:p w14:paraId="3F5CA0A0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Relación con el riesgo</w:t>
            </w:r>
          </w:p>
        </w:tc>
        <w:tc>
          <w:tcPr>
            <w:tcW w:w="2620" w:type="dxa"/>
            <w:vAlign w:val="center"/>
          </w:tcPr>
          <w:p w14:paraId="5F8AF10A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304" w:type="dxa"/>
            <w:vAlign w:val="center"/>
          </w:tcPr>
          <w:p w14:paraId="704E0172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7B9A5311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B87333" w:rsidRPr="00EC117D" w14:paraId="5D6BF5D4" w14:textId="77777777" w:rsidTr="00B87333">
        <w:trPr>
          <w:trHeight w:val="1544"/>
        </w:trPr>
        <w:tc>
          <w:tcPr>
            <w:tcW w:w="2860" w:type="dxa"/>
            <w:vAlign w:val="center"/>
            <w:hideMark/>
          </w:tcPr>
          <w:p w14:paraId="28D2CCC7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Ejemplo</w:t>
            </w:r>
          </w:p>
        </w:tc>
        <w:tc>
          <w:tcPr>
            <w:tcW w:w="2620" w:type="dxa"/>
            <w:vAlign w:val="center"/>
            <w:hideMark/>
          </w:tcPr>
          <w:p w14:paraId="3A06B6F9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Una empresa decide adoptar tecnologías emergentes con cierto riesgo de ciberataques para innovar y ganar ventaja competitiva.</w:t>
            </w:r>
          </w:p>
        </w:tc>
        <w:tc>
          <w:tcPr>
            <w:tcW w:w="3304" w:type="dxa"/>
            <w:vAlign w:val="center"/>
            <w:hideMark/>
          </w:tcPr>
          <w:p w14:paraId="2EA64FA4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 misma empresa, aunque dispuesta a innovar, establece que no tolerará interrupciones superiores a 12 horas por ciberataques.</w:t>
            </w:r>
          </w:p>
        </w:tc>
        <w:tc>
          <w:tcPr>
            <w:tcW w:w="3402" w:type="dxa"/>
            <w:vAlign w:val="center"/>
            <w:hideMark/>
          </w:tcPr>
          <w:p w14:paraId="3D4A109C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 empresa tiene recursos financieros y tecnológicos para gestionar interrupciones de hasta 5 días en caso de un ataque cibernético.</w:t>
            </w:r>
          </w:p>
        </w:tc>
      </w:tr>
      <w:tr w:rsidR="00B87333" w:rsidRPr="00EC117D" w14:paraId="0BE3C21C" w14:textId="77777777" w:rsidTr="00B87333">
        <w:trPr>
          <w:trHeight w:val="1500"/>
        </w:trPr>
        <w:tc>
          <w:tcPr>
            <w:tcW w:w="2860" w:type="dxa"/>
            <w:vAlign w:val="center"/>
            <w:hideMark/>
          </w:tcPr>
          <w:p w14:paraId="11C2B8F5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Flexibilidad</w:t>
            </w:r>
          </w:p>
        </w:tc>
        <w:tc>
          <w:tcPr>
            <w:tcW w:w="2620" w:type="dxa"/>
            <w:vAlign w:val="center"/>
            <w:hideMark/>
          </w:tcPr>
          <w:p w14:paraId="763E5AE7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Alta flexibilidad, ya que está influida por la estrategia y los objetivos organizacionales.</w:t>
            </w:r>
          </w:p>
        </w:tc>
        <w:tc>
          <w:tcPr>
            <w:tcW w:w="3304" w:type="dxa"/>
            <w:vAlign w:val="center"/>
            <w:hideMark/>
          </w:tcPr>
          <w:p w14:paraId="51325032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Moderada flexibilidad, ya que depende de la percepción del impacto y las acciones necesarias.</w:t>
            </w:r>
          </w:p>
        </w:tc>
        <w:tc>
          <w:tcPr>
            <w:tcW w:w="3402" w:type="dxa"/>
            <w:vAlign w:val="center"/>
            <w:hideMark/>
          </w:tcPr>
          <w:p w14:paraId="123B66CF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Baja flexibilidad, ya que está determinada por factores objetivos y limitaciones físicas o económicas.</w:t>
            </w:r>
          </w:p>
        </w:tc>
      </w:tr>
      <w:tr w:rsidR="00B87333" w:rsidRPr="00EC117D" w14:paraId="5B59FDDF" w14:textId="77777777" w:rsidTr="00B87333">
        <w:trPr>
          <w:trHeight w:val="1800"/>
        </w:trPr>
        <w:tc>
          <w:tcPr>
            <w:tcW w:w="2860" w:type="dxa"/>
            <w:vAlign w:val="center"/>
            <w:hideMark/>
          </w:tcPr>
          <w:p w14:paraId="3B9A5469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Semejanza</w:t>
            </w:r>
          </w:p>
        </w:tc>
        <w:tc>
          <w:tcPr>
            <w:tcW w:w="2620" w:type="dxa"/>
            <w:vAlign w:val="center"/>
            <w:hideMark/>
          </w:tcPr>
          <w:p w14:paraId="2AA50861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Todos son conceptos esenciales en la gestión de riesgos y están interrelacionados para tomar decisiones en ciberseguridad.</w:t>
            </w:r>
          </w:p>
        </w:tc>
        <w:tc>
          <w:tcPr>
            <w:tcW w:w="3304" w:type="dxa"/>
            <w:vAlign w:val="center"/>
            <w:hideMark/>
          </w:tcPr>
          <w:p w14:paraId="183F289D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Todos buscan equilibrar riesgos y beneficios dentro de las capacidades y objetivos de la organización.</w:t>
            </w:r>
          </w:p>
        </w:tc>
        <w:tc>
          <w:tcPr>
            <w:tcW w:w="3402" w:type="dxa"/>
            <w:vAlign w:val="center"/>
            <w:hideMark/>
          </w:tcPr>
          <w:p w14:paraId="4A05CB6D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B87333" w:rsidRPr="00EC117D" w14:paraId="3D21C96B" w14:textId="77777777" w:rsidTr="00B87333">
        <w:trPr>
          <w:trHeight w:val="600"/>
        </w:trPr>
        <w:tc>
          <w:tcPr>
            <w:tcW w:w="2860" w:type="dxa"/>
            <w:vAlign w:val="center"/>
            <w:hideMark/>
          </w:tcPr>
          <w:p w14:paraId="266D35B8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Diferencia clave</w:t>
            </w:r>
          </w:p>
        </w:tc>
        <w:tc>
          <w:tcPr>
            <w:tcW w:w="2620" w:type="dxa"/>
            <w:vAlign w:val="center"/>
            <w:hideMark/>
          </w:tcPr>
          <w:p w14:paraId="46B2A84A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"Qué estamos dispuestos a arriesgar".</w:t>
            </w:r>
          </w:p>
        </w:tc>
        <w:tc>
          <w:tcPr>
            <w:tcW w:w="3304" w:type="dxa"/>
            <w:vAlign w:val="center"/>
            <w:hideMark/>
          </w:tcPr>
          <w:p w14:paraId="4EEEED8F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"Cuánto podemos soportar".</w:t>
            </w:r>
          </w:p>
        </w:tc>
        <w:tc>
          <w:tcPr>
            <w:tcW w:w="3402" w:type="dxa"/>
            <w:vAlign w:val="center"/>
            <w:hideMark/>
          </w:tcPr>
          <w:p w14:paraId="3F1C5626" w14:textId="77777777" w:rsidR="00B87333" w:rsidRPr="00EC117D" w:rsidRDefault="00B87333" w:rsidP="00B873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C117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"Cuánto podemos manejar".</w:t>
            </w:r>
          </w:p>
        </w:tc>
      </w:tr>
    </w:tbl>
    <w:p w14:paraId="5F4A950F" w14:textId="2D1425F2" w:rsidR="00EC117D" w:rsidRPr="00406571" w:rsidRDefault="00406571">
      <w:r w:rsidRPr="00406571">
        <w:t>Completar de manera individual el siguiente cuadro:</w:t>
      </w:r>
    </w:p>
    <w:p w14:paraId="25C78FE8" w14:textId="77777777" w:rsidR="00406571" w:rsidRDefault="00406571"/>
    <w:p w14:paraId="3ABB3374" w14:textId="77777777" w:rsidR="00406571" w:rsidRPr="00406571" w:rsidRDefault="00406571"/>
    <w:sectPr w:rsidR="00406571" w:rsidRPr="00406571" w:rsidSect="00EC117D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7D"/>
    <w:rsid w:val="00406571"/>
    <w:rsid w:val="00B87333"/>
    <w:rsid w:val="00BB2D30"/>
    <w:rsid w:val="00D55F3C"/>
    <w:rsid w:val="00EC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53664"/>
  <w15:chartTrackingRefBased/>
  <w15:docId w15:val="{6CA37500-2B09-40DE-B298-39A69B74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179</Words>
  <Characters>1118</Characters>
  <Application>Microsoft Office Word</Application>
  <DocSecurity>0</DocSecurity>
  <Lines>79</Lines>
  <Paragraphs>28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Teleinformatics Tecnology</dc:creator>
  <cp:keywords/>
  <dc:description/>
  <cp:lastModifiedBy>Office Aulas 4</cp:lastModifiedBy>
  <cp:revision>4</cp:revision>
  <dcterms:created xsi:type="dcterms:W3CDTF">2025-01-18T11:52:00Z</dcterms:created>
  <dcterms:modified xsi:type="dcterms:W3CDTF">2026-01-16T19:33:00Z</dcterms:modified>
</cp:coreProperties>
</file>