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389"/>
        <w:tblW w:w="12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60"/>
        <w:gridCol w:w="2620"/>
        <w:gridCol w:w="3304"/>
        <w:gridCol w:w="3402"/>
      </w:tblGrid>
      <w:tr w:rsidR="00B87333" w:rsidRPr="00EC117D" w14:paraId="0CFFB7DE" w14:textId="77777777" w:rsidTr="00B87333">
        <w:trPr>
          <w:trHeight w:val="1200"/>
        </w:trPr>
        <w:tc>
          <w:tcPr>
            <w:tcW w:w="2860" w:type="dxa"/>
            <w:vAlign w:val="center"/>
            <w:hideMark/>
          </w:tcPr>
          <w:p w14:paraId="5D66FCB4" w14:textId="77777777" w:rsidR="00B87333" w:rsidRPr="00EC117D" w:rsidRDefault="00B87333" w:rsidP="00B87333">
            <w:pPr>
              <w:spacing w:after="0" w:line="240" w:lineRule="auto"/>
              <w:jc w:val="center"/>
              <w:rPr>
                <w:rFonts w:ascii="Aptos Narrow" w:eastAsia="Times New Roman" w:hAnsi="Aptos Narrow" w:cs="Times New Roman"/>
                <w:b/>
                <w:bCs/>
                <w:color w:val="000000"/>
                <w:kern w:val="0"/>
                <w:sz w:val="22"/>
                <w:szCs w:val="22"/>
                <w:lang w:eastAsia="es-MX"/>
                <w14:ligatures w14:val="none"/>
              </w:rPr>
            </w:pPr>
            <w:r w:rsidRPr="00EC117D">
              <w:rPr>
                <w:rFonts w:ascii="Aptos Narrow" w:eastAsia="Times New Roman" w:hAnsi="Aptos Narrow" w:cs="Times New Roman"/>
                <w:b/>
                <w:bCs/>
                <w:color w:val="000000"/>
                <w:kern w:val="0"/>
                <w:sz w:val="22"/>
                <w:szCs w:val="22"/>
                <w:lang w:eastAsia="es-MX"/>
                <w14:ligatures w14:val="none"/>
              </w:rPr>
              <w:t>Criterio</w:t>
            </w:r>
          </w:p>
        </w:tc>
        <w:tc>
          <w:tcPr>
            <w:tcW w:w="2620" w:type="dxa"/>
            <w:vAlign w:val="center"/>
            <w:hideMark/>
          </w:tcPr>
          <w:p w14:paraId="52F9623A" w14:textId="77777777" w:rsidR="00B87333" w:rsidRPr="00EC117D" w:rsidRDefault="00B87333" w:rsidP="00B87333">
            <w:pPr>
              <w:spacing w:after="0" w:line="240" w:lineRule="auto"/>
              <w:jc w:val="center"/>
              <w:rPr>
                <w:rFonts w:ascii="Aptos Narrow" w:eastAsia="Times New Roman" w:hAnsi="Aptos Narrow" w:cs="Times New Roman"/>
                <w:b/>
                <w:bCs/>
                <w:color w:val="000000"/>
                <w:kern w:val="0"/>
                <w:sz w:val="22"/>
                <w:szCs w:val="22"/>
                <w:lang w:eastAsia="es-MX"/>
                <w14:ligatures w14:val="none"/>
              </w:rPr>
            </w:pPr>
            <w:r w:rsidRPr="00EC117D">
              <w:rPr>
                <w:rFonts w:ascii="Aptos Narrow" w:eastAsia="Times New Roman" w:hAnsi="Aptos Narrow" w:cs="Times New Roman"/>
                <w:b/>
                <w:bCs/>
                <w:color w:val="000000"/>
                <w:kern w:val="0"/>
                <w:sz w:val="22"/>
                <w:szCs w:val="22"/>
                <w:lang w:eastAsia="es-MX"/>
                <w14:ligatures w14:val="none"/>
              </w:rPr>
              <w:t>Apetito al riesgo en ciberseguridad</w:t>
            </w:r>
          </w:p>
        </w:tc>
        <w:tc>
          <w:tcPr>
            <w:tcW w:w="3304" w:type="dxa"/>
            <w:vAlign w:val="center"/>
            <w:hideMark/>
          </w:tcPr>
          <w:p w14:paraId="443A26EF" w14:textId="77777777" w:rsidR="00B87333" w:rsidRPr="00EC117D" w:rsidRDefault="00B87333" w:rsidP="00B87333">
            <w:pPr>
              <w:spacing w:after="0" w:line="240" w:lineRule="auto"/>
              <w:jc w:val="center"/>
              <w:rPr>
                <w:rFonts w:ascii="Aptos Narrow" w:eastAsia="Times New Roman" w:hAnsi="Aptos Narrow" w:cs="Times New Roman"/>
                <w:b/>
                <w:bCs/>
                <w:color w:val="000000"/>
                <w:kern w:val="0"/>
                <w:sz w:val="22"/>
                <w:szCs w:val="22"/>
                <w:lang w:eastAsia="es-MX"/>
                <w14:ligatures w14:val="none"/>
              </w:rPr>
            </w:pPr>
            <w:r w:rsidRPr="00EC117D">
              <w:rPr>
                <w:rFonts w:ascii="Aptos Narrow" w:eastAsia="Times New Roman" w:hAnsi="Aptos Narrow" w:cs="Times New Roman"/>
                <w:b/>
                <w:bCs/>
                <w:color w:val="000000"/>
                <w:kern w:val="0"/>
                <w:sz w:val="22"/>
                <w:szCs w:val="22"/>
                <w:lang w:eastAsia="es-MX"/>
                <w14:ligatures w14:val="none"/>
              </w:rPr>
              <w:t>Tolerancia al riesgo en ciberseguridad</w:t>
            </w:r>
          </w:p>
        </w:tc>
        <w:tc>
          <w:tcPr>
            <w:tcW w:w="3402" w:type="dxa"/>
            <w:vAlign w:val="center"/>
            <w:hideMark/>
          </w:tcPr>
          <w:p w14:paraId="05F46CD4" w14:textId="77777777" w:rsidR="00B87333" w:rsidRPr="00EC117D" w:rsidRDefault="00B87333" w:rsidP="00B87333">
            <w:pPr>
              <w:spacing w:after="0" w:line="240" w:lineRule="auto"/>
              <w:jc w:val="center"/>
              <w:rPr>
                <w:rFonts w:ascii="Aptos Narrow" w:eastAsia="Times New Roman" w:hAnsi="Aptos Narrow" w:cs="Times New Roman"/>
                <w:b/>
                <w:bCs/>
                <w:color w:val="000000"/>
                <w:kern w:val="0"/>
                <w:sz w:val="22"/>
                <w:szCs w:val="22"/>
                <w:lang w:eastAsia="es-MX"/>
                <w14:ligatures w14:val="none"/>
              </w:rPr>
            </w:pPr>
            <w:r w:rsidRPr="00EC117D">
              <w:rPr>
                <w:rFonts w:ascii="Aptos Narrow" w:eastAsia="Times New Roman" w:hAnsi="Aptos Narrow" w:cs="Times New Roman"/>
                <w:b/>
                <w:bCs/>
                <w:color w:val="000000"/>
                <w:kern w:val="0"/>
                <w:sz w:val="22"/>
                <w:szCs w:val="22"/>
                <w:lang w:eastAsia="es-MX"/>
                <w14:ligatures w14:val="none"/>
              </w:rPr>
              <w:t>Capacidad al riesgo en ciberseguridad</w:t>
            </w:r>
          </w:p>
        </w:tc>
      </w:tr>
      <w:tr w:rsidR="00B87333" w:rsidRPr="00EC117D" w14:paraId="14405872" w14:textId="77777777" w:rsidTr="00B87333">
        <w:trPr>
          <w:trHeight w:val="621"/>
        </w:trPr>
        <w:tc>
          <w:tcPr>
            <w:tcW w:w="2860" w:type="dxa"/>
            <w:vAlign w:val="center"/>
            <w:hideMark/>
          </w:tcPr>
          <w:p w14:paraId="493D71A0" w14:textId="77777777" w:rsidR="00B87333" w:rsidRPr="00EC117D" w:rsidRDefault="00B87333" w:rsidP="00B87333">
            <w:pPr>
              <w:spacing w:after="0" w:line="240" w:lineRule="auto"/>
              <w:rPr>
                <w:rFonts w:ascii="Aptos Narrow" w:eastAsia="Times New Roman" w:hAnsi="Aptos Narrow" w:cs="Times New Roman"/>
                <w:b/>
                <w:bCs/>
                <w:color w:val="000000"/>
                <w:kern w:val="0"/>
                <w:sz w:val="22"/>
                <w:szCs w:val="22"/>
                <w:lang w:eastAsia="es-MX"/>
                <w14:ligatures w14:val="none"/>
              </w:rPr>
            </w:pPr>
            <w:r w:rsidRPr="00EC117D">
              <w:rPr>
                <w:rFonts w:ascii="Aptos Narrow" w:eastAsia="Times New Roman" w:hAnsi="Aptos Narrow" w:cs="Times New Roman"/>
                <w:b/>
                <w:bCs/>
                <w:color w:val="000000"/>
                <w:kern w:val="0"/>
                <w:sz w:val="22"/>
                <w:szCs w:val="22"/>
                <w:lang w:eastAsia="es-MX"/>
                <w14:ligatures w14:val="none"/>
              </w:rPr>
              <w:t>Definición</w:t>
            </w:r>
          </w:p>
        </w:tc>
        <w:tc>
          <w:tcPr>
            <w:tcW w:w="2620" w:type="dxa"/>
            <w:vAlign w:val="center"/>
          </w:tcPr>
          <w:p w14:paraId="553CE6E2" w14:textId="2C79B397" w:rsidR="00B87333" w:rsidRPr="00EC117D" w:rsidRDefault="00075144" w:rsidP="00B87333">
            <w:pPr>
              <w:spacing w:after="0" w:line="240" w:lineRule="auto"/>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Son los riesgos de ciberseguridad que adopta la empresa con la justificación de adopción de nuevas tecnologías de vanguardia o nuevas estrategias de almacenamiento de la información haciendo uso de recursos nuevos.</w:t>
            </w:r>
          </w:p>
        </w:tc>
        <w:tc>
          <w:tcPr>
            <w:tcW w:w="3304" w:type="dxa"/>
            <w:vAlign w:val="center"/>
          </w:tcPr>
          <w:p w14:paraId="1C724B30" w14:textId="619E6E79" w:rsidR="00B87333" w:rsidRPr="00EC117D" w:rsidRDefault="00075144" w:rsidP="00B87333">
            <w:pPr>
              <w:spacing w:after="0" w:line="240" w:lineRule="auto"/>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 xml:space="preserve">Es el riesgo medible que la empresa está dispuesta a asumir, por ejemplo 3 días con </w:t>
            </w:r>
            <w:r w:rsidR="00412D17">
              <w:rPr>
                <w:rFonts w:ascii="Aptos Narrow" w:eastAsia="Times New Roman" w:hAnsi="Aptos Narrow" w:cs="Times New Roman"/>
                <w:color w:val="000000"/>
                <w:kern w:val="0"/>
                <w:sz w:val="22"/>
                <w:szCs w:val="22"/>
                <w:lang w:eastAsia="es-MX"/>
                <w14:ligatures w14:val="none"/>
              </w:rPr>
              <w:t>alguna parte de sus operaciones interrumpidas mientras está</w:t>
            </w:r>
            <w:r>
              <w:rPr>
                <w:rFonts w:ascii="Aptos Narrow" w:eastAsia="Times New Roman" w:hAnsi="Aptos Narrow" w:cs="Times New Roman"/>
                <w:color w:val="000000"/>
                <w:kern w:val="0"/>
                <w:sz w:val="22"/>
                <w:szCs w:val="22"/>
                <w:lang w:eastAsia="es-MX"/>
                <w14:ligatures w14:val="none"/>
              </w:rPr>
              <w:t xml:space="preserve"> activamente trabajando en la mitigación de la materialización del mismo riesgo, en caso de que ocurra.</w:t>
            </w:r>
            <w:r w:rsidR="00412D17">
              <w:rPr>
                <w:rFonts w:ascii="Aptos Narrow" w:eastAsia="Times New Roman" w:hAnsi="Aptos Narrow" w:cs="Times New Roman"/>
                <w:color w:val="000000"/>
                <w:kern w:val="0"/>
                <w:sz w:val="22"/>
                <w:szCs w:val="22"/>
                <w:lang w:eastAsia="es-MX"/>
                <w14:ligatures w14:val="none"/>
              </w:rPr>
              <w:t xml:space="preserve"> Por ejemplo, un sistema de base de datos contables que no puede durar mas de 12 horas en interrupción. </w:t>
            </w:r>
          </w:p>
        </w:tc>
        <w:tc>
          <w:tcPr>
            <w:tcW w:w="3402" w:type="dxa"/>
            <w:vAlign w:val="center"/>
          </w:tcPr>
          <w:p w14:paraId="67BB372B" w14:textId="13B517CB" w:rsidR="00B87333" w:rsidRPr="00EC117D" w:rsidRDefault="00075144" w:rsidP="00B87333">
            <w:pPr>
              <w:spacing w:after="0" w:line="240" w:lineRule="auto"/>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Es literalmente, la capacidad que tiene la empresa para mitigar, neutralizar y reducir el impacto de la materialización de un riesgo.</w:t>
            </w:r>
          </w:p>
        </w:tc>
      </w:tr>
      <w:tr w:rsidR="00B87333" w:rsidRPr="00EC117D" w14:paraId="0AAE91CC" w14:textId="77777777" w:rsidTr="00B87333">
        <w:trPr>
          <w:trHeight w:val="637"/>
        </w:trPr>
        <w:tc>
          <w:tcPr>
            <w:tcW w:w="2860" w:type="dxa"/>
            <w:vAlign w:val="center"/>
            <w:hideMark/>
          </w:tcPr>
          <w:p w14:paraId="038DCF81" w14:textId="77777777" w:rsidR="00B87333" w:rsidRPr="00EC117D" w:rsidRDefault="00B87333" w:rsidP="00B87333">
            <w:pPr>
              <w:spacing w:after="0" w:line="240" w:lineRule="auto"/>
              <w:rPr>
                <w:rFonts w:ascii="Aptos Narrow" w:eastAsia="Times New Roman" w:hAnsi="Aptos Narrow" w:cs="Times New Roman"/>
                <w:b/>
                <w:bCs/>
                <w:color w:val="000000"/>
                <w:kern w:val="0"/>
                <w:sz w:val="22"/>
                <w:szCs w:val="22"/>
                <w:lang w:eastAsia="es-MX"/>
                <w14:ligatures w14:val="none"/>
              </w:rPr>
            </w:pPr>
            <w:r w:rsidRPr="00EC117D">
              <w:rPr>
                <w:rFonts w:ascii="Aptos Narrow" w:eastAsia="Times New Roman" w:hAnsi="Aptos Narrow" w:cs="Times New Roman"/>
                <w:b/>
                <w:bCs/>
                <w:color w:val="000000"/>
                <w:kern w:val="0"/>
                <w:sz w:val="22"/>
                <w:szCs w:val="22"/>
                <w:lang w:eastAsia="es-MX"/>
                <w14:ligatures w14:val="none"/>
              </w:rPr>
              <w:t>Enfoque</w:t>
            </w:r>
          </w:p>
        </w:tc>
        <w:tc>
          <w:tcPr>
            <w:tcW w:w="2620" w:type="dxa"/>
            <w:vAlign w:val="center"/>
          </w:tcPr>
          <w:p w14:paraId="725E4347" w14:textId="77843471" w:rsidR="00B87333" w:rsidRPr="00EC117D" w:rsidRDefault="00412D17" w:rsidP="00B87333">
            <w:pPr>
              <w:spacing w:after="0" w:line="240" w:lineRule="auto"/>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La necesidad que tiene la empresa y la justificación de adoptar nuevas tecnologías y asumir nuevos costos.</w:t>
            </w:r>
          </w:p>
        </w:tc>
        <w:tc>
          <w:tcPr>
            <w:tcW w:w="3304" w:type="dxa"/>
            <w:vAlign w:val="center"/>
          </w:tcPr>
          <w:p w14:paraId="2547FC92" w14:textId="0581EE29" w:rsidR="00B87333" w:rsidRPr="00EC117D" w:rsidRDefault="00412D17" w:rsidP="00B87333">
            <w:pPr>
              <w:spacing w:after="0" w:line="240" w:lineRule="auto"/>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Se refiere el nivel de aceptación del riesgo y al análisis real de las vulnerabilidades de la empresa.</w:t>
            </w:r>
          </w:p>
        </w:tc>
        <w:tc>
          <w:tcPr>
            <w:tcW w:w="3402" w:type="dxa"/>
            <w:vAlign w:val="center"/>
          </w:tcPr>
          <w:p w14:paraId="55B13797" w14:textId="23374C7F" w:rsidR="00412D17" w:rsidRPr="00EC117D" w:rsidRDefault="00412D17" w:rsidP="00B87333">
            <w:pPr>
              <w:spacing w:after="0" w:line="240" w:lineRule="auto"/>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Se refiere a la capacidad real con la que cuenta la empresa para identificar, estimar, evaluar, tratar, monitorear y revisar un riesgo.</w:t>
            </w:r>
          </w:p>
        </w:tc>
      </w:tr>
      <w:tr w:rsidR="00B87333" w:rsidRPr="00EC117D" w14:paraId="1E15A4B6" w14:textId="77777777" w:rsidTr="00B87333">
        <w:trPr>
          <w:trHeight w:val="972"/>
        </w:trPr>
        <w:tc>
          <w:tcPr>
            <w:tcW w:w="2860" w:type="dxa"/>
            <w:vAlign w:val="center"/>
            <w:hideMark/>
          </w:tcPr>
          <w:p w14:paraId="661BEED6" w14:textId="77777777" w:rsidR="00B87333" w:rsidRPr="00EC117D" w:rsidRDefault="00B87333" w:rsidP="00B87333">
            <w:pPr>
              <w:spacing w:after="0" w:line="240" w:lineRule="auto"/>
              <w:rPr>
                <w:rFonts w:ascii="Aptos Narrow" w:eastAsia="Times New Roman" w:hAnsi="Aptos Narrow" w:cs="Times New Roman"/>
                <w:b/>
                <w:bCs/>
                <w:color w:val="000000"/>
                <w:kern w:val="0"/>
                <w:sz w:val="22"/>
                <w:szCs w:val="22"/>
                <w:lang w:eastAsia="es-MX"/>
                <w14:ligatures w14:val="none"/>
              </w:rPr>
            </w:pPr>
            <w:r w:rsidRPr="00EC117D">
              <w:rPr>
                <w:rFonts w:ascii="Aptos Narrow" w:eastAsia="Times New Roman" w:hAnsi="Aptos Narrow" w:cs="Times New Roman"/>
                <w:b/>
                <w:bCs/>
                <w:color w:val="000000"/>
                <w:kern w:val="0"/>
                <w:sz w:val="22"/>
                <w:szCs w:val="22"/>
                <w:lang w:eastAsia="es-MX"/>
                <w14:ligatures w14:val="none"/>
              </w:rPr>
              <w:t>Base de decisión</w:t>
            </w:r>
          </w:p>
        </w:tc>
        <w:tc>
          <w:tcPr>
            <w:tcW w:w="2620" w:type="dxa"/>
            <w:vAlign w:val="center"/>
          </w:tcPr>
          <w:p w14:paraId="58A67CA1" w14:textId="0FA8E9D2" w:rsidR="00B87333" w:rsidRPr="00EC117D" w:rsidRDefault="00075144" w:rsidP="00B87333">
            <w:pPr>
              <w:spacing w:after="0" w:line="240" w:lineRule="auto"/>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Adopción de nuevas tecnologías cibernéticas que posiblemente ayuden a la automatización de procesos y tareas de la empresa, ejemplos, la adopción de un nuevo sistema CRM con una base de datos en la nube.</w:t>
            </w:r>
          </w:p>
        </w:tc>
        <w:tc>
          <w:tcPr>
            <w:tcW w:w="3304" w:type="dxa"/>
            <w:vAlign w:val="center"/>
          </w:tcPr>
          <w:p w14:paraId="0608141E" w14:textId="11EFEB44" w:rsidR="00B87333" w:rsidRPr="00EC117D" w:rsidRDefault="00075144" w:rsidP="00B87333">
            <w:pPr>
              <w:spacing w:after="0" w:line="240" w:lineRule="auto"/>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 xml:space="preserve">La decisión se basa en un análisis costo-beneficio sobre de la superficie de ataque y una evaluación de los sistemas con los que cuenta la empresa, de ahí se define en cuanto tiempo podría solventarse un incidente y cómo </w:t>
            </w:r>
          </w:p>
        </w:tc>
        <w:tc>
          <w:tcPr>
            <w:tcW w:w="3402" w:type="dxa"/>
            <w:vAlign w:val="center"/>
          </w:tcPr>
          <w:p w14:paraId="7EF87E63" w14:textId="58143DC5" w:rsidR="00B87333" w:rsidRPr="00EC117D" w:rsidRDefault="00075144" w:rsidP="00B87333">
            <w:pPr>
              <w:spacing w:after="0" w:line="240" w:lineRule="auto"/>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 xml:space="preserve">Con relación a la decisión, al realizar una evaluación de la superficie de ataque, de los sistemas con los que cuenta la empresa, solo queda definir cual es la capacidad real que tiene la empresa para atender un incidente de ciberseguridad. </w:t>
            </w:r>
          </w:p>
        </w:tc>
      </w:tr>
      <w:tr w:rsidR="00B87333" w:rsidRPr="00EC117D" w14:paraId="6A71BFAA" w14:textId="77777777" w:rsidTr="00B87333">
        <w:trPr>
          <w:trHeight w:val="625"/>
        </w:trPr>
        <w:tc>
          <w:tcPr>
            <w:tcW w:w="2860" w:type="dxa"/>
            <w:vAlign w:val="center"/>
            <w:hideMark/>
          </w:tcPr>
          <w:p w14:paraId="3F5CA0A0" w14:textId="77777777" w:rsidR="00B87333" w:rsidRPr="00EC117D" w:rsidRDefault="00B87333" w:rsidP="00B87333">
            <w:pPr>
              <w:spacing w:after="0" w:line="240" w:lineRule="auto"/>
              <w:rPr>
                <w:rFonts w:ascii="Aptos Narrow" w:eastAsia="Times New Roman" w:hAnsi="Aptos Narrow" w:cs="Times New Roman"/>
                <w:b/>
                <w:bCs/>
                <w:color w:val="000000"/>
                <w:kern w:val="0"/>
                <w:sz w:val="22"/>
                <w:szCs w:val="22"/>
                <w:lang w:eastAsia="es-MX"/>
                <w14:ligatures w14:val="none"/>
              </w:rPr>
            </w:pPr>
            <w:r w:rsidRPr="00EC117D">
              <w:rPr>
                <w:rFonts w:ascii="Aptos Narrow" w:eastAsia="Times New Roman" w:hAnsi="Aptos Narrow" w:cs="Times New Roman"/>
                <w:b/>
                <w:bCs/>
                <w:color w:val="000000"/>
                <w:kern w:val="0"/>
                <w:sz w:val="22"/>
                <w:szCs w:val="22"/>
                <w:lang w:eastAsia="es-MX"/>
                <w14:ligatures w14:val="none"/>
              </w:rPr>
              <w:lastRenderedPageBreak/>
              <w:t>Relación con el riesgo</w:t>
            </w:r>
          </w:p>
        </w:tc>
        <w:tc>
          <w:tcPr>
            <w:tcW w:w="2620" w:type="dxa"/>
            <w:vAlign w:val="center"/>
          </w:tcPr>
          <w:p w14:paraId="5F8AF10A" w14:textId="6D6FB13A" w:rsidR="00B87333" w:rsidRPr="00EC117D" w:rsidRDefault="00412D17" w:rsidP="00B87333">
            <w:pPr>
              <w:spacing w:after="0" w:line="240" w:lineRule="auto"/>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Define la pregunta base que se hace la empresa, ‘qué queremos realizar y cuál es el costo de hacerlo’</w:t>
            </w:r>
          </w:p>
        </w:tc>
        <w:tc>
          <w:tcPr>
            <w:tcW w:w="3304" w:type="dxa"/>
            <w:vAlign w:val="center"/>
          </w:tcPr>
          <w:p w14:paraId="704E0172" w14:textId="54FB3D75" w:rsidR="00B87333" w:rsidRPr="00EC117D" w:rsidRDefault="00066324" w:rsidP="00B87333">
            <w:pPr>
              <w:spacing w:after="0" w:line="240" w:lineRule="auto"/>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Cuando la empresa hace un análisis de</w:t>
            </w:r>
            <w:r w:rsidR="00412D17">
              <w:rPr>
                <w:rFonts w:ascii="Aptos Narrow" w:eastAsia="Times New Roman" w:hAnsi="Aptos Narrow" w:cs="Times New Roman"/>
                <w:color w:val="000000"/>
                <w:kern w:val="0"/>
                <w:sz w:val="22"/>
                <w:szCs w:val="22"/>
                <w:lang w:eastAsia="es-MX"/>
                <w14:ligatures w14:val="none"/>
              </w:rPr>
              <w:t xml:space="preserve"> costo-beneficio</w:t>
            </w:r>
            <w:r>
              <w:rPr>
                <w:rFonts w:ascii="Aptos Narrow" w:eastAsia="Times New Roman" w:hAnsi="Aptos Narrow" w:cs="Times New Roman"/>
                <w:color w:val="000000"/>
                <w:kern w:val="0"/>
                <w:sz w:val="22"/>
                <w:szCs w:val="22"/>
                <w:lang w:eastAsia="es-MX"/>
                <w14:ligatures w14:val="none"/>
              </w:rPr>
              <w:t>, define cuales son los pros y los contras y hasta donde se permite que los contras afecten a la empresa.</w:t>
            </w:r>
          </w:p>
        </w:tc>
        <w:tc>
          <w:tcPr>
            <w:tcW w:w="3402" w:type="dxa"/>
            <w:vAlign w:val="center"/>
          </w:tcPr>
          <w:p w14:paraId="7B9A5311" w14:textId="0E553556" w:rsidR="00B87333" w:rsidRPr="00EC117D" w:rsidRDefault="00066324" w:rsidP="00B87333">
            <w:pPr>
              <w:spacing w:after="0" w:line="240" w:lineRule="auto"/>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 xml:space="preserve">Las herramientas, mecanismos, doctrinas de ciberseguridad y ciberdefensa de la empresa, definen la capacidad que la misma tiene de mitigar los nuevos riesgos en caso de que se materialicen.  </w:t>
            </w:r>
          </w:p>
        </w:tc>
      </w:tr>
      <w:tr w:rsidR="00B87333" w:rsidRPr="00EC117D" w14:paraId="5D6BF5D4" w14:textId="77777777" w:rsidTr="00B87333">
        <w:trPr>
          <w:trHeight w:val="1544"/>
        </w:trPr>
        <w:tc>
          <w:tcPr>
            <w:tcW w:w="2860" w:type="dxa"/>
            <w:vAlign w:val="center"/>
            <w:hideMark/>
          </w:tcPr>
          <w:p w14:paraId="28D2CCC7" w14:textId="77777777" w:rsidR="00B87333" w:rsidRPr="00EC117D" w:rsidRDefault="00B87333" w:rsidP="00B87333">
            <w:pPr>
              <w:spacing w:after="0" w:line="240" w:lineRule="auto"/>
              <w:rPr>
                <w:rFonts w:ascii="Aptos Narrow" w:eastAsia="Times New Roman" w:hAnsi="Aptos Narrow" w:cs="Times New Roman"/>
                <w:b/>
                <w:bCs/>
                <w:color w:val="000000"/>
                <w:kern w:val="0"/>
                <w:sz w:val="22"/>
                <w:szCs w:val="22"/>
                <w:lang w:eastAsia="es-MX"/>
                <w14:ligatures w14:val="none"/>
              </w:rPr>
            </w:pPr>
            <w:r w:rsidRPr="00EC117D">
              <w:rPr>
                <w:rFonts w:ascii="Aptos Narrow" w:eastAsia="Times New Roman" w:hAnsi="Aptos Narrow" w:cs="Times New Roman"/>
                <w:b/>
                <w:bCs/>
                <w:color w:val="000000"/>
                <w:kern w:val="0"/>
                <w:sz w:val="22"/>
                <w:szCs w:val="22"/>
                <w:lang w:eastAsia="es-MX"/>
                <w14:ligatures w14:val="none"/>
              </w:rPr>
              <w:t>Ejemplo</w:t>
            </w:r>
          </w:p>
        </w:tc>
        <w:tc>
          <w:tcPr>
            <w:tcW w:w="2620" w:type="dxa"/>
            <w:vAlign w:val="center"/>
            <w:hideMark/>
          </w:tcPr>
          <w:p w14:paraId="3A06B6F9" w14:textId="77777777" w:rsidR="00B87333" w:rsidRPr="00EC117D" w:rsidRDefault="00B87333" w:rsidP="00B87333">
            <w:pPr>
              <w:spacing w:after="0" w:line="240" w:lineRule="auto"/>
              <w:rPr>
                <w:rFonts w:ascii="Aptos Narrow" w:eastAsia="Times New Roman" w:hAnsi="Aptos Narrow" w:cs="Times New Roman"/>
                <w:color w:val="000000"/>
                <w:kern w:val="0"/>
                <w:sz w:val="22"/>
                <w:szCs w:val="22"/>
                <w:lang w:eastAsia="es-MX"/>
                <w14:ligatures w14:val="none"/>
              </w:rPr>
            </w:pPr>
            <w:r w:rsidRPr="00EC117D">
              <w:rPr>
                <w:rFonts w:ascii="Aptos Narrow" w:eastAsia="Times New Roman" w:hAnsi="Aptos Narrow" w:cs="Times New Roman"/>
                <w:color w:val="000000"/>
                <w:kern w:val="0"/>
                <w:sz w:val="22"/>
                <w:szCs w:val="22"/>
                <w:lang w:eastAsia="es-MX"/>
                <w14:ligatures w14:val="none"/>
              </w:rPr>
              <w:t>Una empresa decide adoptar tecnologías emergentes con cierto riesgo de ciberataques para innovar y ganar ventaja competitiva.</w:t>
            </w:r>
          </w:p>
        </w:tc>
        <w:tc>
          <w:tcPr>
            <w:tcW w:w="3304" w:type="dxa"/>
            <w:vAlign w:val="center"/>
            <w:hideMark/>
          </w:tcPr>
          <w:p w14:paraId="2EA64FA4" w14:textId="77777777" w:rsidR="00B87333" w:rsidRPr="00EC117D" w:rsidRDefault="00B87333" w:rsidP="00B87333">
            <w:pPr>
              <w:spacing w:after="0" w:line="240" w:lineRule="auto"/>
              <w:rPr>
                <w:rFonts w:ascii="Aptos Narrow" w:eastAsia="Times New Roman" w:hAnsi="Aptos Narrow" w:cs="Times New Roman"/>
                <w:color w:val="000000"/>
                <w:kern w:val="0"/>
                <w:sz w:val="22"/>
                <w:szCs w:val="22"/>
                <w:lang w:eastAsia="es-MX"/>
                <w14:ligatures w14:val="none"/>
              </w:rPr>
            </w:pPr>
            <w:r w:rsidRPr="00EC117D">
              <w:rPr>
                <w:rFonts w:ascii="Aptos Narrow" w:eastAsia="Times New Roman" w:hAnsi="Aptos Narrow" w:cs="Times New Roman"/>
                <w:color w:val="000000"/>
                <w:kern w:val="0"/>
                <w:sz w:val="22"/>
                <w:szCs w:val="22"/>
                <w:lang w:eastAsia="es-MX"/>
                <w14:ligatures w14:val="none"/>
              </w:rPr>
              <w:t>La misma empresa, aunque dispuesta a innovar, establece que no tolerará interrupciones superiores a 12 horas por ciberataques.</w:t>
            </w:r>
          </w:p>
        </w:tc>
        <w:tc>
          <w:tcPr>
            <w:tcW w:w="3402" w:type="dxa"/>
            <w:vAlign w:val="center"/>
            <w:hideMark/>
          </w:tcPr>
          <w:p w14:paraId="3D4A109C" w14:textId="77777777" w:rsidR="00B87333" w:rsidRPr="00EC117D" w:rsidRDefault="00B87333" w:rsidP="00B87333">
            <w:pPr>
              <w:spacing w:after="0" w:line="240" w:lineRule="auto"/>
              <w:rPr>
                <w:rFonts w:ascii="Aptos Narrow" w:eastAsia="Times New Roman" w:hAnsi="Aptos Narrow" w:cs="Times New Roman"/>
                <w:color w:val="000000"/>
                <w:kern w:val="0"/>
                <w:sz w:val="22"/>
                <w:szCs w:val="22"/>
                <w:lang w:eastAsia="es-MX"/>
                <w14:ligatures w14:val="none"/>
              </w:rPr>
            </w:pPr>
            <w:r w:rsidRPr="00EC117D">
              <w:rPr>
                <w:rFonts w:ascii="Aptos Narrow" w:eastAsia="Times New Roman" w:hAnsi="Aptos Narrow" w:cs="Times New Roman"/>
                <w:color w:val="000000"/>
                <w:kern w:val="0"/>
                <w:sz w:val="22"/>
                <w:szCs w:val="22"/>
                <w:lang w:eastAsia="es-MX"/>
                <w14:ligatures w14:val="none"/>
              </w:rPr>
              <w:t>La empresa tiene recursos financieros y tecnológicos para gestionar interrupciones de hasta 5 días en caso de un ataque cibernético.</w:t>
            </w:r>
          </w:p>
        </w:tc>
      </w:tr>
      <w:tr w:rsidR="00B87333" w:rsidRPr="00EC117D" w14:paraId="0BE3C21C" w14:textId="77777777" w:rsidTr="00B87333">
        <w:trPr>
          <w:trHeight w:val="1500"/>
        </w:trPr>
        <w:tc>
          <w:tcPr>
            <w:tcW w:w="2860" w:type="dxa"/>
            <w:vAlign w:val="center"/>
            <w:hideMark/>
          </w:tcPr>
          <w:p w14:paraId="11C2B8F5" w14:textId="77777777" w:rsidR="00B87333" w:rsidRPr="00EC117D" w:rsidRDefault="00B87333" w:rsidP="00B87333">
            <w:pPr>
              <w:spacing w:after="0" w:line="240" w:lineRule="auto"/>
              <w:rPr>
                <w:rFonts w:ascii="Aptos Narrow" w:eastAsia="Times New Roman" w:hAnsi="Aptos Narrow" w:cs="Times New Roman"/>
                <w:b/>
                <w:bCs/>
                <w:color w:val="000000"/>
                <w:kern w:val="0"/>
                <w:sz w:val="22"/>
                <w:szCs w:val="22"/>
                <w:lang w:eastAsia="es-MX"/>
                <w14:ligatures w14:val="none"/>
              </w:rPr>
            </w:pPr>
            <w:r w:rsidRPr="00EC117D">
              <w:rPr>
                <w:rFonts w:ascii="Aptos Narrow" w:eastAsia="Times New Roman" w:hAnsi="Aptos Narrow" w:cs="Times New Roman"/>
                <w:b/>
                <w:bCs/>
                <w:color w:val="000000"/>
                <w:kern w:val="0"/>
                <w:sz w:val="22"/>
                <w:szCs w:val="22"/>
                <w:lang w:eastAsia="es-MX"/>
                <w14:ligatures w14:val="none"/>
              </w:rPr>
              <w:t>Flexibilidad</w:t>
            </w:r>
          </w:p>
        </w:tc>
        <w:tc>
          <w:tcPr>
            <w:tcW w:w="2620" w:type="dxa"/>
            <w:vAlign w:val="center"/>
            <w:hideMark/>
          </w:tcPr>
          <w:p w14:paraId="763E5AE7" w14:textId="77777777" w:rsidR="00B87333" w:rsidRPr="00EC117D" w:rsidRDefault="00B87333" w:rsidP="00B87333">
            <w:pPr>
              <w:spacing w:after="0" w:line="240" w:lineRule="auto"/>
              <w:rPr>
                <w:rFonts w:ascii="Aptos Narrow" w:eastAsia="Times New Roman" w:hAnsi="Aptos Narrow" w:cs="Times New Roman"/>
                <w:color w:val="000000"/>
                <w:kern w:val="0"/>
                <w:sz w:val="22"/>
                <w:szCs w:val="22"/>
                <w:lang w:eastAsia="es-MX"/>
                <w14:ligatures w14:val="none"/>
              </w:rPr>
            </w:pPr>
            <w:r w:rsidRPr="00EC117D">
              <w:rPr>
                <w:rFonts w:ascii="Aptos Narrow" w:eastAsia="Times New Roman" w:hAnsi="Aptos Narrow" w:cs="Times New Roman"/>
                <w:color w:val="000000"/>
                <w:kern w:val="0"/>
                <w:sz w:val="22"/>
                <w:szCs w:val="22"/>
                <w:lang w:eastAsia="es-MX"/>
                <w14:ligatures w14:val="none"/>
              </w:rPr>
              <w:t>Alta flexibilidad, ya que está influida por la estrategia y los objetivos organizacionales.</w:t>
            </w:r>
          </w:p>
        </w:tc>
        <w:tc>
          <w:tcPr>
            <w:tcW w:w="3304" w:type="dxa"/>
            <w:vAlign w:val="center"/>
            <w:hideMark/>
          </w:tcPr>
          <w:p w14:paraId="51325032" w14:textId="77777777" w:rsidR="00B87333" w:rsidRPr="00EC117D" w:rsidRDefault="00B87333" w:rsidP="00B87333">
            <w:pPr>
              <w:spacing w:after="0" w:line="240" w:lineRule="auto"/>
              <w:rPr>
                <w:rFonts w:ascii="Aptos Narrow" w:eastAsia="Times New Roman" w:hAnsi="Aptos Narrow" w:cs="Times New Roman"/>
                <w:color w:val="000000"/>
                <w:kern w:val="0"/>
                <w:sz w:val="22"/>
                <w:szCs w:val="22"/>
                <w:lang w:eastAsia="es-MX"/>
                <w14:ligatures w14:val="none"/>
              </w:rPr>
            </w:pPr>
            <w:r w:rsidRPr="00EC117D">
              <w:rPr>
                <w:rFonts w:ascii="Aptos Narrow" w:eastAsia="Times New Roman" w:hAnsi="Aptos Narrow" w:cs="Times New Roman"/>
                <w:color w:val="000000"/>
                <w:kern w:val="0"/>
                <w:sz w:val="22"/>
                <w:szCs w:val="22"/>
                <w:lang w:eastAsia="es-MX"/>
                <w14:ligatures w14:val="none"/>
              </w:rPr>
              <w:t>Moderada flexibilidad, ya que depende de la percepción del impacto y las acciones necesarias.</w:t>
            </w:r>
          </w:p>
        </w:tc>
        <w:tc>
          <w:tcPr>
            <w:tcW w:w="3402" w:type="dxa"/>
            <w:vAlign w:val="center"/>
            <w:hideMark/>
          </w:tcPr>
          <w:p w14:paraId="123B66CF" w14:textId="77777777" w:rsidR="00B87333" w:rsidRPr="00EC117D" w:rsidRDefault="00B87333" w:rsidP="00B87333">
            <w:pPr>
              <w:spacing w:after="0" w:line="240" w:lineRule="auto"/>
              <w:rPr>
                <w:rFonts w:ascii="Aptos Narrow" w:eastAsia="Times New Roman" w:hAnsi="Aptos Narrow" w:cs="Times New Roman"/>
                <w:color w:val="000000"/>
                <w:kern w:val="0"/>
                <w:sz w:val="22"/>
                <w:szCs w:val="22"/>
                <w:lang w:eastAsia="es-MX"/>
                <w14:ligatures w14:val="none"/>
              </w:rPr>
            </w:pPr>
            <w:r w:rsidRPr="00EC117D">
              <w:rPr>
                <w:rFonts w:ascii="Aptos Narrow" w:eastAsia="Times New Roman" w:hAnsi="Aptos Narrow" w:cs="Times New Roman"/>
                <w:color w:val="000000"/>
                <w:kern w:val="0"/>
                <w:sz w:val="22"/>
                <w:szCs w:val="22"/>
                <w:lang w:eastAsia="es-MX"/>
                <w14:ligatures w14:val="none"/>
              </w:rPr>
              <w:t>Baja flexibilidad, ya que está determinada por factores objetivos y limitaciones físicas o económicas.</w:t>
            </w:r>
          </w:p>
        </w:tc>
      </w:tr>
      <w:tr w:rsidR="00B87333" w:rsidRPr="00EC117D" w14:paraId="5B59FDDF" w14:textId="77777777" w:rsidTr="00B87333">
        <w:trPr>
          <w:trHeight w:val="1800"/>
        </w:trPr>
        <w:tc>
          <w:tcPr>
            <w:tcW w:w="2860" w:type="dxa"/>
            <w:vAlign w:val="center"/>
            <w:hideMark/>
          </w:tcPr>
          <w:p w14:paraId="3B9A5469" w14:textId="77777777" w:rsidR="00B87333" w:rsidRPr="00EC117D" w:rsidRDefault="00B87333" w:rsidP="00B87333">
            <w:pPr>
              <w:spacing w:after="0" w:line="240" w:lineRule="auto"/>
              <w:rPr>
                <w:rFonts w:ascii="Aptos Narrow" w:eastAsia="Times New Roman" w:hAnsi="Aptos Narrow" w:cs="Times New Roman"/>
                <w:b/>
                <w:bCs/>
                <w:color w:val="000000"/>
                <w:kern w:val="0"/>
                <w:sz w:val="22"/>
                <w:szCs w:val="22"/>
                <w:lang w:eastAsia="es-MX"/>
                <w14:ligatures w14:val="none"/>
              </w:rPr>
            </w:pPr>
            <w:r w:rsidRPr="00EC117D">
              <w:rPr>
                <w:rFonts w:ascii="Aptos Narrow" w:eastAsia="Times New Roman" w:hAnsi="Aptos Narrow" w:cs="Times New Roman"/>
                <w:b/>
                <w:bCs/>
                <w:color w:val="000000"/>
                <w:kern w:val="0"/>
                <w:sz w:val="22"/>
                <w:szCs w:val="22"/>
                <w:lang w:eastAsia="es-MX"/>
                <w14:ligatures w14:val="none"/>
              </w:rPr>
              <w:t>Semejanza</w:t>
            </w:r>
          </w:p>
        </w:tc>
        <w:tc>
          <w:tcPr>
            <w:tcW w:w="2620" w:type="dxa"/>
            <w:vAlign w:val="center"/>
            <w:hideMark/>
          </w:tcPr>
          <w:p w14:paraId="2AA50861" w14:textId="77777777" w:rsidR="00B87333" w:rsidRPr="00EC117D" w:rsidRDefault="00B87333" w:rsidP="00B87333">
            <w:pPr>
              <w:spacing w:after="0" w:line="240" w:lineRule="auto"/>
              <w:rPr>
                <w:rFonts w:ascii="Aptos Narrow" w:eastAsia="Times New Roman" w:hAnsi="Aptos Narrow" w:cs="Times New Roman"/>
                <w:color w:val="000000"/>
                <w:kern w:val="0"/>
                <w:sz w:val="22"/>
                <w:szCs w:val="22"/>
                <w:lang w:eastAsia="es-MX"/>
                <w14:ligatures w14:val="none"/>
              </w:rPr>
            </w:pPr>
            <w:r w:rsidRPr="00EC117D">
              <w:rPr>
                <w:rFonts w:ascii="Aptos Narrow" w:eastAsia="Times New Roman" w:hAnsi="Aptos Narrow" w:cs="Times New Roman"/>
                <w:color w:val="000000"/>
                <w:kern w:val="0"/>
                <w:sz w:val="22"/>
                <w:szCs w:val="22"/>
                <w:lang w:eastAsia="es-MX"/>
                <w14:ligatures w14:val="none"/>
              </w:rPr>
              <w:t>Todos son conceptos esenciales en la gestión de riesgos y están interrelacionados para tomar decisiones en ciberseguridad.</w:t>
            </w:r>
          </w:p>
        </w:tc>
        <w:tc>
          <w:tcPr>
            <w:tcW w:w="3304" w:type="dxa"/>
            <w:vAlign w:val="center"/>
            <w:hideMark/>
          </w:tcPr>
          <w:p w14:paraId="183F289D" w14:textId="77777777" w:rsidR="00B87333" w:rsidRPr="00EC117D" w:rsidRDefault="00B87333" w:rsidP="00B87333">
            <w:pPr>
              <w:spacing w:after="0" w:line="240" w:lineRule="auto"/>
              <w:rPr>
                <w:rFonts w:ascii="Aptos Narrow" w:eastAsia="Times New Roman" w:hAnsi="Aptos Narrow" w:cs="Times New Roman"/>
                <w:color w:val="000000"/>
                <w:kern w:val="0"/>
                <w:sz w:val="22"/>
                <w:szCs w:val="22"/>
                <w:lang w:eastAsia="es-MX"/>
                <w14:ligatures w14:val="none"/>
              </w:rPr>
            </w:pPr>
            <w:r w:rsidRPr="00EC117D">
              <w:rPr>
                <w:rFonts w:ascii="Aptos Narrow" w:eastAsia="Times New Roman" w:hAnsi="Aptos Narrow" w:cs="Times New Roman"/>
                <w:color w:val="000000"/>
                <w:kern w:val="0"/>
                <w:sz w:val="22"/>
                <w:szCs w:val="22"/>
                <w:lang w:eastAsia="es-MX"/>
                <w14:ligatures w14:val="none"/>
              </w:rPr>
              <w:t>Todos buscan equilibrar riesgos y beneficios dentro de las capacidades y objetivos de la organización.</w:t>
            </w:r>
          </w:p>
        </w:tc>
        <w:tc>
          <w:tcPr>
            <w:tcW w:w="3402" w:type="dxa"/>
            <w:vAlign w:val="center"/>
            <w:hideMark/>
          </w:tcPr>
          <w:p w14:paraId="4A05CB6D" w14:textId="57F33CC8" w:rsidR="00B87333" w:rsidRPr="00EC117D" w:rsidRDefault="00C351D1" w:rsidP="00B87333">
            <w:pPr>
              <w:spacing w:after="0" w:line="240" w:lineRule="auto"/>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Todos buscan definir hasta que punto es aceptable y controlable un riesgo basado en las capacidades de la empresa para mitigar la materialización del mismo.</w:t>
            </w:r>
          </w:p>
        </w:tc>
      </w:tr>
      <w:tr w:rsidR="00B87333" w:rsidRPr="00EC117D" w14:paraId="3D21C96B" w14:textId="77777777" w:rsidTr="00B87333">
        <w:trPr>
          <w:trHeight w:val="600"/>
        </w:trPr>
        <w:tc>
          <w:tcPr>
            <w:tcW w:w="2860" w:type="dxa"/>
            <w:vAlign w:val="center"/>
            <w:hideMark/>
          </w:tcPr>
          <w:p w14:paraId="266D35B8" w14:textId="77777777" w:rsidR="00B87333" w:rsidRPr="00EC117D" w:rsidRDefault="00B87333" w:rsidP="00B87333">
            <w:pPr>
              <w:spacing w:after="0" w:line="240" w:lineRule="auto"/>
              <w:rPr>
                <w:rFonts w:ascii="Aptos Narrow" w:eastAsia="Times New Roman" w:hAnsi="Aptos Narrow" w:cs="Times New Roman"/>
                <w:b/>
                <w:bCs/>
                <w:color w:val="000000"/>
                <w:kern w:val="0"/>
                <w:sz w:val="22"/>
                <w:szCs w:val="22"/>
                <w:lang w:eastAsia="es-MX"/>
                <w14:ligatures w14:val="none"/>
              </w:rPr>
            </w:pPr>
            <w:r w:rsidRPr="00EC117D">
              <w:rPr>
                <w:rFonts w:ascii="Aptos Narrow" w:eastAsia="Times New Roman" w:hAnsi="Aptos Narrow" w:cs="Times New Roman"/>
                <w:b/>
                <w:bCs/>
                <w:color w:val="000000"/>
                <w:kern w:val="0"/>
                <w:sz w:val="22"/>
                <w:szCs w:val="22"/>
                <w:lang w:eastAsia="es-MX"/>
                <w14:ligatures w14:val="none"/>
              </w:rPr>
              <w:t>Diferencia clave</w:t>
            </w:r>
          </w:p>
        </w:tc>
        <w:tc>
          <w:tcPr>
            <w:tcW w:w="2620" w:type="dxa"/>
            <w:vAlign w:val="center"/>
            <w:hideMark/>
          </w:tcPr>
          <w:p w14:paraId="46B2A84A" w14:textId="77777777" w:rsidR="00B87333" w:rsidRPr="00EC117D" w:rsidRDefault="00B87333" w:rsidP="00B87333">
            <w:pPr>
              <w:spacing w:after="0" w:line="240" w:lineRule="auto"/>
              <w:rPr>
                <w:rFonts w:ascii="Aptos Narrow" w:eastAsia="Times New Roman" w:hAnsi="Aptos Narrow" w:cs="Times New Roman"/>
                <w:color w:val="000000"/>
                <w:kern w:val="0"/>
                <w:sz w:val="22"/>
                <w:szCs w:val="22"/>
                <w:lang w:eastAsia="es-MX"/>
                <w14:ligatures w14:val="none"/>
              </w:rPr>
            </w:pPr>
            <w:r w:rsidRPr="00EC117D">
              <w:rPr>
                <w:rFonts w:ascii="Aptos Narrow" w:eastAsia="Times New Roman" w:hAnsi="Aptos Narrow" w:cs="Times New Roman"/>
                <w:color w:val="000000"/>
                <w:kern w:val="0"/>
                <w:sz w:val="22"/>
                <w:szCs w:val="22"/>
                <w:lang w:eastAsia="es-MX"/>
                <w14:ligatures w14:val="none"/>
              </w:rPr>
              <w:t>"Qué estamos dispuestos a arriesgar".</w:t>
            </w:r>
          </w:p>
        </w:tc>
        <w:tc>
          <w:tcPr>
            <w:tcW w:w="3304" w:type="dxa"/>
            <w:vAlign w:val="center"/>
            <w:hideMark/>
          </w:tcPr>
          <w:p w14:paraId="4EEEED8F" w14:textId="77777777" w:rsidR="00B87333" w:rsidRPr="00EC117D" w:rsidRDefault="00B87333" w:rsidP="00B87333">
            <w:pPr>
              <w:spacing w:after="0" w:line="240" w:lineRule="auto"/>
              <w:rPr>
                <w:rFonts w:ascii="Aptos Narrow" w:eastAsia="Times New Roman" w:hAnsi="Aptos Narrow" w:cs="Times New Roman"/>
                <w:color w:val="000000"/>
                <w:kern w:val="0"/>
                <w:sz w:val="22"/>
                <w:szCs w:val="22"/>
                <w:lang w:eastAsia="es-MX"/>
                <w14:ligatures w14:val="none"/>
              </w:rPr>
            </w:pPr>
            <w:r w:rsidRPr="00EC117D">
              <w:rPr>
                <w:rFonts w:ascii="Aptos Narrow" w:eastAsia="Times New Roman" w:hAnsi="Aptos Narrow" w:cs="Times New Roman"/>
                <w:color w:val="000000"/>
                <w:kern w:val="0"/>
                <w:sz w:val="22"/>
                <w:szCs w:val="22"/>
                <w:lang w:eastAsia="es-MX"/>
                <w14:ligatures w14:val="none"/>
              </w:rPr>
              <w:t>"Cuánto podemos soportar".</w:t>
            </w:r>
          </w:p>
        </w:tc>
        <w:tc>
          <w:tcPr>
            <w:tcW w:w="3402" w:type="dxa"/>
            <w:vAlign w:val="center"/>
            <w:hideMark/>
          </w:tcPr>
          <w:p w14:paraId="3F1C5626" w14:textId="77777777" w:rsidR="00B87333" w:rsidRPr="00EC117D" w:rsidRDefault="00B87333" w:rsidP="00B87333">
            <w:pPr>
              <w:spacing w:after="0" w:line="240" w:lineRule="auto"/>
              <w:rPr>
                <w:rFonts w:ascii="Aptos Narrow" w:eastAsia="Times New Roman" w:hAnsi="Aptos Narrow" w:cs="Times New Roman"/>
                <w:color w:val="000000"/>
                <w:kern w:val="0"/>
                <w:sz w:val="22"/>
                <w:szCs w:val="22"/>
                <w:lang w:eastAsia="es-MX"/>
                <w14:ligatures w14:val="none"/>
              </w:rPr>
            </w:pPr>
            <w:r w:rsidRPr="00EC117D">
              <w:rPr>
                <w:rFonts w:ascii="Aptos Narrow" w:eastAsia="Times New Roman" w:hAnsi="Aptos Narrow" w:cs="Times New Roman"/>
                <w:color w:val="000000"/>
                <w:kern w:val="0"/>
                <w:sz w:val="22"/>
                <w:szCs w:val="22"/>
                <w:lang w:eastAsia="es-MX"/>
                <w14:ligatures w14:val="none"/>
              </w:rPr>
              <w:t>"Cuánto podemos manejar".</w:t>
            </w:r>
          </w:p>
        </w:tc>
      </w:tr>
    </w:tbl>
    <w:p w14:paraId="5F4A950F" w14:textId="2D1425F2" w:rsidR="00EC117D" w:rsidRPr="00406571" w:rsidRDefault="00406571">
      <w:r w:rsidRPr="00406571">
        <w:t>Completar de manera individual el siguiente cuadro:</w:t>
      </w:r>
    </w:p>
    <w:p w14:paraId="25C78FE8" w14:textId="77777777" w:rsidR="00406571" w:rsidRDefault="00406571"/>
    <w:p w14:paraId="3ABB3374" w14:textId="77777777" w:rsidR="00406571" w:rsidRPr="00406571" w:rsidRDefault="00406571"/>
    <w:sectPr w:rsidR="00406571" w:rsidRPr="00406571" w:rsidSect="00EC117D">
      <w:pgSz w:w="15840" w:h="12240" w:orient="landscape"/>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17D"/>
    <w:rsid w:val="00066324"/>
    <w:rsid w:val="00075144"/>
    <w:rsid w:val="00136CDC"/>
    <w:rsid w:val="00406571"/>
    <w:rsid w:val="00412D17"/>
    <w:rsid w:val="00B87333"/>
    <w:rsid w:val="00BB2D30"/>
    <w:rsid w:val="00BD0321"/>
    <w:rsid w:val="00C351D1"/>
    <w:rsid w:val="00D55F3C"/>
    <w:rsid w:val="00EC11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53664"/>
  <w15:chartTrackingRefBased/>
  <w15:docId w15:val="{6CA37500-2B09-40DE-B298-39A69B74C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17D"/>
    <w:rPr>
      <w:rFonts w:eastAsiaTheme="majorEastAsia" w:cstheme="majorBidi"/>
      <w:color w:val="272727" w:themeColor="text1" w:themeTint="D8"/>
    </w:rPr>
  </w:style>
  <w:style w:type="paragraph" w:styleId="Title">
    <w:name w:val="Title"/>
    <w:basedOn w:val="Normal"/>
    <w:next w:val="Normal"/>
    <w:link w:val="TitleChar"/>
    <w:uiPriority w:val="10"/>
    <w:qFormat/>
    <w:rsid w:val="00EC1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17D"/>
    <w:pPr>
      <w:spacing w:before="160"/>
      <w:jc w:val="center"/>
    </w:pPr>
    <w:rPr>
      <w:i/>
      <w:iCs/>
      <w:color w:val="404040" w:themeColor="text1" w:themeTint="BF"/>
    </w:rPr>
  </w:style>
  <w:style w:type="character" w:customStyle="1" w:styleId="QuoteChar">
    <w:name w:val="Quote Char"/>
    <w:basedOn w:val="DefaultParagraphFont"/>
    <w:link w:val="Quote"/>
    <w:uiPriority w:val="29"/>
    <w:rsid w:val="00EC117D"/>
    <w:rPr>
      <w:i/>
      <w:iCs/>
      <w:color w:val="404040" w:themeColor="text1" w:themeTint="BF"/>
    </w:rPr>
  </w:style>
  <w:style w:type="paragraph" w:styleId="ListParagraph">
    <w:name w:val="List Paragraph"/>
    <w:basedOn w:val="Normal"/>
    <w:uiPriority w:val="34"/>
    <w:qFormat/>
    <w:rsid w:val="00EC117D"/>
    <w:pPr>
      <w:ind w:left="720"/>
      <w:contextualSpacing/>
    </w:pPr>
  </w:style>
  <w:style w:type="character" w:styleId="IntenseEmphasis">
    <w:name w:val="Intense Emphasis"/>
    <w:basedOn w:val="DefaultParagraphFont"/>
    <w:uiPriority w:val="21"/>
    <w:qFormat/>
    <w:rsid w:val="00EC117D"/>
    <w:rPr>
      <w:i/>
      <w:iCs/>
      <w:color w:val="0F4761" w:themeColor="accent1" w:themeShade="BF"/>
    </w:rPr>
  </w:style>
  <w:style w:type="paragraph" w:styleId="IntenseQuote">
    <w:name w:val="Intense Quote"/>
    <w:basedOn w:val="Normal"/>
    <w:next w:val="Normal"/>
    <w:link w:val="IntenseQuoteChar"/>
    <w:uiPriority w:val="30"/>
    <w:qFormat/>
    <w:rsid w:val="00EC1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17D"/>
    <w:rPr>
      <w:i/>
      <w:iCs/>
      <w:color w:val="0F4761" w:themeColor="accent1" w:themeShade="BF"/>
    </w:rPr>
  </w:style>
  <w:style w:type="character" w:styleId="IntenseReference">
    <w:name w:val="Intense Reference"/>
    <w:basedOn w:val="DefaultParagraphFont"/>
    <w:uiPriority w:val="32"/>
    <w:qFormat/>
    <w:rsid w:val="00EC11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5295">
      <w:bodyDiv w:val="1"/>
      <w:marLeft w:val="0"/>
      <w:marRight w:val="0"/>
      <w:marTop w:val="0"/>
      <w:marBottom w:val="0"/>
      <w:divBdr>
        <w:top w:val="none" w:sz="0" w:space="0" w:color="auto"/>
        <w:left w:val="none" w:sz="0" w:space="0" w:color="auto"/>
        <w:bottom w:val="none" w:sz="0" w:space="0" w:color="auto"/>
        <w:right w:val="none" w:sz="0" w:space="0" w:color="auto"/>
      </w:divBdr>
    </w:div>
    <w:div w:id="150446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Teleinformatics Tecnology</dc:creator>
  <cp:keywords/>
  <dc:description/>
  <cp:lastModifiedBy>David Ballesteros</cp:lastModifiedBy>
  <cp:revision>3</cp:revision>
  <dcterms:created xsi:type="dcterms:W3CDTF">2026-01-16T20:03:00Z</dcterms:created>
  <dcterms:modified xsi:type="dcterms:W3CDTF">2026-01-17T13:35:00Z</dcterms:modified>
</cp:coreProperties>
</file>