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BDC37" w14:textId="77777777" w:rsidR="00E152ED" w:rsidRPr="00325F76" w:rsidRDefault="00325F76">
      <w:pPr>
        <w:pStyle w:val="Ttulo1"/>
        <w:rPr>
          <w:lang w:val="es-CO"/>
        </w:rPr>
      </w:pPr>
      <w:r w:rsidRPr="00325F76">
        <w:rPr>
          <w:lang w:val="es-CO"/>
        </w:rPr>
        <w:t>Guía Lite de Interpretación – RFC 3227 y Guía ACPO · Grupo 2</w:t>
      </w:r>
    </w:p>
    <w:p w14:paraId="1D120B3D" w14:textId="77777777" w:rsidR="00406352" w:rsidRPr="00325F76" w:rsidRDefault="00406352" w:rsidP="00406352">
      <w:pPr>
        <w:rPr>
          <w:b/>
          <w:lang w:val="es-CO"/>
        </w:rPr>
      </w:pPr>
    </w:p>
    <w:p w14:paraId="4FFCC835" w14:textId="3501B1E2" w:rsidR="00406352" w:rsidRPr="00325F76" w:rsidRDefault="00406352" w:rsidP="00406352">
      <w:pPr>
        <w:rPr>
          <w:b/>
          <w:lang w:val="es-CO"/>
        </w:rPr>
      </w:pPr>
      <w:r w:rsidRPr="00325F76">
        <w:rPr>
          <w:b/>
          <w:lang w:val="es-CO"/>
        </w:rPr>
        <w:t>Integrantes:</w:t>
      </w:r>
    </w:p>
    <w:p w14:paraId="7A5A3B62" w14:textId="2D271927" w:rsidR="00406352" w:rsidRPr="00325F76" w:rsidRDefault="00406352" w:rsidP="00406352">
      <w:pPr>
        <w:rPr>
          <w:lang w:val="es-CO"/>
        </w:rPr>
      </w:pPr>
      <w:r w:rsidRPr="00325F76">
        <w:rPr>
          <w:lang w:val="es-CO"/>
        </w:rPr>
        <w:t>Johan Camilo Tamara</w:t>
      </w:r>
    </w:p>
    <w:p w14:paraId="72A50B2B" w14:textId="77777777" w:rsidR="00406352" w:rsidRPr="00325F76" w:rsidRDefault="00406352" w:rsidP="00406352">
      <w:pPr>
        <w:rPr>
          <w:lang w:val="es-CO"/>
        </w:rPr>
      </w:pPr>
      <w:r w:rsidRPr="00325F76">
        <w:rPr>
          <w:lang w:val="es-CO"/>
        </w:rPr>
        <w:t>Natalia Forero Lozano</w:t>
      </w:r>
    </w:p>
    <w:p w14:paraId="40AA7877" w14:textId="4162591A" w:rsidR="00406352" w:rsidRPr="00325F76" w:rsidRDefault="00406352" w:rsidP="00406352">
      <w:pPr>
        <w:rPr>
          <w:lang w:val="es-CO"/>
        </w:rPr>
      </w:pPr>
      <w:r w:rsidRPr="00325F76">
        <w:rPr>
          <w:lang w:val="es-CO"/>
        </w:rPr>
        <w:t>Laura Gutiérrez</w:t>
      </w:r>
      <w:r w:rsidRPr="00325F76">
        <w:rPr>
          <w:lang w:val="es-CO"/>
        </w:rPr>
        <w:t xml:space="preserve"> Torres</w:t>
      </w:r>
    </w:p>
    <w:p w14:paraId="29B362E4" w14:textId="589311E5" w:rsidR="00FC75DC" w:rsidRPr="00325F76" w:rsidRDefault="00406352" w:rsidP="00406352">
      <w:pPr>
        <w:rPr>
          <w:lang w:val="es-CO"/>
        </w:rPr>
      </w:pPr>
      <w:r w:rsidRPr="00325F76">
        <w:rPr>
          <w:lang w:val="es-CO"/>
        </w:rPr>
        <w:t>Ayda Castro Suárez</w:t>
      </w:r>
    </w:p>
    <w:p w14:paraId="1D226751" w14:textId="77777777" w:rsidR="00406352" w:rsidRPr="00325F76" w:rsidRDefault="00406352" w:rsidP="00406352">
      <w:pPr>
        <w:rPr>
          <w:lang w:val="es-CO"/>
        </w:rPr>
      </w:pPr>
    </w:p>
    <w:p w14:paraId="069BDC39" w14:textId="6054A10D" w:rsidR="00E152ED" w:rsidRPr="00325F76" w:rsidRDefault="00325F76">
      <w:pPr>
        <w:rPr>
          <w:lang w:val="es-CO"/>
        </w:rPr>
      </w:pPr>
      <w:r w:rsidRPr="00325F76">
        <w:rPr>
          <w:lang w:val="es-CO"/>
        </w:rPr>
        <w:t>Recolección, preservación y archivo de evidencia digital bajo RFC 3</w:t>
      </w:r>
      <w:bookmarkStart w:id="0" w:name="_GoBack"/>
      <w:bookmarkEnd w:id="0"/>
      <w:r w:rsidRPr="00325F76">
        <w:rPr>
          <w:lang w:val="es-CO"/>
        </w:rPr>
        <w:t>227 y la Guía de Buenas Prácticas ACPO (v5).</w:t>
      </w:r>
    </w:p>
    <w:p w14:paraId="069BDC3A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1. Objetivo y alcance</w:t>
      </w:r>
    </w:p>
    <w:p w14:paraId="069BDC3B" w14:textId="77777777" w:rsidR="00E152ED" w:rsidRPr="00325F76" w:rsidRDefault="00325F76">
      <w:pPr>
        <w:rPr>
          <w:lang w:val="es-CO"/>
        </w:rPr>
      </w:pPr>
      <w:r w:rsidRPr="00325F76">
        <w:rPr>
          <w:b/>
          <w:lang w:val="es-CO"/>
        </w:rPr>
        <w:t>Objetivo.</w:t>
      </w:r>
      <w:r w:rsidRPr="00325F76">
        <w:rPr>
          <w:lang w:val="es-CO"/>
        </w:rPr>
        <w:t xml:space="preserve"> Proveer al perito o al equipo de respuesta a incidentes un instrumento único, verificable y repetible para identificar, recolectar, preservar, archivar, analizar y presentar evidencia digital, de modo que el elemento material probatorio conserve su </w:t>
      </w:r>
      <w:r w:rsidRPr="00325F76">
        <w:rPr>
          <w:b/>
          <w:lang w:val="es-CO"/>
        </w:rPr>
        <w:t>autent</w:t>
      </w:r>
      <w:r w:rsidRPr="00325F76">
        <w:rPr>
          <w:b/>
          <w:lang w:val="es-CO"/>
        </w:rPr>
        <w:t>icidad, integridad y trazabilidad</w:t>
      </w:r>
      <w:r w:rsidRPr="00325F76">
        <w:rPr>
          <w:lang w:val="es-CO"/>
        </w:rPr>
        <w:t xml:space="preserve"> y sea admisible ante un juez o una junta directiva.</w:t>
      </w:r>
    </w:p>
    <w:p w14:paraId="069BDC3C" w14:textId="77777777" w:rsidR="00E152ED" w:rsidRPr="00325F76" w:rsidRDefault="00325F76">
      <w:pPr>
        <w:rPr>
          <w:lang w:val="es-CO"/>
        </w:rPr>
      </w:pPr>
      <w:r w:rsidRPr="00325F76">
        <w:rPr>
          <w:b/>
          <w:lang w:val="es-CO"/>
        </w:rPr>
        <w:t>Perímetro técnico.</w:t>
      </w:r>
      <w:r w:rsidRPr="00325F76">
        <w:rPr>
          <w:lang w:val="es-CO"/>
        </w:rPr>
        <w:t xml:space="preserve"> Estaciones de trabajo y servidores (Windows/Linux), equipos de red y sus registros, memoria volátil, medios de almacenamiento extraíble y registros cen</w:t>
      </w:r>
      <w:r w:rsidRPr="00325F76">
        <w:rPr>
          <w:lang w:val="es-CO"/>
        </w:rPr>
        <w:t>tralizados (SIEM/syslog). La guía cubre desde la llegada al sitio hasta la entrega del dictamen. Los dispositivos móviles, la nube y los sistemas OT/ICS se tratan solo en lo que los principios generales permiten (ver sección 10).</w:t>
      </w:r>
    </w:p>
    <w:p w14:paraId="069BDC3D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2. Marco de referencia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26"/>
        <w:gridCol w:w="3642"/>
        <w:gridCol w:w="2692"/>
      </w:tblGrid>
      <w:tr w:rsidR="00E152ED" w:rsidRPr="00325F76" w14:paraId="069BDC41" w14:textId="77777777">
        <w:trPr>
          <w:tblHeader/>
        </w:trPr>
        <w:tc>
          <w:tcPr>
            <w:tcW w:w="3026" w:type="dxa"/>
            <w:shd w:val="clear" w:color="auto" w:fill="F2F2F2"/>
          </w:tcPr>
          <w:p w14:paraId="069BDC3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Doc</w:t>
            </w:r>
            <w:r w:rsidRPr="00325F76">
              <w:rPr>
                <w:lang w:val="es-CO"/>
              </w:rPr>
              <w:t>umento</w:t>
            </w:r>
          </w:p>
        </w:tc>
        <w:tc>
          <w:tcPr>
            <w:tcW w:w="3642" w:type="dxa"/>
            <w:shd w:val="clear" w:color="auto" w:fill="F2F2F2"/>
          </w:tcPr>
          <w:p w14:paraId="069BDC3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Identificación formal</w:t>
            </w:r>
          </w:p>
        </w:tc>
        <w:tc>
          <w:tcPr>
            <w:tcW w:w="2692" w:type="dxa"/>
            <w:shd w:val="clear" w:color="auto" w:fill="F2F2F2"/>
          </w:tcPr>
          <w:p w14:paraId="069BDC4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Aporte a esta guía</w:t>
            </w:r>
          </w:p>
        </w:tc>
      </w:tr>
      <w:tr w:rsidR="00E152ED" w:rsidRPr="00325F76" w14:paraId="069BDC45" w14:textId="77777777">
        <w:tc>
          <w:tcPr>
            <w:tcW w:w="3026" w:type="dxa"/>
          </w:tcPr>
          <w:p w14:paraId="069BDC42" w14:textId="77777777" w:rsidR="00E152ED" w:rsidRPr="00325F76" w:rsidRDefault="00325F76">
            <w:pPr>
              <w:rPr>
                <w:lang w:val="es-CO"/>
              </w:rPr>
            </w:pPr>
            <w:hyperlink r:id="rId5" w:history="1">
              <w:r w:rsidRPr="00325F76">
                <w:rPr>
                  <w:rStyle w:val="Hipervnculo"/>
                  <w:lang w:val="es-CO"/>
                </w:rPr>
                <w:t>RFC 3227</w:t>
              </w:r>
            </w:hyperlink>
            <w:r w:rsidRPr="00325F76">
              <w:rPr>
                <w:lang w:val="es-CO"/>
              </w:rPr>
              <w:t xml:space="preserve"> (BCP 55)</w:t>
            </w:r>
          </w:p>
        </w:tc>
        <w:tc>
          <w:tcPr>
            <w:tcW w:w="3642" w:type="dxa"/>
          </w:tcPr>
          <w:p w14:paraId="069BDC4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i/>
                <w:lang w:val="es-CO"/>
              </w:rPr>
              <w:t>Guidelines for Evidence Collection and Archiving</w:t>
            </w:r>
            <w:r w:rsidRPr="00325F76">
              <w:rPr>
                <w:lang w:val="es-CO"/>
              </w:rPr>
              <w:t>. D. Brezinski y T. Killalea, IETF, febrero de 2002. Categoría «Best Current Practice</w:t>
            </w:r>
            <w:r w:rsidRPr="00325F76">
              <w:rPr>
                <w:lang w:val="es-CO"/>
              </w:rPr>
              <w:t>»; no ha sido actualizado ni reemplazado por otro RFC.</w:t>
            </w:r>
          </w:p>
        </w:tc>
        <w:tc>
          <w:tcPr>
            <w:tcW w:w="2692" w:type="dxa"/>
          </w:tcPr>
          <w:p w14:paraId="069BDC4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 xml:space="preserve">Principios de recolección, </w:t>
            </w:r>
            <w:r w:rsidRPr="00325F76">
              <w:rPr>
                <w:b/>
                <w:lang w:val="es-CO"/>
              </w:rPr>
              <w:t>orden de volatilidad</w:t>
            </w:r>
            <w:r w:rsidRPr="00325F76">
              <w:rPr>
                <w:lang w:val="es-CO"/>
              </w:rPr>
              <w:t>, acciones a evitar, privacidad, consideraciones legales (admisible, auténtica, completa, confiable, creíble), procedimientos de recolección y archivo, ki</w:t>
            </w:r>
            <w:r w:rsidRPr="00325F76">
              <w:rPr>
                <w:lang w:val="es-CO"/>
              </w:rPr>
              <w:t>t de herramientas.</w:t>
            </w:r>
          </w:p>
        </w:tc>
      </w:tr>
      <w:tr w:rsidR="00E152ED" w:rsidRPr="00325F76" w14:paraId="069BDC49" w14:textId="77777777">
        <w:tc>
          <w:tcPr>
            <w:tcW w:w="3026" w:type="dxa"/>
          </w:tcPr>
          <w:p w14:paraId="069BDC46" w14:textId="77777777" w:rsidR="00E152ED" w:rsidRPr="00325F76" w:rsidRDefault="00325F76">
            <w:pPr>
              <w:rPr>
                <w:lang w:val="es-CO"/>
              </w:rPr>
            </w:pPr>
            <w:hyperlink r:id="rId6" w:history="1">
              <w:r w:rsidRPr="00325F76">
                <w:rPr>
                  <w:rStyle w:val="Hipervnculo"/>
                  <w:lang w:val="es-CO"/>
                </w:rPr>
                <w:t>Guía ACPO v5</w:t>
              </w:r>
            </w:hyperlink>
          </w:p>
        </w:tc>
        <w:tc>
          <w:tcPr>
            <w:tcW w:w="3642" w:type="dxa"/>
          </w:tcPr>
          <w:p w14:paraId="069BDC4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i/>
                <w:lang w:val="es-CO"/>
              </w:rPr>
              <w:t>ACPO Good Practice Guide for Digital Evidence</w:t>
            </w:r>
            <w:r w:rsidRPr="00325F76">
              <w:rPr>
                <w:lang w:val="es-CO"/>
              </w:rPr>
              <w:t xml:space="preserve">, Association of Chief Police </w:t>
            </w:r>
            <w:r w:rsidRPr="00325F76">
              <w:rPr>
                <w:lang w:val="es-CO"/>
              </w:rPr>
              <w:lastRenderedPageBreak/>
              <w:t xml:space="preserve">Officers (Reino Unido), finalizada en oct. 2011 y publicada en mar. 2012. ACPO pasó a ser el NPCC en 2015; la guía fue </w:t>
            </w:r>
            <w:hyperlink r:id="rId7" w:history="1">
              <w:r w:rsidRPr="00325F76">
                <w:rPr>
                  <w:rStyle w:val="Hipervnculo"/>
                  <w:lang w:val="es-CO"/>
                </w:rPr>
                <w:t>revisada en 2021 y considerada vigente</w:t>
              </w:r>
            </w:hyperlink>
            <w:r w:rsidRPr="00325F76">
              <w:rPr>
                <w:lang w:val="es-CO"/>
              </w:rPr>
              <w:t>.</w:t>
            </w:r>
          </w:p>
        </w:tc>
        <w:tc>
          <w:tcPr>
            <w:tcW w:w="2692" w:type="dxa"/>
          </w:tcPr>
          <w:p w14:paraId="069BDC4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lastRenderedPageBreak/>
              <w:t>Cuatro principios</w:t>
            </w:r>
            <w:r w:rsidRPr="00325F76">
              <w:rPr>
                <w:lang w:val="es-CO"/>
              </w:rPr>
              <w:t xml:space="preserve"> (no alteración, competencia, </w:t>
            </w:r>
            <w:r w:rsidRPr="00325F76">
              <w:rPr>
                <w:lang w:val="es-CO"/>
              </w:rPr>
              <w:lastRenderedPageBreak/>
              <w:t xml:space="preserve">registro auditable/repetibilidad, responsabilidad del líder) y ciclo </w:t>
            </w:r>
            <w:r w:rsidRPr="00325F76">
              <w:rPr>
                <w:b/>
                <w:lang w:val="es-CO"/>
              </w:rPr>
              <w:t>Planear → Capturar → Analizar → Presentar</w:t>
            </w:r>
            <w:r w:rsidRPr="00325F76">
              <w:rPr>
                <w:lang w:val="es-CO"/>
              </w:rPr>
              <w:t>.</w:t>
            </w:r>
          </w:p>
        </w:tc>
      </w:tr>
      <w:tr w:rsidR="00E152ED" w:rsidRPr="00325F76" w14:paraId="069BDC4D" w14:textId="77777777">
        <w:tc>
          <w:tcPr>
            <w:tcW w:w="3026" w:type="dxa"/>
          </w:tcPr>
          <w:p w14:paraId="069BDC4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lastRenderedPageBreak/>
              <w:t>Complementos (Colombia)</w:t>
            </w:r>
          </w:p>
        </w:tc>
        <w:tc>
          <w:tcPr>
            <w:tcW w:w="3642" w:type="dxa"/>
          </w:tcPr>
          <w:p w14:paraId="069BDC4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 xml:space="preserve">Ley 527 de </w:t>
            </w:r>
            <w:r w:rsidRPr="00325F76">
              <w:rPr>
                <w:lang w:val="es-CO"/>
              </w:rPr>
              <w:t>1999 (mensajes de datos, art. 11 criterios de valoración); Ley 906 de 2004, arts. 254-266 (cadena de custodia); Ley 1273 de 2009 (delitos informáticos); Ley 1581 de 2012 (datos personales); Manual del Sistema de Cadena de Custodia de la FGN.</w:t>
            </w:r>
          </w:p>
        </w:tc>
        <w:tc>
          <w:tcPr>
            <w:tcW w:w="2692" w:type="dxa"/>
          </w:tcPr>
          <w:p w14:paraId="069BDC4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Traducen los p</w:t>
            </w:r>
            <w:r w:rsidRPr="00325F76">
              <w:rPr>
                <w:lang w:val="es-CO"/>
              </w:rPr>
              <w:t>rincipios técnicos a requisitos de admisibilidad procesal en el contexto nacional.</w:t>
            </w:r>
          </w:p>
        </w:tc>
      </w:tr>
    </w:tbl>
    <w:p w14:paraId="069BDC4E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3. Principios rectores integrados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920"/>
        <w:gridCol w:w="1235"/>
        <w:gridCol w:w="2485"/>
      </w:tblGrid>
      <w:tr w:rsidR="00E152ED" w:rsidRPr="00325F76" w14:paraId="069BDC53" w14:textId="77777777">
        <w:trPr>
          <w:tblHeader/>
        </w:trPr>
        <w:tc>
          <w:tcPr>
            <w:tcW w:w="720" w:type="dxa"/>
            <w:shd w:val="clear" w:color="auto" w:fill="F2F2F2"/>
          </w:tcPr>
          <w:p w14:paraId="069BDC4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#</w:t>
            </w:r>
          </w:p>
        </w:tc>
        <w:tc>
          <w:tcPr>
            <w:tcW w:w="4920" w:type="dxa"/>
            <w:shd w:val="clear" w:color="auto" w:fill="F2F2F2"/>
          </w:tcPr>
          <w:p w14:paraId="069BDC5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Principio (síntesis propia)</w:t>
            </w:r>
          </w:p>
        </w:tc>
        <w:tc>
          <w:tcPr>
            <w:tcW w:w="1235" w:type="dxa"/>
            <w:shd w:val="clear" w:color="auto" w:fill="F2F2F2"/>
          </w:tcPr>
          <w:p w14:paraId="069BDC5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Fuente</w:t>
            </w:r>
          </w:p>
        </w:tc>
        <w:tc>
          <w:tcPr>
            <w:tcW w:w="2485" w:type="dxa"/>
            <w:shd w:val="clear" w:color="auto" w:fill="F2F2F2"/>
          </w:tcPr>
          <w:p w14:paraId="069BDC5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Efecto práctico</w:t>
            </w:r>
          </w:p>
        </w:tc>
      </w:tr>
      <w:tr w:rsidR="00E152ED" w:rsidRPr="00325F76" w14:paraId="069BDC58" w14:textId="77777777">
        <w:tc>
          <w:tcPr>
            <w:tcW w:w="720" w:type="dxa"/>
          </w:tcPr>
          <w:p w14:paraId="069BDC5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P1</w:t>
            </w:r>
          </w:p>
        </w:tc>
        <w:tc>
          <w:tcPr>
            <w:tcW w:w="4920" w:type="dxa"/>
          </w:tcPr>
          <w:p w14:paraId="069BDC5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Ninguna acción debe modificar los datos que puedan llegar a presentarse ante el tribunal.</w:t>
            </w:r>
          </w:p>
        </w:tc>
        <w:tc>
          <w:tcPr>
            <w:tcW w:w="1235" w:type="dxa"/>
          </w:tcPr>
          <w:p w14:paraId="069BDC5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ACPO 1</w:t>
            </w:r>
          </w:p>
        </w:tc>
        <w:tc>
          <w:tcPr>
            <w:tcW w:w="2485" w:type="dxa"/>
          </w:tcPr>
          <w:p w14:paraId="069BDC5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Bloqueador de escritura; trabajar sobre copias.</w:t>
            </w:r>
          </w:p>
        </w:tc>
      </w:tr>
      <w:tr w:rsidR="00E152ED" w:rsidRPr="00325F76" w14:paraId="069BDC5D" w14:textId="77777777">
        <w:tc>
          <w:tcPr>
            <w:tcW w:w="720" w:type="dxa"/>
          </w:tcPr>
          <w:p w14:paraId="069BDC5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P2</w:t>
            </w:r>
          </w:p>
        </w:tc>
        <w:tc>
          <w:tcPr>
            <w:tcW w:w="4920" w:type="dxa"/>
          </w:tcPr>
          <w:p w14:paraId="069BDC5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Si es inevitable acceder al original, solo lo hace una persona competente capaz de explicar su relevancia e</w:t>
            </w:r>
            <w:r w:rsidRPr="00325F76">
              <w:rPr>
                <w:lang w:val="es-CO"/>
              </w:rPr>
              <w:t xml:space="preserve"> implicaciones.</w:t>
            </w:r>
          </w:p>
        </w:tc>
        <w:tc>
          <w:tcPr>
            <w:tcW w:w="1235" w:type="dxa"/>
          </w:tcPr>
          <w:p w14:paraId="069BDC5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ACPO 2 · RFC 3227 §2</w:t>
            </w:r>
          </w:p>
        </w:tc>
        <w:tc>
          <w:tcPr>
            <w:tcW w:w="2485" w:type="dxa"/>
          </w:tcPr>
          <w:p w14:paraId="069BDC5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Adquisición en vivo justificada y documentada.</w:t>
            </w:r>
          </w:p>
        </w:tc>
      </w:tr>
      <w:tr w:rsidR="00E152ED" w:rsidRPr="00325F76" w14:paraId="069BDC62" w14:textId="77777777">
        <w:tc>
          <w:tcPr>
            <w:tcW w:w="720" w:type="dxa"/>
          </w:tcPr>
          <w:p w14:paraId="069BDC5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P3</w:t>
            </w:r>
          </w:p>
        </w:tc>
        <w:tc>
          <w:tcPr>
            <w:tcW w:w="4920" w:type="dxa"/>
          </w:tcPr>
          <w:p w14:paraId="069BDC5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Todo proceso aplicado debe quedar registrado de forma que un tercero independiente obtenga el mismo resultado.</w:t>
            </w:r>
          </w:p>
        </w:tc>
        <w:tc>
          <w:tcPr>
            <w:tcW w:w="1235" w:type="dxa"/>
          </w:tcPr>
          <w:p w14:paraId="069BDC6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ACPO 3 · RFC 3227 §2</w:t>
            </w:r>
          </w:p>
        </w:tc>
        <w:tc>
          <w:tcPr>
            <w:tcW w:w="2485" w:type="dxa"/>
          </w:tcPr>
          <w:p w14:paraId="069BDC6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Bitácora, hashes, versiones de herra</w:t>
            </w:r>
            <w:r w:rsidRPr="00325F76">
              <w:rPr>
                <w:lang w:val="es-CO"/>
              </w:rPr>
              <w:t>mientas.</w:t>
            </w:r>
          </w:p>
        </w:tc>
      </w:tr>
      <w:tr w:rsidR="00E152ED" w:rsidRPr="00325F76" w14:paraId="069BDC67" w14:textId="77777777">
        <w:tc>
          <w:tcPr>
            <w:tcW w:w="720" w:type="dxa"/>
          </w:tcPr>
          <w:p w14:paraId="069BDC6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P4</w:t>
            </w:r>
          </w:p>
        </w:tc>
        <w:tc>
          <w:tcPr>
            <w:tcW w:w="4920" w:type="dxa"/>
          </w:tcPr>
          <w:p w14:paraId="069BDC6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Quien dirige la investigación responde por el cumplimiento de la ley y de estos principios.</w:t>
            </w:r>
          </w:p>
        </w:tc>
        <w:tc>
          <w:tcPr>
            <w:tcW w:w="1235" w:type="dxa"/>
          </w:tcPr>
          <w:p w14:paraId="069BDC6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ACPO 4</w:t>
            </w:r>
          </w:p>
        </w:tc>
        <w:tc>
          <w:tcPr>
            <w:tcW w:w="2485" w:type="dxa"/>
          </w:tcPr>
          <w:p w14:paraId="069BDC6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Líder designado y firma del dictamen.</w:t>
            </w:r>
          </w:p>
        </w:tc>
      </w:tr>
      <w:tr w:rsidR="00E152ED" w:rsidRPr="00325F76" w14:paraId="069BDC6C" w14:textId="77777777">
        <w:tc>
          <w:tcPr>
            <w:tcW w:w="720" w:type="dxa"/>
          </w:tcPr>
          <w:p w14:paraId="069BDC6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P5</w:t>
            </w:r>
          </w:p>
        </w:tc>
        <w:tc>
          <w:tcPr>
            <w:tcW w:w="4920" w:type="dxa"/>
          </w:tcPr>
          <w:p w14:paraId="069BDC6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Recolectar primero lo más volátil; recolectar antes de analizar.</w:t>
            </w:r>
          </w:p>
        </w:tc>
        <w:tc>
          <w:tcPr>
            <w:tcW w:w="1235" w:type="dxa"/>
          </w:tcPr>
          <w:p w14:paraId="069BDC6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RFC 3227 §2, §2.1</w:t>
            </w:r>
          </w:p>
        </w:tc>
        <w:tc>
          <w:tcPr>
            <w:tcW w:w="2485" w:type="dxa"/>
          </w:tcPr>
          <w:p w14:paraId="069BDC6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Orden de volatilidad (sección 4).</w:t>
            </w:r>
          </w:p>
        </w:tc>
      </w:tr>
      <w:tr w:rsidR="00E152ED" w:rsidRPr="00325F76" w14:paraId="069BDC71" w14:textId="77777777">
        <w:tc>
          <w:tcPr>
            <w:tcW w:w="720" w:type="dxa"/>
          </w:tcPr>
          <w:p w14:paraId="069BDC6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P6</w:t>
            </w:r>
          </w:p>
        </w:tc>
        <w:tc>
          <w:tcPr>
            <w:tcW w:w="4920" w:type="dxa"/>
          </w:tcPr>
          <w:p w14:paraId="069BDC6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Minimizar cambios, no confiar en los binarios del sistema comprometido y eliminar vías externas de alteración.</w:t>
            </w:r>
          </w:p>
        </w:tc>
        <w:tc>
          <w:tcPr>
            <w:tcW w:w="1235" w:type="dxa"/>
          </w:tcPr>
          <w:p w14:paraId="069BDC6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RFC 3227 §2, §2.2, §5</w:t>
            </w:r>
          </w:p>
        </w:tc>
        <w:tc>
          <w:tcPr>
            <w:tcW w:w="2485" w:type="dxa"/>
          </w:tcPr>
          <w:p w14:paraId="069BDC7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Kit en medio de solo lectura; aislamiento de red controlado.</w:t>
            </w:r>
          </w:p>
        </w:tc>
      </w:tr>
      <w:tr w:rsidR="00E152ED" w:rsidRPr="00325F76" w14:paraId="069BDC76" w14:textId="77777777">
        <w:tc>
          <w:tcPr>
            <w:tcW w:w="720" w:type="dxa"/>
          </w:tcPr>
          <w:p w14:paraId="069BDC7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P7</w:t>
            </w:r>
          </w:p>
        </w:tc>
        <w:tc>
          <w:tcPr>
            <w:tcW w:w="4920" w:type="dxa"/>
          </w:tcPr>
          <w:p w14:paraId="069BDC7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Respetar la privacid</w:t>
            </w:r>
            <w:r w:rsidRPr="00325F76">
              <w:rPr>
                <w:lang w:val="es-CO"/>
              </w:rPr>
              <w:t>ad y la política de seguridad del sitio; no recolectar fuera del mandato.</w:t>
            </w:r>
          </w:p>
        </w:tc>
        <w:tc>
          <w:tcPr>
            <w:tcW w:w="1235" w:type="dxa"/>
          </w:tcPr>
          <w:p w14:paraId="069BDC7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RFC 3227 §2.3 · Ley 1581</w:t>
            </w:r>
          </w:p>
        </w:tc>
        <w:tc>
          <w:tcPr>
            <w:tcW w:w="2485" w:type="dxa"/>
          </w:tcPr>
          <w:p w14:paraId="069BDC7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Autorización escrita; minimización de datos.</w:t>
            </w:r>
          </w:p>
        </w:tc>
      </w:tr>
    </w:tbl>
    <w:p w14:paraId="069BDC77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lastRenderedPageBreak/>
        <w:t>4. Mapa de procesos</w:t>
      </w:r>
    </w:p>
    <w:p w14:paraId="069BDC78" w14:textId="77777777" w:rsidR="00E152ED" w:rsidRPr="00325F76" w:rsidRDefault="00325F76">
      <w:pPr>
        <w:rPr>
          <w:lang w:val="es-CO"/>
        </w:rPr>
      </w:pPr>
      <w:r w:rsidRPr="00325F76">
        <w:rPr>
          <w:noProof/>
          <w:lang w:val="es-CO"/>
        </w:rPr>
        <w:drawing>
          <wp:inline distT="0" distB="0" distL="0" distR="0" wp14:anchorId="069BDD3F" wp14:editId="069BDD40">
            <wp:extent cx="5486400" cy="2939142"/>
            <wp:effectExtent l="0" t="0" r="0" b="0"/>
            <wp:docPr id="1" name="image1" descr="mapa de procesos · 9 fases, 1 deci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e procesos · 9 fases, 1 decisió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DC79" w14:textId="77777777" w:rsidR="00E152ED" w:rsidRPr="00325F76" w:rsidRDefault="00325F76">
      <w:pPr>
        <w:rPr>
          <w:lang w:val="es-CO"/>
        </w:rPr>
      </w:pPr>
      <w:r w:rsidRPr="00325F76">
        <w:rPr>
          <w:lang w:val="es-CO"/>
        </w:rPr>
        <w:t>mapa de procesos · 9 fases, 1 decisión</w:t>
      </w:r>
    </w:p>
    <w:p w14:paraId="069BDC7A" w14:textId="77777777" w:rsidR="00E152ED" w:rsidRPr="00325F76" w:rsidRDefault="00325F76">
      <w:pPr>
        <w:rPr>
          <w:lang w:val="es-CO"/>
        </w:rPr>
      </w:pPr>
      <w:r w:rsidRPr="00325F76">
        <w:rPr>
          <w:lang w:val="es-CO"/>
        </w:rPr>
        <w:t>Las fases 1 a 9 se recorren en orden; si el equipo</w:t>
      </w:r>
      <w:r w:rsidRPr="00325F76">
        <w:rPr>
          <w:lang w:val="es-CO"/>
        </w:rPr>
        <w:t xml:space="preserve"> está apagado, el paso 3 salta directamente a la adquisición del disco (línea punteada), sin encenderlo.</w:t>
      </w:r>
    </w:p>
    <w:p w14:paraId="069BDC7B" w14:textId="77777777" w:rsidR="00E152ED" w:rsidRPr="00325F76" w:rsidRDefault="00325F76">
      <w:pPr>
        <w:pStyle w:val="Ttulo3"/>
        <w:rPr>
          <w:lang w:val="es-CO"/>
        </w:rPr>
      </w:pPr>
      <w:r w:rsidRPr="00325F76">
        <w:rPr>
          <w:lang w:val="es-CO"/>
        </w:rPr>
        <w:t>Orden de volatilidad (RFC 3227 §2.1) aplicado a la fase 4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318"/>
        <w:gridCol w:w="3512"/>
        <w:gridCol w:w="1701"/>
      </w:tblGrid>
      <w:tr w:rsidR="00E152ED" w:rsidRPr="00325F76" w14:paraId="069BDC80" w14:textId="77777777">
        <w:trPr>
          <w:tblHeader/>
        </w:trPr>
        <w:tc>
          <w:tcPr>
            <w:tcW w:w="829" w:type="dxa"/>
            <w:shd w:val="clear" w:color="auto" w:fill="F2F2F2"/>
          </w:tcPr>
          <w:p w14:paraId="069BDC7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Orden</w:t>
            </w:r>
          </w:p>
        </w:tc>
        <w:tc>
          <w:tcPr>
            <w:tcW w:w="3318" w:type="dxa"/>
            <w:shd w:val="clear" w:color="auto" w:fill="F2F2F2"/>
          </w:tcPr>
          <w:p w14:paraId="069BDC7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Artefacto</w:t>
            </w:r>
          </w:p>
        </w:tc>
        <w:tc>
          <w:tcPr>
            <w:tcW w:w="3512" w:type="dxa"/>
            <w:shd w:val="clear" w:color="auto" w:fill="F2F2F2"/>
          </w:tcPr>
          <w:p w14:paraId="069BDC7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Herramienta sugerida (ejemplo)</w:t>
            </w:r>
          </w:p>
        </w:tc>
        <w:tc>
          <w:tcPr>
            <w:tcW w:w="1701" w:type="dxa"/>
            <w:shd w:val="clear" w:color="auto" w:fill="F2F2F2"/>
          </w:tcPr>
          <w:p w14:paraId="069BDC7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Vida útil aprox.</w:t>
            </w:r>
          </w:p>
        </w:tc>
      </w:tr>
      <w:tr w:rsidR="00E152ED" w:rsidRPr="00325F76" w14:paraId="069BDC85" w14:textId="77777777">
        <w:tc>
          <w:tcPr>
            <w:tcW w:w="829" w:type="dxa"/>
          </w:tcPr>
          <w:p w14:paraId="069BDC8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1</w:t>
            </w:r>
          </w:p>
        </w:tc>
        <w:tc>
          <w:tcPr>
            <w:tcW w:w="3318" w:type="dxa"/>
          </w:tcPr>
          <w:p w14:paraId="069BDC8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Registros de CPU y caché</w:t>
            </w:r>
          </w:p>
        </w:tc>
        <w:tc>
          <w:tcPr>
            <w:tcW w:w="3512" w:type="dxa"/>
          </w:tcPr>
          <w:p w14:paraId="069BDC8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No adquiribles en la práctica; se reflejan en el volcado de RAM</w:t>
            </w:r>
          </w:p>
        </w:tc>
        <w:tc>
          <w:tcPr>
            <w:tcW w:w="1701" w:type="dxa"/>
          </w:tcPr>
          <w:p w14:paraId="069BDC8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Nanosegundos</w:t>
            </w:r>
          </w:p>
        </w:tc>
      </w:tr>
      <w:tr w:rsidR="00E152ED" w:rsidRPr="00325F76" w14:paraId="069BDC8A" w14:textId="77777777">
        <w:tc>
          <w:tcPr>
            <w:tcW w:w="829" w:type="dxa"/>
          </w:tcPr>
          <w:p w14:paraId="069BDC8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2</w:t>
            </w:r>
          </w:p>
        </w:tc>
        <w:tc>
          <w:tcPr>
            <w:tcW w:w="3318" w:type="dxa"/>
          </w:tcPr>
          <w:p w14:paraId="069BDC8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Tabla de enrutamiento, caché ARP, tabla de procesos, estadísticas del kernel, memoria RAM</w:t>
            </w:r>
          </w:p>
        </w:tc>
        <w:tc>
          <w:tcPr>
            <w:tcW w:w="3512" w:type="dxa"/>
          </w:tcPr>
          <w:p w14:paraId="069BDC8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WinPmem / Magnet RAM Capture / AVML / LiME; netstat, arp, route desde binarios confiab</w:t>
            </w:r>
            <w:r w:rsidRPr="00325F76">
              <w:rPr>
                <w:lang w:val="es-CO"/>
              </w:rPr>
              <w:t>les</w:t>
            </w:r>
          </w:p>
        </w:tc>
        <w:tc>
          <w:tcPr>
            <w:tcW w:w="1701" w:type="dxa"/>
          </w:tcPr>
          <w:p w14:paraId="069BDC8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Segundos a minutos</w:t>
            </w:r>
          </w:p>
        </w:tc>
      </w:tr>
      <w:tr w:rsidR="00E152ED" w:rsidRPr="00325F76" w14:paraId="069BDC8F" w14:textId="77777777">
        <w:tc>
          <w:tcPr>
            <w:tcW w:w="829" w:type="dxa"/>
          </w:tcPr>
          <w:p w14:paraId="069BDC8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3</w:t>
            </w:r>
          </w:p>
        </w:tc>
        <w:tc>
          <w:tcPr>
            <w:tcW w:w="3318" w:type="dxa"/>
          </w:tcPr>
          <w:p w14:paraId="069BDC8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Sistemas de archivos temporales (/tmp, pagefile, swap)</w:t>
            </w:r>
          </w:p>
        </w:tc>
        <w:tc>
          <w:tcPr>
            <w:tcW w:w="3512" w:type="dxa"/>
          </w:tcPr>
          <w:p w14:paraId="069BDC8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Copia lógica o incluida en la imagen</w:t>
            </w:r>
          </w:p>
        </w:tc>
        <w:tc>
          <w:tcPr>
            <w:tcW w:w="1701" w:type="dxa"/>
          </w:tcPr>
          <w:p w14:paraId="069BDC8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Minutos a horas</w:t>
            </w:r>
          </w:p>
        </w:tc>
      </w:tr>
      <w:tr w:rsidR="00E152ED" w:rsidRPr="00325F76" w14:paraId="069BDC94" w14:textId="77777777">
        <w:tc>
          <w:tcPr>
            <w:tcW w:w="829" w:type="dxa"/>
          </w:tcPr>
          <w:p w14:paraId="069BDC9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4</w:t>
            </w:r>
          </w:p>
        </w:tc>
        <w:tc>
          <w:tcPr>
            <w:tcW w:w="3318" w:type="dxa"/>
          </w:tcPr>
          <w:p w14:paraId="069BDC9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Disco (almacenamiento persistente)</w:t>
            </w:r>
          </w:p>
        </w:tc>
        <w:tc>
          <w:tcPr>
            <w:tcW w:w="3512" w:type="dxa"/>
          </w:tcPr>
          <w:p w14:paraId="069BDC9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FTK Imager, Guymager, dc3dd + bloqueador</w:t>
            </w:r>
          </w:p>
        </w:tc>
        <w:tc>
          <w:tcPr>
            <w:tcW w:w="1701" w:type="dxa"/>
          </w:tcPr>
          <w:p w14:paraId="069BDC9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Días a años</w:t>
            </w:r>
          </w:p>
        </w:tc>
      </w:tr>
      <w:tr w:rsidR="00E152ED" w:rsidRPr="00325F76" w14:paraId="069BDC99" w14:textId="77777777">
        <w:tc>
          <w:tcPr>
            <w:tcW w:w="829" w:type="dxa"/>
          </w:tcPr>
          <w:p w14:paraId="069BDC9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5</w:t>
            </w:r>
          </w:p>
        </w:tc>
        <w:tc>
          <w:tcPr>
            <w:tcW w:w="3318" w:type="dxa"/>
          </w:tcPr>
          <w:p w14:paraId="069BDC9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Registro remoto y datos de monitoreo (SIEM, syslog, NetFlow)</w:t>
            </w:r>
          </w:p>
        </w:tc>
        <w:tc>
          <w:tcPr>
            <w:tcW w:w="3512" w:type="dxa"/>
          </w:tcPr>
          <w:p w14:paraId="069BDC9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Exportación firmada desde el colector</w:t>
            </w:r>
          </w:p>
        </w:tc>
        <w:tc>
          <w:tcPr>
            <w:tcW w:w="1701" w:type="dxa"/>
          </w:tcPr>
          <w:p w14:paraId="069BDC9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Según retención</w:t>
            </w:r>
          </w:p>
        </w:tc>
      </w:tr>
      <w:tr w:rsidR="00E152ED" w:rsidRPr="00325F76" w14:paraId="069BDC9E" w14:textId="77777777">
        <w:tc>
          <w:tcPr>
            <w:tcW w:w="829" w:type="dxa"/>
          </w:tcPr>
          <w:p w14:paraId="069BDC9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6</w:t>
            </w:r>
          </w:p>
        </w:tc>
        <w:tc>
          <w:tcPr>
            <w:tcW w:w="3318" w:type="dxa"/>
          </w:tcPr>
          <w:p w14:paraId="069BDC9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Configuración física y topología de red</w:t>
            </w:r>
          </w:p>
        </w:tc>
        <w:tc>
          <w:tcPr>
            <w:tcW w:w="3512" w:type="dxa"/>
          </w:tcPr>
          <w:p w14:paraId="069BDC9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Fotografía, diagramas, configuración de equipos</w:t>
            </w:r>
          </w:p>
        </w:tc>
        <w:tc>
          <w:tcPr>
            <w:tcW w:w="1701" w:type="dxa"/>
          </w:tcPr>
          <w:p w14:paraId="069BDC9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Meses</w:t>
            </w:r>
          </w:p>
        </w:tc>
      </w:tr>
      <w:tr w:rsidR="00E152ED" w:rsidRPr="00325F76" w14:paraId="069BDCA3" w14:textId="77777777">
        <w:tc>
          <w:tcPr>
            <w:tcW w:w="829" w:type="dxa"/>
          </w:tcPr>
          <w:p w14:paraId="069BDC9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7</w:t>
            </w:r>
          </w:p>
        </w:tc>
        <w:tc>
          <w:tcPr>
            <w:tcW w:w="3318" w:type="dxa"/>
          </w:tcPr>
          <w:p w14:paraId="069BDCA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 xml:space="preserve">Medios de archivo (backups, </w:t>
            </w:r>
            <w:r w:rsidRPr="00325F76">
              <w:rPr>
                <w:lang w:val="es-CO"/>
              </w:rPr>
              <w:lastRenderedPageBreak/>
              <w:t>cintas)</w:t>
            </w:r>
          </w:p>
        </w:tc>
        <w:tc>
          <w:tcPr>
            <w:tcW w:w="3512" w:type="dxa"/>
          </w:tcPr>
          <w:p w14:paraId="069BDCA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lastRenderedPageBreak/>
              <w:t>Imagen o custodia física</w:t>
            </w:r>
          </w:p>
        </w:tc>
        <w:tc>
          <w:tcPr>
            <w:tcW w:w="1701" w:type="dxa"/>
          </w:tcPr>
          <w:p w14:paraId="069BDCA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Años</w:t>
            </w:r>
          </w:p>
        </w:tc>
      </w:tr>
    </w:tbl>
    <w:p w14:paraId="069BDCA4" w14:textId="77777777" w:rsidR="00E152ED" w:rsidRPr="00325F76" w:rsidRDefault="00325F76">
      <w:pPr>
        <w:rPr>
          <w:lang w:val="es-CO"/>
        </w:rPr>
      </w:pPr>
      <w:r w:rsidRPr="00325F76">
        <w:rPr>
          <w:lang w:val="es-CO"/>
        </w:rPr>
        <w:t>Las duraciones son orientativas; el RFC fija el orden, no los tiempos.</w:t>
      </w:r>
    </w:p>
    <w:p w14:paraId="069BDCA5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5. Requisitos y herramientas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790"/>
        <w:gridCol w:w="3837"/>
        <w:gridCol w:w="2733"/>
      </w:tblGrid>
      <w:tr w:rsidR="00E152ED" w:rsidRPr="00325F76" w14:paraId="069BDCA9" w14:textId="77777777">
        <w:trPr>
          <w:tblHeader/>
        </w:trPr>
        <w:tc>
          <w:tcPr>
            <w:tcW w:w="2790" w:type="dxa"/>
            <w:shd w:val="clear" w:color="auto" w:fill="F2F2F2"/>
          </w:tcPr>
          <w:p w14:paraId="069BDCA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Categoría</w:t>
            </w:r>
          </w:p>
        </w:tc>
        <w:tc>
          <w:tcPr>
            <w:tcW w:w="3837" w:type="dxa"/>
            <w:shd w:val="clear" w:color="auto" w:fill="F2F2F2"/>
          </w:tcPr>
          <w:p w14:paraId="069BDCA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Requisito mínimo</w:t>
            </w:r>
          </w:p>
        </w:tc>
        <w:tc>
          <w:tcPr>
            <w:tcW w:w="2733" w:type="dxa"/>
            <w:shd w:val="clear" w:color="auto" w:fill="F2F2F2"/>
          </w:tcPr>
          <w:p w14:paraId="069BDCA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Ejemplos homologados / validados</w:t>
            </w:r>
          </w:p>
        </w:tc>
      </w:tr>
      <w:tr w:rsidR="00E152ED" w:rsidRPr="00325F76" w14:paraId="069BDCAD" w14:textId="77777777">
        <w:tc>
          <w:tcPr>
            <w:tcW w:w="2790" w:type="dxa"/>
          </w:tcPr>
          <w:p w14:paraId="069BDCA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Hardware</w:t>
            </w:r>
          </w:p>
        </w:tc>
        <w:tc>
          <w:tcPr>
            <w:tcW w:w="3837" w:type="dxa"/>
          </w:tcPr>
          <w:p w14:paraId="069BDCA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Bloqueador de escritura probado; estación forense dedicada; medios de destino nuevos o borrados de forma verificable; jaula o bolsa Faraday; cámara; kit de embalaje y sellos.</w:t>
            </w:r>
          </w:p>
        </w:tc>
        <w:tc>
          <w:tcPr>
            <w:tcW w:w="2733" w:type="dxa"/>
          </w:tcPr>
          <w:p w14:paraId="069BDCA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Tableau T35u/TX1, WiebeTech Forensic UltraDock; discos destino con certificado de</w:t>
            </w:r>
            <w:r w:rsidRPr="00325F76">
              <w:rPr>
                <w:lang w:val="es-CO"/>
              </w:rPr>
              <w:t xml:space="preserve"> borrado.</w:t>
            </w:r>
          </w:p>
        </w:tc>
      </w:tr>
      <w:tr w:rsidR="00E152ED" w:rsidRPr="00325F76" w14:paraId="069BDCB1" w14:textId="77777777">
        <w:tc>
          <w:tcPr>
            <w:tcW w:w="2790" w:type="dxa"/>
          </w:tcPr>
          <w:p w14:paraId="069BDCA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Software de adquisición</w:t>
            </w:r>
          </w:p>
        </w:tc>
        <w:tc>
          <w:tcPr>
            <w:tcW w:w="3837" w:type="dxa"/>
          </w:tcPr>
          <w:p w14:paraId="069BDCA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Herramientas validadas (con reporte de prueba propio o de NIST CFTT), versión registrada, hash del ejecutable.</w:t>
            </w:r>
          </w:p>
        </w:tc>
        <w:tc>
          <w:tcPr>
            <w:tcW w:w="2733" w:type="dxa"/>
          </w:tcPr>
          <w:p w14:paraId="069BDCB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FTK Imager, Guymager, dc3dd, ewfacquire; WinPmem, AVML, LiME; KAPE / Velociraptor para triage.</w:t>
            </w:r>
          </w:p>
        </w:tc>
      </w:tr>
      <w:tr w:rsidR="00E152ED" w:rsidRPr="00325F76" w14:paraId="069BDCB5" w14:textId="77777777">
        <w:tc>
          <w:tcPr>
            <w:tcW w:w="2790" w:type="dxa"/>
          </w:tcPr>
          <w:p w14:paraId="069BDCB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Software de análisis</w:t>
            </w:r>
          </w:p>
        </w:tc>
        <w:tc>
          <w:tcPr>
            <w:tcW w:w="3837" w:type="dxa"/>
          </w:tcPr>
          <w:p w14:paraId="069BDCB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Herramientas reconocidas y, cuando sea posible, verificación cruzada con una segunda herramienta.</w:t>
            </w:r>
          </w:p>
        </w:tc>
        <w:tc>
          <w:tcPr>
            <w:tcW w:w="2733" w:type="dxa"/>
          </w:tcPr>
          <w:p w14:paraId="069BDCB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Autopsy/The Sleuth Kit, Volatility 3, X-Ways, Magnet AXIOM, Plaso/log2timeline, Wireshark.</w:t>
            </w:r>
          </w:p>
        </w:tc>
      </w:tr>
      <w:tr w:rsidR="00E152ED" w:rsidRPr="00325F76" w14:paraId="069BDCB9" w14:textId="77777777">
        <w:tc>
          <w:tcPr>
            <w:tcW w:w="2790" w:type="dxa"/>
          </w:tcPr>
          <w:p w14:paraId="069BDCB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Ambiente estéril</w:t>
            </w:r>
          </w:p>
        </w:tc>
        <w:tc>
          <w:tcPr>
            <w:tcW w:w="3837" w:type="dxa"/>
          </w:tcPr>
          <w:p w14:paraId="069BDCB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Kit de respuesta en medio de</w:t>
            </w:r>
            <w:r w:rsidRPr="00325F76">
              <w:rPr>
                <w:lang w:val="es-CO"/>
              </w:rPr>
              <w:t xml:space="preserve"> solo lectura con binarios compilados estáticamente (RFC 3227 §5); medios de destino esterilizados y verificados; red de laboratorio aislada; reloj sincronizado por NTP.</w:t>
            </w:r>
          </w:p>
        </w:tc>
        <w:tc>
          <w:tcPr>
            <w:tcW w:w="2733" w:type="dxa"/>
          </w:tcPr>
          <w:p w14:paraId="069BDCB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USB con interruptor de escritura o DVD-R; registro del hash del kit antes de cada uso.</w:t>
            </w:r>
          </w:p>
        </w:tc>
      </w:tr>
      <w:tr w:rsidR="00E152ED" w:rsidRPr="00325F76" w14:paraId="069BDCBD" w14:textId="77777777">
        <w:tc>
          <w:tcPr>
            <w:tcW w:w="2790" w:type="dxa"/>
          </w:tcPr>
          <w:p w14:paraId="069BDCB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Personal</w:t>
            </w:r>
          </w:p>
        </w:tc>
        <w:tc>
          <w:tcPr>
            <w:tcW w:w="3837" w:type="dxa"/>
          </w:tcPr>
          <w:p w14:paraId="069BDCB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Perito con formación acreditable y capacidad de sustentar (ACPO P2); testigo de las actuaciones.</w:t>
            </w:r>
          </w:p>
        </w:tc>
        <w:tc>
          <w:tcPr>
            <w:tcW w:w="2733" w:type="dxa"/>
          </w:tcPr>
          <w:p w14:paraId="069BDCB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Certificaciones GCFA, EnCE, CHFI o equivalentes; hoja de vida pericial.</w:t>
            </w:r>
          </w:p>
        </w:tc>
      </w:tr>
    </w:tbl>
    <w:p w14:paraId="069BDCBE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6. Procedimiento secuencial</w:t>
      </w:r>
    </w:p>
    <w:p w14:paraId="069BDCBF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Planear</w:t>
      </w:r>
    </w:p>
    <w:p w14:paraId="069BDCC0" w14:textId="77777777" w:rsidR="00E152ED" w:rsidRPr="00325F76" w:rsidRDefault="00325F76">
      <w:pPr>
        <w:pStyle w:val="Prrafodelista"/>
        <w:numPr>
          <w:ilvl w:val="1"/>
          <w:numId w:val="3"/>
        </w:numPr>
        <w:rPr>
          <w:lang w:val="es-CO"/>
        </w:rPr>
      </w:pPr>
      <w:r w:rsidRPr="00325F76">
        <w:rPr>
          <w:lang w:val="es-CO"/>
        </w:rPr>
        <w:t xml:space="preserve">Obtener la autorización escrita (orden </w:t>
      </w:r>
      <w:r w:rsidRPr="00325F76">
        <w:rPr>
          <w:lang w:val="es-CO"/>
        </w:rPr>
        <w:t>judicial o mandato corporativo) y delimitar el alcance.</w:t>
      </w:r>
    </w:p>
    <w:p w14:paraId="069BDCC1" w14:textId="77777777" w:rsidR="00E152ED" w:rsidRPr="00325F76" w:rsidRDefault="00325F76">
      <w:pPr>
        <w:pStyle w:val="Prrafodelista"/>
        <w:numPr>
          <w:ilvl w:val="1"/>
          <w:numId w:val="3"/>
        </w:numPr>
        <w:rPr>
          <w:lang w:val="es-CO"/>
        </w:rPr>
      </w:pPr>
      <w:r w:rsidRPr="00325F76">
        <w:rPr>
          <w:lang w:val="es-CO"/>
        </w:rPr>
        <w:t>Designar al líder responsable (P4) y al equipo competente (P2); preparar y verificar el kit (hash del kit).</w:t>
      </w:r>
    </w:p>
    <w:p w14:paraId="069BDCC2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Asegurar</w:t>
      </w:r>
    </w:p>
    <w:p w14:paraId="069BDCC3" w14:textId="77777777" w:rsidR="00E152ED" w:rsidRPr="00325F76" w:rsidRDefault="00325F76">
      <w:pPr>
        <w:pStyle w:val="Prrafodelista"/>
        <w:numPr>
          <w:ilvl w:val="1"/>
          <w:numId w:val="4"/>
        </w:numPr>
        <w:rPr>
          <w:lang w:val="es-CO"/>
        </w:rPr>
      </w:pPr>
      <w:r w:rsidRPr="00325F76">
        <w:rPr>
          <w:lang w:val="es-CO"/>
        </w:rPr>
        <w:lastRenderedPageBreak/>
        <w:t>Aislar la escena y restringir el acceso; fotografiar pantallas, conexiones y etiquetas.</w:t>
      </w:r>
    </w:p>
    <w:p w14:paraId="069BDCC4" w14:textId="77777777" w:rsidR="00E152ED" w:rsidRPr="00325F76" w:rsidRDefault="00325F76">
      <w:pPr>
        <w:pStyle w:val="Prrafodelista"/>
        <w:numPr>
          <w:ilvl w:val="1"/>
          <w:numId w:val="4"/>
        </w:numPr>
        <w:rPr>
          <w:lang w:val="es-CO"/>
        </w:rPr>
      </w:pPr>
      <w:r w:rsidRPr="00325F76">
        <w:rPr>
          <w:lang w:val="es-CO"/>
        </w:rPr>
        <w:t>Registrar la hora del sistema frente a la hora oficial (desfase). No apagar ni encender equipos todavía.</w:t>
      </w:r>
    </w:p>
    <w:p w14:paraId="069BDCC5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Decidir</w:t>
      </w:r>
    </w:p>
    <w:p w14:paraId="069BDCC6" w14:textId="77777777" w:rsidR="00E152ED" w:rsidRPr="00325F76" w:rsidRDefault="00325F76">
      <w:pPr>
        <w:pStyle w:val="Prrafodelista"/>
        <w:numPr>
          <w:ilvl w:val="1"/>
          <w:numId w:val="5"/>
        </w:numPr>
        <w:rPr>
          <w:lang w:val="es-CO"/>
        </w:rPr>
      </w:pPr>
      <w:r w:rsidRPr="00325F76">
        <w:rPr>
          <w:lang w:val="es-CO"/>
        </w:rPr>
        <w:t xml:space="preserve">Si el equipo está apagado, </w:t>
      </w:r>
      <w:r w:rsidRPr="00325F76">
        <w:rPr>
          <w:b/>
          <w:lang w:val="es-CO"/>
        </w:rPr>
        <w:t>no encenderlo</w:t>
      </w:r>
      <w:r w:rsidRPr="00325F76">
        <w:rPr>
          <w:lang w:val="es-CO"/>
        </w:rPr>
        <w:t>: pasar a la ad</w:t>
      </w:r>
      <w:r w:rsidRPr="00325F76">
        <w:rPr>
          <w:lang w:val="es-CO"/>
        </w:rPr>
        <w:t>quisición del disco.</w:t>
      </w:r>
    </w:p>
    <w:p w14:paraId="069BDCC7" w14:textId="77777777" w:rsidR="00E152ED" w:rsidRPr="00325F76" w:rsidRDefault="00325F76">
      <w:pPr>
        <w:pStyle w:val="Prrafodelista"/>
        <w:numPr>
          <w:ilvl w:val="1"/>
          <w:numId w:val="5"/>
        </w:numPr>
        <w:rPr>
          <w:lang w:val="es-CO"/>
        </w:rPr>
      </w:pPr>
      <w:r w:rsidRPr="00325F76">
        <w:rPr>
          <w:lang w:val="es-CO"/>
        </w:rPr>
        <w:t>Si está encendido, valorar cifrado, procesos maliciosos activos y conexiones; documentar la justificación de la adquisición en vivo.</w:t>
      </w:r>
    </w:p>
    <w:p w14:paraId="069BDCC8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Capturar lo volátil</w:t>
      </w:r>
    </w:p>
    <w:p w14:paraId="069BDCC9" w14:textId="77777777" w:rsidR="00E152ED" w:rsidRPr="00325F76" w:rsidRDefault="00325F76">
      <w:pPr>
        <w:pStyle w:val="Prrafodelista"/>
        <w:numPr>
          <w:ilvl w:val="1"/>
          <w:numId w:val="6"/>
        </w:numPr>
        <w:rPr>
          <w:lang w:val="es-CO"/>
        </w:rPr>
      </w:pPr>
      <w:r w:rsidRPr="00325F76">
        <w:rPr>
          <w:lang w:val="es-CO"/>
        </w:rPr>
        <w:t>Ejecutar solo binarios del kit confiable, nunca los del sistema comprometido; escr</w:t>
      </w:r>
      <w:r w:rsidRPr="00325F76">
        <w:rPr>
          <w:lang w:val="es-CO"/>
        </w:rPr>
        <w:t>ibir la salida en un medio externo, no en el disco evidencia.</w:t>
      </w:r>
    </w:p>
    <w:p w14:paraId="069BDCCA" w14:textId="77777777" w:rsidR="00E152ED" w:rsidRPr="00325F76" w:rsidRDefault="00325F76">
      <w:pPr>
        <w:pStyle w:val="Prrafodelista"/>
        <w:numPr>
          <w:ilvl w:val="1"/>
          <w:numId w:val="6"/>
        </w:numPr>
        <w:rPr>
          <w:lang w:val="es-CO"/>
        </w:rPr>
      </w:pPr>
      <w:r w:rsidRPr="00325F76">
        <w:rPr>
          <w:lang w:val="es-CO"/>
        </w:rPr>
        <w:t>Seguir el orden de volatilidad (sección 4): RAM → estado de red y procesos → temporales.</w:t>
      </w:r>
    </w:p>
    <w:p w14:paraId="069BDCCB" w14:textId="77777777" w:rsidR="00E152ED" w:rsidRPr="00325F76" w:rsidRDefault="00325F76">
      <w:pPr>
        <w:pStyle w:val="Prrafodelista"/>
        <w:numPr>
          <w:ilvl w:val="1"/>
          <w:numId w:val="6"/>
        </w:numPr>
        <w:rPr>
          <w:lang w:val="es-CO"/>
        </w:rPr>
      </w:pPr>
      <w:r w:rsidRPr="00325F76">
        <w:rPr>
          <w:lang w:val="es-CO"/>
        </w:rPr>
        <w:t>Calcular el hash de cada archivo generado inmediatamente después de crearlo.</w:t>
      </w:r>
    </w:p>
    <w:p w14:paraId="069BDCCC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Contener</w:t>
      </w:r>
    </w:p>
    <w:p w14:paraId="069BDCCD" w14:textId="77777777" w:rsidR="00E152ED" w:rsidRPr="00325F76" w:rsidRDefault="00325F76">
      <w:pPr>
        <w:pStyle w:val="Prrafodelista"/>
        <w:numPr>
          <w:ilvl w:val="1"/>
          <w:numId w:val="7"/>
        </w:numPr>
        <w:rPr>
          <w:lang w:val="es-CO"/>
        </w:rPr>
      </w:pPr>
      <w:r w:rsidRPr="00325F76">
        <w:rPr>
          <w:lang w:val="es-CO"/>
        </w:rPr>
        <w:t>Desconectar de la r</w:t>
      </w:r>
      <w:r w:rsidRPr="00325F76">
        <w:rPr>
          <w:lang w:val="es-CO"/>
        </w:rPr>
        <w:t>ed solo después de capturar el estado de red, salvo riesgo activo que obligue a hacerlo antes (justificar).</w:t>
      </w:r>
    </w:p>
    <w:p w14:paraId="069BDCCE" w14:textId="77777777" w:rsidR="00E152ED" w:rsidRPr="00325F76" w:rsidRDefault="00325F76">
      <w:pPr>
        <w:pStyle w:val="Prrafodelista"/>
        <w:numPr>
          <w:ilvl w:val="1"/>
          <w:numId w:val="7"/>
        </w:numPr>
        <w:rPr>
          <w:lang w:val="es-CO"/>
        </w:rPr>
      </w:pPr>
      <w:r w:rsidRPr="00325F76">
        <w:rPr>
          <w:lang w:val="es-CO"/>
        </w:rPr>
        <w:t>Evitar acciones que alteren tiempos MAC (búsquedas, antivirus, apertura de archivos); si existen rutinas destructivas, preferir desconectar la energ</w:t>
      </w:r>
      <w:r w:rsidRPr="00325F76">
        <w:rPr>
          <w:lang w:val="es-CO"/>
        </w:rPr>
        <w:t>ía tras la captura volátil en lugar de un apagado ordenado.</w:t>
      </w:r>
    </w:p>
    <w:p w14:paraId="069BDCCF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Adquirir</w:t>
      </w:r>
    </w:p>
    <w:p w14:paraId="069BDCD0" w14:textId="77777777" w:rsidR="00E152ED" w:rsidRPr="00325F76" w:rsidRDefault="00325F76">
      <w:pPr>
        <w:pStyle w:val="Prrafodelista"/>
        <w:numPr>
          <w:ilvl w:val="1"/>
          <w:numId w:val="8"/>
        </w:numPr>
        <w:rPr>
          <w:lang w:val="es-CO"/>
        </w:rPr>
      </w:pPr>
      <w:r w:rsidRPr="00325F76">
        <w:rPr>
          <w:lang w:val="es-CO"/>
        </w:rPr>
        <w:t>Conectar el medio original a través del bloqueador de escritura.</w:t>
      </w:r>
    </w:p>
    <w:p w14:paraId="069BDCD1" w14:textId="77777777" w:rsidR="00E152ED" w:rsidRPr="00325F76" w:rsidRDefault="00325F76">
      <w:pPr>
        <w:pStyle w:val="Prrafodelista"/>
        <w:numPr>
          <w:ilvl w:val="1"/>
          <w:numId w:val="8"/>
        </w:numPr>
        <w:rPr>
          <w:lang w:val="es-CO"/>
        </w:rPr>
      </w:pPr>
      <w:r w:rsidRPr="00325F76">
        <w:rPr>
          <w:lang w:val="es-CO"/>
        </w:rPr>
        <w:t>Generar la imagen bit a bit (E01 o RAW) y calcular SHA-256 y SHA3-256 del origen y de la imagen; deben coincidir.</w:t>
      </w:r>
    </w:p>
    <w:p w14:paraId="069BDCD2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Preserva</w:t>
      </w:r>
      <w:r w:rsidRPr="00325F76">
        <w:rPr>
          <w:b/>
          <w:lang w:val="es-CO"/>
        </w:rPr>
        <w:t>r y archivar</w:t>
      </w:r>
    </w:p>
    <w:p w14:paraId="069BDCD3" w14:textId="77777777" w:rsidR="00E152ED" w:rsidRPr="00325F76" w:rsidRDefault="00325F76">
      <w:pPr>
        <w:pStyle w:val="Prrafodelista"/>
        <w:numPr>
          <w:ilvl w:val="1"/>
          <w:numId w:val="9"/>
        </w:numPr>
        <w:rPr>
          <w:lang w:val="es-CO"/>
        </w:rPr>
      </w:pPr>
      <w:r w:rsidRPr="00325F76">
        <w:rPr>
          <w:lang w:val="es-CO"/>
        </w:rPr>
        <w:t>Rotular, sellar y embalar el original (antiestático); diligenciar el registro de cadena de custodia.</w:t>
      </w:r>
    </w:p>
    <w:p w14:paraId="069BDCD4" w14:textId="77777777" w:rsidR="00E152ED" w:rsidRPr="00325F76" w:rsidRDefault="00325F76">
      <w:pPr>
        <w:pStyle w:val="Prrafodelista"/>
        <w:numPr>
          <w:ilvl w:val="1"/>
          <w:numId w:val="9"/>
        </w:numPr>
        <w:rPr>
          <w:lang w:val="es-CO"/>
        </w:rPr>
      </w:pPr>
      <w:r w:rsidRPr="00325F76">
        <w:rPr>
          <w:lang w:val="es-CO"/>
        </w:rPr>
        <w:t>Crear al menos dos copias de trabajo verificadas por hash; almacenar el original en bodega con acceso controlado.</w:t>
      </w:r>
    </w:p>
    <w:p w14:paraId="069BDCD5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Analizar</w:t>
      </w:r>
    </w:p>
    <w:p w14:paraId="069BDCD6" w14:textId="77777777" w:rsidR="00E152ED" w:rsidRPr="00325F76" w:rsidRDefault="00325F76">
      <w:pPr>
        <w:pStyle w:val="Prrafodelista"/>
        <w:numPr>
          <w:ilvl w:val="1"/>
          <w:numId w:val="10"/>
        </w:numPr>
        <w:rPr>
          <w:lang w:val="es-CO"/>
        </w:rPr>
      </w:pPr>
      <w:r w:rsidRPr="00325F76">
        <w:rPr>
          <w:lang w:val="es-CO"/>
        </w:rPr>
        <w:t>Trabajar exclusivamente sobre copias; verificar el hash antes y después de cada sesión.</w:t>
      </w:r>
    </w:p>
    <w:p w14:paraId="069BDCD7" w14:textId="77777777" w:rsidR="00E152ED" w:rsidRPr="00325F76" w:rsidRDefault="00325F76">
      <w:pPr>
        <w:pStyle w:val="Prrafodelista"/>
        <w:numPr>
          <w:ilvl w:val="1"/>
          <w:numId w:val="10"/>
        </w:numPr>
        <w:rPr>
          <w:lang w:val="es-CO"/>
        </w:rPr>
      </w:pPr>
      <w:r w:rsidRPr="00325F76">
        <w:rPr>
          <w:lang w:val="es-CO"/>
        </w:rPr>
        <w:t>Registrar herramienta, versión, parámetros, hora y resultado de cada paso para garantizar repetibilidad (P3).</w:t>
      </w:r>
    </w:p>
    <w:p w14:paraId="069BDCD8" w14:textId="77777777" w:rsidR="00E152ED" w:rsidRPr="00325F76" w:rsidRDefault="00325F76">
      <w:pPr>
        <w:pStyle w:val="Prrafodelista"/>
        <w:numPr>
          <w:ilvl w:val="0"/>
          <w:numId w:val="2"/>
        </w:numPr>
        <w:rPr>
          <w:lang w:val="es-CO"/>
        </w:rPr>
      </w:pPr>
      <w:r w:rsidRPr="00325F76">
        <w:rPr>
          <w:b/>
          <w:lang w:val="es-CO"/>
        </w:rPr>
        <w:t>Presentar</w:t>
      </w:r>
    </w:p>
    <w:p w14:paraId="069BDCD9" w14:textId="77777777" w:rsidR="00E152ED" w:rsidRPr="00325F76" w:rsidRDefault="00325F76">
      <w:pPr>
        <w:pStyle w:val="Prrafodelista"/>
        <w:numPr>
          <w:ilvl w:val="1"/>
          <w:numId w:val="11"/>
        </w:numPr>
        <w:rPr>
          <w:lang w:val="es-CO"/>
        </w:rPr>
      </w:pPr>
      <w:r w:rsidRPr="00325F76">
        <w:rPr>
          <w:lang w:val="es-CO"/>
        </w:rPr>
        <w:t>Redactar el dictamen con hechos, método, hallazg</w:t>
      </w:r>
      <w:r w:rsidRPr="00325F76">
        <w:rPr>
          <w:lang w:val="es-CO"/>
        </w:rPr>
        <w:t>os, limitaciones y conclusiones separadas de opiniones.</w:t>
      </w:r>
    </w:p>
    <w:p w14:paraId="069BDCDA" w14:textId="77777777" w:rsidR="00E152ED" w:rsidRPr="00325F76" w:rsidRDefault="00325F76">
      <w:pPr>
        <w:pStyle w:val="Prrafodelista"/>
        <w:numPr>
          <w:ilvl w:val="1"/>
          <w:numId w:val="11"/>
        </w:numPr>
        <w:rPr>
          <w:lang w:val="es-CO"/>
        </w:rPr>
      </w:pPr>
      <w:r w:rsidRPr="00325F76">
        <w:rPr>
          <w:lang w:val="es-CO"/>
        </w:rPr>
        <w:t>Sustentar ante la autoridad; anexar bitácora, hashes y registros de custodia.</w:t>
      </w:r>
    </w:p>
    <w:p w14:paraId="069BDCDB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7. Aseguramiento de la prueba</w:t>
      </w:r>
    </w:p>
    <w:p w14:paraId="069BDCDC" w14:textId="77777777" w:rsidR="00E152ED" w:rsidRPr="00325F76" w:rsidRDefault="00325F76">
      <w:pPr>
        <w:rPr>
          <w:lang w:val="es-CO"/>
        </w:rPr>
      </w:pPr>
      <w:r w:rsidRPr="00325F76">
        <w:rPr>
          <w:b/>
          <w:lang w:val="es-CO"/>
        </w:rPr>
        <w:t>Autenticación criptográfica.</w:t>
      </w:r>
      <w:r w:rsidRPr="00325F76">
        <w:rPr>
          <w:lang w:val="es-CO"/>
        </w:rPr>
        <w:t xml:space="preserve"> Calcular </w:t>
      </w:r>
      <w:r w:rsidRPr="00325F76">
        <w:rPr>
          <w:b/>
          <w:lang w:val="es-CO"/>
        </w:rPr>
        <w:t>dos funciones hash independientes</w:t>
      </w:r>
      <w:r w:rsidRPr="00325F76">
        <w:rPr>
          <w:lang w:val="es-CO"/>
        </w:rPr>
        <w:t xml:space="preserve">, SHA-256 (familia SHA-2) y SHA3-256 (familia Keccak), sobre el medio original, la imagen y cada artefacto volátil. El uso dual hace inviable en la práctica una colisión simultánea y reemplaza el uso histórico de MD5/SHA-1, hoy desaconsejado. Registrar el </w:t>
      </w:r>
      <w:r w:rsidRPr="00325F76">
        <w:rPr>
          <w:lang w:val="es-CO"/>
        </w:rPr>
        <w:t>valor completo en la bitácora y en el rótulo.</w:t>
      </w:r>
    </w:p>
    <w:p w14:paraId="069BDCDD" w14:textId="77777777" w:rsidR="00E152ED" w:rsidRPr="00325F76" w:rsidRDefault="00325F76">
      <w:pPr>
        <w:pStyle w:val="Code"/>
        <w:rPr>
          <w:lang w:val="es-CO"/>
        </w:rPr>
      </w:pPr>
      <w:bookmarkStart w:id="1" w:name="bongo_lang_bash_1"/>
      <w:bookmarkEnd w:id="1"/>
      <w:r w:rsidRPr="00325F76">
        <w:rPr>
          <w:lang w:val="es-CO"/>
        </w:rPr>
        <w:t>sha256sum /dev/sdb &gt; origen.sha256</w:t>
      </w:r>
      <w:r w:rsidRPr="00325F76">
        <w:rPr>
          <w:lang w:val="es-CO"/>
        </w:rPr>
        <w:br/>
        <w:t>openssl dgst -sha3-256 /dev/sdb &gt; origen.sha3</w:t>
      </w:r>
      <w:r w:rsidRPr="00325F76">
        <w:rPr>
          <w:lang w:val="es-CO"/>
        </w:rPr>
        <w:br/>
      </w:r>
      <w:r w:rsidRPr="00325F76">
        <w:rPr>
          <w:lang w:val="es-CO"/>
        </w:rPr>
        <w:lastRenderedPageBreak/>
        <w:t>dc3dd if=/dev/sdb of=evid01.dd hash=sha256 log=evid01.log</w:t>
      </w:r>
      <w:r w:rsidRPr="00325F76">
        <w:rPr>
          <w:lang w:val="es-CO"/>
        </w:rPr>
        <w:br/>
        <w:t>sha256sum evid01.dd   # debe coincidir con origen.sha256</w:t>
      </w:r>
      <w:r w:rsidRPr="00325F76">
        <w:rPr>
          <w:lang w:val="es-CO"/>
        </w:rPr>
        <w:br/>
        <w:t># Windows (Pow</w:t>
      </w:r>
      <w:r w:rsidRPr="00325F76">
        <w:rPr>
          <w:lang w:val="es-CO"/>
        </w:rPr>
        <w:t>erShell): Get-FileHash .\mem.raw -Algorithm SHA256</w:t>
      </w:r>
      <w:r w:rsidRPr="00325F76">
        <w:rPr>
          <w:lang w:val="es-CO"/>
        </w:rPr>
        <w:br/>
        <w:t># SHA3-256: openssl dgst -sha3-256 mem.raw</w:t>
      </w:r>
    </w:p>
    <w:p w14:paraId="069BDCDE" w14:textId="77777777" w:rsidR="00E152ED" w:rsidRPr="00325F76" w:rsidRDefault="00325F76">
      <w:pPr>
        <w:rPr>
          <w:lang w:val="es-CO"/>
        </w:rPr>
      </w:pPr>
      <w:r w:rsidRPr="00325F76">
        <w:rPr>
          <w:b/>
          <w:lang w:val="es-CO"/>
        </w:rPr>
        <w:t>Formato mínimo de registro de cadena de custodia</w:t>
      </w:r>
      <w:r w:rsidRPr="00325F76">
        <w:rPr>
          <w:lang w:val="es-CO"/>
        </w:rPr>
        <w:t xml:space="preserve"> (compatible con los formatos de rotulado y continuidad de la FGN):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77"/>
        <w:gridCol w:w="6982"/>
      </w:tblGrid>
      <w:tr w:rsidR="00E152ED" w:rsidRPr="00325F76" w14:paraId="069BDCE1" w14:textId="77777777">
        <w:trPr>
          <w:tblHeader/>
        </w:trPr>
        <w:tc>
          <w:tcPr>
            <w:tcW w:w="2377" w:type="dxa"/>
            <w:shd w:val="clear" w:color="auto" w:fill="F2F2F2"/>
          </w:tcPr>
          <w:p w14:paraId="069BDCD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Campo</w:t>
            </w:r>
          </w:p>
        </w:tc>
        <w:tc>
          <w:tcPr>
            <w:tcW w:w="6982" w:type="dxa"/>
            <w:shd w:val="clear" w:color="auto" w:fill="F2F2F2"/>
          </w:tcPr>
          <w:p w14:paraId="069BDCE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Contenido</w:t>
            </w:r>
          </w:p>
        </w:tc>
      </w:tr>
      <w:tr w:rsidR="00E152ED" w:rsidRPr="00325F76" w14:paraId="069BDCE4" w14:textId="77777777">
        <w:tc>
          <w:tcPr>
            <w:tcW w:w="2377" w:type="dxa"/>
          </w:tcPr>
          <w:p w14:paraId="069BDCE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Identificación</w:t>
            </w:r>
          </w:p>
        </w:tc>
        <w:tc>
          <w:tcPr>
            <w:tcW w:w="6982" w:type="dxa"/>
          </w:tcPr>
          <w:p w14:paraId="069BDCE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Nº de caso, Nº</w:t>
            </w:r>
            <w:r w:rsidRPr="00325F76">
              <w:rPr>
                <w:lang w:val="es-CO"/>
              </w:rPr>
              <w:t xml:space="preserve"> de EMP/EF, descripción (marca, modelo, serial, capacidad), ubicación exacta del hallazgo.</w:t>
            </w:r>
          </w:p>
        </w:tc>
      </w:tr>
      <w:tr w:rsidR="00E152ED" w:rsidRPr="00325F76" w14:paraId="069BDCE7" w14:textId="77777777">
        <w:tc>
          <w:tcPr>
            <w:tcW w:w="2377" w:type="dxa"/>
          </w:tcPr>
          <w:p w14:paraId="069BDCE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Integridad</w:t>
            </w:r>
          </w:p>
        </w:tc>
        <w:tc>
          <w:tcPr>
            <w:tcW w:w="6982" w:type="dxa"/>
          </w:tcPr>
          <w:p w14:paraId="069BDCE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SHA-256 y SHA3-256 completos, herramienta y versión, estado del sello (número de sello).</w:t>
            </w:r>
          </w:p>
        </w:tc>
      </w:tr>
      <w:tr w:rsidR="00E152ED" w:rsidRPr="00325F76" w14:paraId="069BDCEA" w14:textId="77777777">
        <w:tc>
          <w:tcPr>
            <w:tcW w:w="2377" w:type="dxa"/>
          </w:tcPr>
          <w:p w14:paraId="069BDCE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Continuidad</w:t>
            </w:r>
          </w:p>
        </w:tc>
        <w:tc>
          <w:tcPr>
            <w:tcW w:w="6982" w:type="dxa"/>
          </w:tcPr>
          <w:p w14:paraId="069BDCE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Fecha y hora (UTC-5) de cada entrega; nombre, cargo</w:t>
            </w:r>
            <w:r w:rsidRPr="00325F76">
              <w:rPr>
                <w:lang w:val="es-CO"/>
              </w:rPr>
              <w:t>, documento y firma de quien entrega y de quien recibe; motivo del traslado.</w:t>
            </w:r>
          </w:p>
        </w:tc>
      </w:tr>
      <w:tr w:rsidR="00E152ED" w:rsidRPr="00325F76" w14:paraId="069BDCED" w14:textId="77777777">
        <w:tc>
          <w:tcPr>
            <w:tcW w:w="2377" w:type="dxa"/>
          </w:tcPr>
          <w:p w14:paraId="069BDCE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Condiciones</w:t>
            </w:r>
          </w:p>
        </w:tc>
        <w:tc>
          <w:tcPr>
            <w:tcW w:w="6982" w:type="dxa"/>
          </w:tcPr>
          <w:p w14:paraId="069BDCE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Embalaje, almacenamiento (temperatura, antiestático), observaciones de alteración o daño.</w:t>
            </w:r>
          </w:p>
        </w:tc>
      </w:tr>
    </w:tbl>
    <w:p w14:paraId="069BDCEE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8. Checklist de cumplimiento</w:t>
      </w:r>
    </w:p>
    <w:p w14:paraId="069BDCEF" w14:textId="77777777" w:rsidR="00E152ED" w:rsidRPr="00325F76" w:rsidRDefault="00325F76">
      <w:pPr>
        <w:rPr>
          <w:lang w:val="es-CO"/>
        </w:rPr>
      </w:pPr>
      <w:r w:rsidRPr="00325F76">
        <w:rPr>
          <w:lang w:val="es-CO"/>
        </w:rPr>
        <w:t>Requisitos obligatorios para dotar de validez una pericia bajo este marco; la fuente va entre paréntesis.</w:t>
      </w:r>
    </w:p>
    <w:p w14:paraId="069BDCF0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Existe autorización escrita y alcance definido antes de intervenir (ACPO Planear · RFC 3227 §2).</w:t>
      </w:r>
    </w:p>
    <w:p w14:paraId="069BDCF1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Hay un líder designado responsable del cumplimien</w:t>
      </w:r>
      <w:r w:rsidRPr="00325F76">
        <w:rPr>
          <w:lang w:val="es-CO"/>
        </w:rPr>
        <w:t>to legal y de los principios (ACPO P4).</w:t>
      </w:r>
    </w:p>
    <w:p w14:paraId="069BDCF2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El personal que accedió al original es competente y puede sustentar sus actos (ACPO P2).</w:t>
      </w:r>
    </w:p>
    <w:p w14:paraId="069BDCF3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La escena fue fotografiada y se registró el desfase del reloj del sistema (RFC 3227 §2).</w:t>
      </w:r>
    </w:p>
    <w:p w14:paraId="069BDCF4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La captura volátil siguió el ord</w:t>
      </w:r>
      <w:r w:rsidRPr="00325F76">
        <w:rPr>
          <w:lang w:val="es-CO"/>
        </w:rPr>
        <w:t>en de volatilidad y está justificada (RFC 3227 §2.1).</w:t>
      </w:r>
    </w:p>
    <w:p w14:paraId="069BDCF5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Solo se usaron binarios confiables y la salida se escribió en medio externo (RFC 3227 §2.2, §5).</w:t>
      </w:r>
    </w:p>
    <w:p w14:paraId="069BDCF6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No se apagó, reinició ni encendió el equipo sin justificación documentada (RFC 3227 §2.2 · ACPO P1).</w:t>
      </w:r>
    </w:p>
    <w:p w14:paraId="069BDCF7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La adquisición del disco se hizo con bloqueador de escritura (ACPO P1).</w:t>
      </w:r>
    </w:p>
    <w:p w14:paraId="069BDCF8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Se calcularon y verificaron hashes SHA-256 y SHA3-256 en origen y copia (RFC 3227 §3.2 · ACPO P3).</w:t>
      </w:r>
    </w:p>
    <w:p w14:paraId="069BDCF9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El registro de cadena de custodia es continuo, sin vacíos de tiempo ni de respo</w:t>
      </w:r>
      <w:r w:rsidRPr="00325F76">
        <w:rPr>
          <w:lang w:val="es-CO"/>
        </w:rPr>
        <w:t>nsable (RFC 3227 §4.1 · CPP arts. 254-266).</w:t>
      </w:r>
    </w:p>
    <w:p w14:paraId="069BDCFA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El análisis se hizo sobre copias y cada paso es reproducible por un tercero (ACPO P3).</w:t>
      </w:r>
    </w:p>
    <w:p w14:paraId="069BDCFB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Se respetó la privacidad y se minimizó la recolección de datos ajenos al caso (RFC 3227 §2.3 · Ley 1581).</w:t>
      </w:r>
    </w:p>
    <w:p w14:paraId="069BDCFC" w14:textId="77777777" w:rsidR="00E152ED" w:rsidRPr="00325F76" w:rsidRDefault="00325F76">
      <w:pPr>
        <w:pStyle w:val="Prrafodelista"/>
        <w:numPr>
          <w:ilvl w:val="0"/>
          <w:numId w:val="12"/>
        </w:numPr>
        <w:rPr>
          <w:lang w:val="es-CO"/>
        </w:rPr>
      </w:pPr>
      <w:r w:rsidRPr="00325F76">
        <w:rPr>
          <w:lang w:val="es-CO"/>
        </w:rPr>
        <w:t>☐</w:t>
      </w:r>
      <w:r w:rsidRPr="00325F76">
        <w:rPr>
          <w:lang w:val="es-CO"/>
        </w:rPr>
        <w:t xml:space="preserve"> El dictamen s</w:t>
      </w:r>
      <w:r w:rsidRPr="00325F76">
        <w:rPr>
          <w:lang w:val="es-CO"/>
        </w:rPr>
        <w:t>epara hechos de opiniones y declara limitaciones (ACPO Presentar).</w:t>
      </w:r>
    </w:p>
    <w:p w14:paraId="069BDCFD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9. Glosario técnico-jurídico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930"/>
        <w:gridCol w:w="5429"/>
      </w:tblGrid>
      <w:tr w:rsidR="00E152ED" w:rsidRPr="00325F76" w14:paraId="069BDD00" w14:textId="77777777">
        <w:trPr>
          <w:tblHeader/>
        </w:trPr>
        <w:tc>
          <w:tcPr>
            <w:tcW w:w="3930" w:type="dxa"/>
            <w:shd w:val="clear" w:color="auto" w:fill="F2F2F2"/>
          </w:tcPr>
          <w:p w14:paraId="069BDCF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Término</w:t>
            </w:r>
          </w:p>
        </w:tc>
        <w:tc>
          <w:tcPr>
            <w:tcW w:w="5429" w:type="dxa"/>
            <w:shd w:val="clear" w:color="auto" w:fill="F2F2F2"/>
          </w:tcPr>
          <w:p w14:paraId="069BDCF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Definición</w:t>
            </w:r>
          </w:p>
        </w:tc>
      </w:tr>
      <w:tr w:rsidR="00E152ED" w:rsidRPr="00325F76" w14:paraId="069BDD03" w14:textId="77777777">
        <w:tc>
          <w:tcPr>
            <w:tcW w:w="3930" w:type="dxa"/>
          </w:tcPr>
          <w:p w14:paraId="069BDD0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Admisibilidad</w:t>
            </w:r>
          </w:p>
        </w:tc>
        <w:tc>
          <w:tcPr>
            <w:tcW w:w="5429" w:type="dxa"/>
          </w:tcPr>
          <w:p w14:paraId="069BDD0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 xml:space="preserve">Aptitud de la prueba para ser aceptada por el juez: legal, </w:t>
            </w:r>
            <w:r w:rsidRPr="00325F76">
              <w:rPr>
                <w:lang w:val="es-CO"/>
              </w:rPr>
              <w:lastRenderedPageBreak/>
              <w:t>pertinente, auténtica, íntegra y confiable.</w:t>
            </w:r>
          </w:p>
        </w:tc>
      </w:tr>
      <w:tr w:rsidR="00E152ED" w:rsidRPr="00325F76" w14:paraId="069BDD06" w14:textId="77777777">
        <w:tc>
          <w:tcPr>
            <w:tcW w:w="3930" w:type="dxa"/>
          </w:tcPr>
          <w:p w14:paraId="069BDD0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lastRenderedPageBreak/>
              <w:t>Adquisición en vivo</w:t>
            </w:r>
          </w:p>
        </w:tc>
        <w:tc>
          <w:tcPr>
            <w:tcW w:w="5429" w:type="dxa"/>
          </w:tcPr>
          <w:p w14:paraId="069BDD0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Captura sobre un sistema encendido; altera mínimamente el estado y exige justificación (ACPO P2).</w:t>
            </w:r>
          </w:p>
        </w:tc>
      </w:tr>
      <w:tr w:rsidR="00E152ED" w:rsidRPr="00325F76" w14:paraId="069BDD09" w14:textId="77777777">
        <w:tc>
          <w:tcPr>
            <w:tcW w:w="3930" w:type="dxa"/>
          </w:tcPr>
          <w:p w14:paraId="069BDD0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Autenticidad</w:t>
            </w:r>
          </w:p>
        </w:tc>
        <w:tc>
          <w:tcPr>
            <w:tcW w:w="5429" w:type="dxa"/>
          </w:tcPr>
          <w:p w14:paraId="069BDD0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Certeza de que la evidencia es lo que se afirma que es y proviene de quien se dice.</w:t>
            </w:r>
          </w:p>
        </w:tc>
      </w:tr>
      <w:tr w:rsidR="00E152ED" w:rsidRPr="00325F76" w14:paraId="069BDD0C" w14:textId="77777777">
        <w:tc>
          <w:tcPr>
            <w:tcW w:w="3930" w:type="dxa"/>
          </w:tcPr>
          <w:p w14:paraId="069BDD0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Bloqueador de escritura</w:t>
            </w:r>
          </w:p>
        </w:tc>
        <w:tc>
          <w:tcPr>
            <w:tcW w:w="5429" w:type="dxa"/>
          </w:tcPr>
          <w:p w14:paraId="069BDD0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 xml:space="preserve">Dispositivo o software que permite </w:t>
            </w:r>
            <w:r w:rsidRPr="00325F76">
              <w:rPr>
                <w:lang w:val="es-CO"/>
              </w:rPr>
              <w:t>leer el medio impidiendo cualquier escritura.</w:t>
            </w:r>
          </w:p>
        </w:tc>
      </w:tr>
      <w:tr w:rsidR="00E152ED" w:rsidRPr="00325F76" w14:paraId="069BDD0F" w14:textId="77777777">
        <w:tc>
          <w:tcPr>
            <w:tcW w:w="3930" w:type="dxa"/>
          </w:tcPr>
          <w:p w14:paraId="069BDD0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Cadena de custodia</w:t>
            </w:r>
          </w:p>
        </w:tc>
        <w:tc>
          <w:tcPr>
            <w:tcW w:w="5429" w:type="dxa"/>
          </w:tcPr>
          <w:p w14:paraId="069BDD0E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Registro documentado y continuo de quién, cuándo, dónde y para qué manipuló la evidencia.</w:t>
            </w:r>
          </w:p>
        </w:tc>
      </w:tr>
      <w:tr w:rsidR="00E152ED" w:rsidRPr="00325F76" w14:paraId="069BDD12" w14:textId="77777777">
        <w:tc>
          <w:tcPr>
            <w:tcW w:w="3930" w:type="dxa"/>
          </w:tcPr>
          <w:p w14:paraId="069BDD1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EMP / EF</w:t>
            </w:r>
          </w:p>
        </w:tc>
        <w:tc>
          <w:tcPr>
            <w:tcW w:w="5429" w:type="dxa"/>
          </w:tcPr>
          <w:p w14:paraId="069BDD11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Elemento material probatorio / evidencia física (Ley 906 de 2004); el mensaje de datos es EMP.</w:t>
            </w:r>
          </w:p>
        </w:tc>
      </w:tr>
      <w:tr w:rsidR="00E152ED" w:rsidRPr="00325F76" w14:paraId="069BDD15" w14:textId="77777777">
        <w:tc>
          <w:tcPr>
            <w:tcW w:w="3930" w:type="dxa"/>
          </w:tcPr>
          <w:p w14:paraId="069BDD1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Evidencia digital</w:t>
            </w:r>
          </w:p>
        </w:tc>
        <w:tc>
          <w:tcPr>
            <w:tcW w:w="5429" w:type="dxa"/>
          </w:tcPr>
          <w:p w14:paraId="069BDD14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Información con valor probatorio almacenada o transmitida en forma digital.</w:t>
            </w:r>
          </w:p>
        </w:tc>
      </w:tr>
      <w:tr w:rsidR="00E152ED" w:rsidRPr="00325F76" w14:paraId="069BDD18" w14:textId="77777777">
        <w:tc>
          <w:tcPr>
            <w:tcW w:w="3930" w:type="dxa"/>
          </w:tcPr>
          <w:p w14:paraId="069BDD1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Función hash</w:t>
            </w:r>
          </w:p>
        </w:tc>
        <w:tc>
          <w:tcPr>
            <w:tcW w:w="5429" w:type="dxa"/>
          </w:tcPr>
          <w:p w14:paraId="069BDD17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Algoritmo que produce un resumen de longitud fija; un cambio mínimo genera un valor distinto.</w:t>
            </w:r>
          </w:p>
        </w:tc>
      </w:tr>
      <w:tr w:rsidR="00E152ED" w:rsidRPr="00325F76" w14:paraId="069BDD1B" w14:textId="77777777">
        <w:tc>
          <w:tcPr>
            <w:tcW w:w="3930" w:type="dxa"/>
          </w:tcPr>
          <w:p w14:paraId="069BDD1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Imagen forense</w:t>
            </w:r>
          </w:p>
        </w:tc>
        <w:tc>
          <w:tcPr>
            <w:tcW w:w="5429" w:type="dxa"/>
          </w:tcPr>
          <w:p w14:paraId="069BDD1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Copia bit a bit de un medio, incluido el espacio no asignado (formatos RAW/dd, E01).</w:t>
            </w:r>
          </w:p>
        </w:tc>
      </w:tr>
      <w:tr w:rsidR="00E152ED" w:rsidRPr="00325F76" w14:paraId="069BDD1E" w14:textId="77777777">
        <w:tc>
          <w:tcPr>
            <w:tcW w:w="3930" w:type="dxa"/>
          </w:tcPr>
          <w:p w14:paraId="069BDD1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Orden de volatilidad</w:t>
            </w:r>
          </w:p>
        </w:tc>
        <w:tc>
          <w:tcPr>
            <w:tcW w:w="5429" w:type="dxa"/>
          </w:tcPr>
          <w:p w14:paraId="069BDD1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Prioridad de recolección según cuán ráp</w:t>
            </w:r>
            <w:r w:rsidRPr="00325F76">
              <w:rPr>
                <w:lang w:val="es-CO"/>
              </w:rPr>
              <w:t>ido se pierde el dato (RFC 3227 §2.1).</w:t>
            </w:r>
          </w:p>
        </w:tc>
      </w:tr>
      <w:tr w:rsidR="00E152ED" w:rsidRPr="00325F76" w14:paraId="069BDD21" w14:textId="77777777">
        <w:tc>
          <w:tcPr>
            <w:tcW w:w="3930" w:type="dxa"/>
          </w:tcPr>
          <w:p w14:paraId="069BDD1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Perito</w:t>
            </w:r>
          </w:p>
        </w:tc>
        <w:tc>
          <w:tcPr>
            <w:tcW w:w="5429" w:type="dxa"/>
          </w:tcPr>
          <w:p w14:paraId="069BDD2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Experto que aplica conocimiento especializado y rinde dictamen ante la autoridad.</w:t>
            </w:r>
          </w:p>
        </w:tc>
      </w:tr>
      <w:tr w:rsidR="00E152ED" w:rsidRPr="00325F76" w14:paraId="069BDD24" w14:textId="77777777">
        <w:tc>
          <w:tcPr>
            <w:tcW w:w="3930" w:type="dxa"/>
          </w:tcPr>
          <w:p w14:paraId="069BDD2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Repetibilidad / reproducibilidad</w:t>
            </w:r>
          </w:p>
        </w:tc>
        <w:tc>
          <w:tcPr>
            <w:tcW w:w="5429" w:type="dxa"/>
          </w:tcPr>
          <w:p w14:paraId="069BDD2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Obtener el mismo resultado con el mismo método, por el mismo perito o por un tercero (ACPO P3</w:t>
            </w:r>
            <w:r w:rsidRPr="00325F76">
              <w:rPr>
                <w:lang w:val="es-CO"/>
              </w:rPr>
              <w:t>).</w:t>
            </w:r>
          </w:p>
        </w:tc>
      </w:tr>
      <w:tr w:rsidR="00E152ED" w:rsidRPr="00325F76" w14:paraId="069BDD27" w14:textId="77777777">
        <w:tc>
          <w:tcPr>
            <w:tcW w:w="3930" w:type="dxa"/>
          </w:tcPr>
          <w:p w14:paraId="069BDD2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Técnica antiforense</w:t>
            </w:r>
          </w:p>
        </w:tc>
        <w:tc>
          <w:tcPr>
            <w:tcW w:w="5429" w:type="dxa"/>
          </w:tcPr>
          <w:p w14:paraId="069BDD2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Acción que busca destruir, ocultar o falsear evidencia (borrado de logs, timestomping, cifrado).</w:t>
            </w:r>
          </w:p>
        </w:tc>
      </w:tr>
    </w:tbl>
    <w:p w14:paraId="069BDD28" w14:textId="77777777" w:rsidR="00E152ED" w:rsidRPr="00325F76" w:rsidRDefault="00325F76">
      <w:pPr>
        <w:pStyle w:val="Ttulo2"/>
        <w:rPr>
          <w:lang w:val="es-CO"/>
        </w:rPr>
      </w:pPr>
      <w:r w:rsidRPr="00325F76">
        <w:rPr>
          <w:lang w:val="es-CO"/>
        </w:rPr>
        <w:t>10. Alcance y limitaciones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E152ED" w:rsidRPr="00325F76" w14:paraId="069BDD2B" w14:textId="77777777">
        <w:trPr>
          <w:tblHeader/>
        </w:trPr>
        <w:tc>
          <w:tcPr>
            <w:tcW w:w="4920" w:type="dxa"/>
            <w:shd w:val="clear" w:color="auto" w:fill="F2F2F2"/>
          </w:tcPr>
          <w:p w14:paraId="069BDD2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Escenario no cubierto o cubierto de forma insuficiente</w:t>
            </w:r>
          </w:p>
        </w:tc>
        <w:tc>
          <w:tcPr>
            <w:tcW w:w="4440" w:type="dxa"/>
            <w:shd w:val="clear" w:color="auto" w:fill="F2F2F2"/>
          </w:tcPr>
          <w:p w14:paraId="069BDD2A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Tratamiento recomendado</w:t>
            </w:r>
          </w:p>
        </w:tc>
      </w:tr>
      <w:tr w:rsidR="00E152ED" w:rsidRPr="00325F76" w14:paraId="069BDD2E" w14:textId="77777777">
        <w:tc>
          <w:tcPr>
            <w:tcW w:w="4920" w:type="dxa"/>
          </w:tcPr>
          <w:p w14:paraId="069BDD2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t>Nube y SaaS</w:t>
            </w:r>
            <w:r w:rsidRPr="00325F76">
              <w:rPr>
                <w:lang w:val="es-CO"/>
              </w:rPr>
              <w:t>: el RFC 3227 (2002) asume acceso físico al equipo; la ACPO v5 apenas aborda datos fuera de jurisdicción.</w:t>
            </w:r>
          </w:p>
        </w:tc>
        <w:tc>
          <w:tcPr>
            <w:tcW w:w="4440" w:type="dxa"/>
          </w:tcPr>
          <w:p w14:paraId="069BDD2D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Complementar con ISO/IEC 27037 y 27050, logs nativos del proveedor y solicitudes formales de preservación.</w:t>
            </w:r>
          </w:p>
        </w:tc>
      </w:tr>
      <w:tr w:rsidR="00E152ED" w:rsidRPr="00325F76" w14:paraId="069BDD31" w14:textId="77777777">
        <w:tc>
          <w:tcPr>
            <w:tcW w:w="4920" w:type="dxa"/>
          </w:tcPr>
          <w:p w14:paraId="069BDD2F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t>Dispositivos móviles e IoT</w:t>
            </w:r>
            <w:r w:rsidRPr="00325F76">
              <w:rPr>
                <w:lang w:val="es-CO"/>
              </w:rPr>
              <w:t>: cifrado por ha</w:t>
            </w:r>
            <w:r w:rsidRPr="00325F76">
              <w:rPr>
                <w:lang w:val="es-CO"/>
              </w:rPr>
              <w:t xml:space="preserve">rdware y </w:t>
            </w:r>
            <w:r w:rsidRPr="00325F76">
              <w:rPr>
                <w:lang w:val="es-CO"/>
              </w:rPr>
              <w:lastRenderedPageBreak/>
              <w:t>bloqueo impiden la imagen física; la ACPO solo da orientación general.</w:t>
            </w:r>
          </w:p>
        </w:tc>
        <w:tc>
          <w:tcPr>
            <w:tcW w:w="4440" w:type="dxa"/>
          </w:tcPr>
          <w:p w14:paraId="069BDD30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lastRenderedPageBreak/>
              <w:t xml:space="preserve">Aislamiento Faraday; herramientas </w:t>
            </w:r>
            <w:r w:rsidRPr="00325F76">
              <w:rPr>
                <w:lang w:val="es-CO"/>
              </w:rPr>
              <w:lastRenderedPageBreak/>
              <w:t>especializadas (UFED, GrayKey); documentar extracción lógica frente a física.</w:t>
            </w:r>
          </w:p>
        </w:tc>
      </w:tr>
      <w:tr w:rsidR="00E152ED" w:rsidRPr="00325F76" w14:paraId="069BDD34" w14:textId="77777777">
        <w:tc>
          <w:tcPr>
            <w:tcW w:w="4920" w:type="dxa"/>
          </w:tcPr>
          <w:p w14:paraId="069BDD32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lastRenderedPageBreak/>
              <w:t>Hashes</w:t>
            </w:r>
            <w:r w:rsidRPr="00325F76">
              <w:rPr>
                <w:lang w:val="es-CO"/>
              </w:rPr>
              <w:t>: ninguno de los dos marcos fija un algoritmo; el RFC men</w:t>
            </w:r>
            <w:r w:rsidRPr="00325F76">
              <w:rPr>
                <w:lang w:val="es-CO"/>
              </w:rPr>
              <w:t>ciona sumas de verificación genéricas.</w:t>
            </w:r>
          </w:p>
        </w:tc>
        <w:tc>
          <w:tcPr>
            <w:tcW w:w="4440" w:type="dxa"/>
          </w:tcPr>
          <w:p w14:paraId="069BDD33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Exigir SHA-256 + SHA3-256 (esta guía).</w:t>
            </w:r>
          </w:p>
        </w:tc>
      </w:tr>
      <w:tr w:rsidR="00E152ED" w:rsidRPr="00325F76" w14:paraId="069BDD37" w14:textId="77777777">
        <w:tc>
          <w:tcPr>
            <w:tcW w:w="4920" w:type="dxa"/>
          </w:tcPr>
          <w:p w14:paraId="069BDD35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t>SSD, TRIM y cifrado de disco completo</w:t>
            </w:r>
            <w:r w:rsidRPr="00325F76">
              <w:rPr>
                <w:lang w:val="es-CO"/>
              </w:rPr>
              <w:t>: el borrado interno del controlador impide la repetibilidad perfecta.</w:t>
            </w:r>
          </w:p>
        </w:tc>
        <w:tc>
          <w:tcPr>
            <w:tcW w:w="4440" w:type="dxa"/>
          </w:tcPr>
          <w:p w14:paraId="069BDD36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Capturar en vivo con el volumen descifrado si es posible; declarar la</w:t>
            </w:r>
            <w:r w:rsidRPr="00325F76">
              <w:rPr>
                <w:lang w:val="es-CO"/>
              </w:rPr>
              <w:t xml:space="preserve"> limitación en el dictamen.</w:t>
            </w:r>
          </w:p>
        </w:tc>
      </w:tr>
      <w:tr w:rsidR="00E152ED" w:rsidRPr="00325F76" w14:paraId="069BDD3A" w14:textId="77777777">
        <w:tc>
          <w:tcPr>
            <w:tcW w:w="4920" w:type="dxa"/>
          </w:tcPr>
          <w:p w14:paraId="069BDD38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t>Volatilidad extrema y sistemas críticos (OT/ICS)</w:t>
            </w:r>
            <w:r w:rsidRPr="00325F76">
              <w:rPr>
                <w:lang w:val="es-CO"/>
              </w:rPr>
              <w:t>: apagar puede causar daño físico o pérdida de servicio.</w:t>
            </w:r>
          </w:p>
        </w:tc>
        <w:tc>
          <w:tcPr>
            <w:tcW w:w="4440" w:type="dxa"/>
          </w:tcPr>
          <w:p w14:paraId="069BDD39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Captura de red pasiva y coordinación con el operador; justificar desviaciones.</w:t>
            </w:r>
          </w:p>
        </w:tc>
      </w:tr>
      <w:tr w:rsidR="00E152ED" w:rsidRPr="00325F76" w14:paraId="069BDD3D" w14:textId="77777777">
        <w:tc>
          <w:tcPr>
            <w:tcW w:w="4920" w:type="dxa"/>
          </w:tcPr>
          <w:p w14:paraId="069BDD3B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b/>
                <w:lang w:val="es-CO"/>
              </w:rPr>
              <w:t>Alcance jurisdiccional</w:t>
            </w:r>
            <w:r w:rsidRPr="00325F76">
              <w:rPr>
                <w:lang w:val="es-CO"/>
              </w:rPr>
              <w:t>: la ACPO responde a</w:t>
            </w:r>
            <w:r w:rsidRPr="00325F76">
              <w:rPr>
                <w:lang w:val="es-CO"/>
              </w:rPr>
              <w:t>l derecho del Reino Unido; el RFC no es norma jurídica.</w:t>
            </w:r>
          </w:p>
        </w:tc>
        <w:tc>
          <w:tcPr>
            <w:tcW w:w="4440" w:type="dxa"/>
          </w:tcPr>
          <w:p w14:paraId="069BDD3C" w14:textId="77777777" w:rsidR="00E152ED" w:rsidRPr="00325F76" w:rsidRDefault="00325F76">
            <w:pPr>
              <w:rPr>
                <w:lang w:val="es-CO"/>
              </w:rPr>
            </w:pPr>
            <w:r w:rsidRPr="00325F76">
              <w:rPr>
                <w:lang w:val="es-CO"/>
              </w:rPr>
              <w:t>Validar siempre con la legislación colombiana (CPP, Ley 527, Ley 1273).</w:t>
            </w:r>
          </w:p>
        </w:tc>
      </w:tr>
    </w:tbl>
    <w:p w14:paraId="069BDD3E" w14:textId="77777777" w:rsidR="00E152ED" w:rsidRPr="00325F76" w:rsidRDefault="00E152ED">
      <w:pPr>
        <w:rPr>
          <w:lang w:val="es-CO"/>
        </w:rPr>
      </w:pPr>
    </w:p>
    <w:sectPr w:rsidR="00E152ED" w:rsidRPr="00325F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B7589"/>
    <w:multiLevelType w:val="hybridMultilevel"/>
    <w:tmpl w:val="BD82D010"/>
    <w:lvl w:ilvl="0" w:tplc="A8706B74">
      <w:start w:val="1"/>
      <w:numFmt w:val="bullet"/>
      <w:lvlText w:val="•"/>
      <w:lvlJc w:val="left"/>
      <w:pPr>
        <w:ind w:left="720" w:hanging="360"/>
      </w:pPr>
    </w:lvl>
    <w:lvl w:ilvl="1" w:tplc="A40AA25E">
      <w:start w:val="1"/>
      <w:numFmt w:val="bullet"/>
      <w:lvlText w:val="o"/>
      <w:lvlJc w:val="left"/>
      <w:pPr>
        <w:ind w:left="1440" w:hanging="360"/>
      </w:pPr>
    </w:lvl>
    <w:lvl w:ilvl="2" w:tplc="90A24414">
      <w:start w:val="1"/>
      <w:numFmt w:val="bullet"/>
      <w:lvlText w:val="▪"/>
      <w:lvlJc w:val="left"/>
      <w:pPr>
        <w:ind w:left="2160" w:hanging="360"/>
      </w:pPr>
    </w:lvl>
    <w:lvl w:ilvl="3" w:tplc="0A582654">
      <w:start w:val="1"/>
      <w:numFmt w:val="bullet"/>
      <w:lvlText w:val="•"/>
      <w:lvlJc w:val="left"/>
      <w:pPr>
        <w:ind w:left="2880" w:hanging="360"/>
      </w:pPr>
    </w:lvl>
    <w:lvl w:ilvl="4" w:tplc="CB04DAD2">
      <w:start w:val="1"/>
      <w:numFmt w:val="bullet"/>
      <w:lvlText w:val="o"/>
      <w:lvlJc w:val="left"/>
      <w:pPr>
        <w:ind w:left="3600" w:hanging="360"/>
      </w:pPr>
    </w:lvl>
    <w:lvl w:ilvl="5" w:tplc="3ED83342">
      <w:start w:val="1"/>
      <w:numFmt w:val="bullet"/>
      <w:lvlText w:val="▪"/>
      <w:lvlJc w:val="left"/>
      <w:pPr>
        <w:ind w:left="4320" w:hanging="360"/>
      </w:pPr>
    </w:lvl>
    <w:lvl w:ilvl="6" w:tplc="BFBC2770">
      <w:start w:val="1"/>
      <w:numFmt w:val="bullet"/>
      <w:lvlText w:val="•"/>
      <w:lvlJc w:val="left"/>
      <w:pPr>
        <w:ind w:left="5040" w:hanging="360"/>
      </w:pPr>
    </w:lvl>
    <w:lvl w:ilvl="7" w:tplc="618A751E">
      <w:start w:val="1"/>
      <w:numFmt w:val="bullet"/>
      <w:lvlText w:val="o"/>
      <w:lvlJc w:val="left"/>
      <w:pPr>
        <w:ind w:left="5760" w:hanging="360"/>
      </w:pPr>
    </w:lvl>
    <w:lvl w:ilvl="8" w:tplc="7AE89D0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1D957A2"/>
    <w:multiLevelType w:val="hybridMultilevel"/>
    <w:tmpl w:val="36CED550"/>
    <w:lvl w:ilvl="0" w:tplc="F5707FEA">
      <w:start w:val="1"/>
      <w:numFmt w:val="decimal"/>
      <w:lvlText w:val="%1."/>
      <w:lvlJc w:val="left"/>
      <w:pPr>
        <w:ind w:left="720" w:hanging="360"/>
      </w:pPr>
    </w:lvl>
    <w:lvl w:ilvl="1" w:tplc="BF7A673A">
      <w:start w:val="1"/>
      <w:numFmt w:val="lowerLetter"/>
      <w:lvlText w:val="%2."/>
      <w:lvlJc w:val="left"/>
      <w:pPr>
        <w:ind w:left="1440" w:hanging="360"/>
      </w:pPr>
    </w:lvl>
    <w:lvl w:ilvl="2" w:tplc="AA8A2324">
      <w:start w:val="1"/>
      <w:numFmt w:val="lowerRoman"/>
      <w:lvlText w:val="%3."/>
      <w:lvlJc w:val="left"/>
      <w:pPr>
        <w:ind w:left="2160" w:hanging="360"/>
      </w:pPr>
    </w:lvl>
    <w:lvl w:ilvl="3" w:tplc="6ABACF18">
      <w:start w:val="1"/>
      <w:numFmt w:val="decimal"/>
      <w:lvlText w:val="%4."/>
      <w:lvlJc w:val="left"/>
      <w:pPr>
        <w:ind w:left="2880" w:hanging="360"/>
      </w:pPr>
    </w:lvl>
    <w:lvl w:ilvl="4" w:tplc="64B027A4">
      <w:start w:val="1"/>
      <w:numFmt w:val="lowerLetter"/>
      <w:lvlText w:val="%5."/>
      <w:lvlJc w:val="left"/>
      <w:pPr>
        <w:ind w:left="3600" w:hanging="360"/>
      </w:pPr>
    </w:lvl>
    <w:lvl w:ilvl="5" w:tplc="1B864AF4">
      <w:start w:val="1"/>
      <w:numFmt w:val="lowerRoman"/>
      <w:lvlText w:val="%6."/>
      <w:lvlJc w:val="left"/>
      <w:pPr>
        <w:ind w:left="4320" w:hanging="360"/>
      </w:pPr>
    </w:lvl>
    <w:lvl w:ilvl="6" w:tplc="C4326B1E">
      <w:start w:val="1"/>
      <w:numFmt w:val="decimal"/>
      <w:lvlText w:val="%7."/>
      <w:lvlJc w:val="left"/>
      <w:pPr>
        <w:ind w:left="5040" w:hanging="360"/>
      </w:pPr>
    </w:lvl>
    <w:lvl w:ilvl="7" w:tplc="CF325750">
      <w:start w:val="1"/>
      <w:numFmt w:val="lowerLetter"/>
      <w:lvlText w:val="%8."/>
      <w:lvlJc w:val="left"/>
      <w:pPr>
        <w:ind w:left="5760" w:hanging="360"/>
      </w:pPr>
    </w:lvl>
    <w:lvl w:ilvl="8" w:tplc="2C32F52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152ED"/>
    <w:rsid w:val="00325F76"/>
    <w:rsid w:val="00406352"/>
    <w:rsid w:val="00D105A9"/>
    <w:rsid w:val="00E152ED"/>
    <w:rsid w:val="00FC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BDC37"/>
  <w15:docId w15:val="{590A8788-BD7A-441A-A0F6-C0A520FE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knowledgehub.group/web/national-standards/live-standards/-/ddl_display/ddl/71443377/362284494/maximiz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tal-detective.net/acpo-good-practice-guide-for-digital-evidence/" TargetMode="External"/><Relationship Id="rId5" Type="http://schemas.openxmlformats.org/officeDocument/2006/relationships/hyperlink" Target="https://www.rfc-editor.org/info/rfc322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2138</Words>
  <Characters>11762</Characters>
  <Application>Microsoft Office Word</Application>
  <DocSecurity>0</DocSecurity>
  <Lines>98</Lines>
  <Paragraphs>27</Paragraphs>
  <ScaleCrop>false</ScaleCrop>
  <Company>HP Inc.</Company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Lite de Interpretación – RFC 3227 y Guía ACPO · Grupo 2</dc:title>
  <dc:description>Claude Docs node/5a2dd44a-33cd@11 docx-w7</dc:description>
  <cp:lastModifiedBy>TE. Laura Angelica Gutierrez Torres</cp:lastModifiedBy>
  <cp:revision>15</cp:revision>
  <dcterms:created xsi:type="dcterms:W3CDTF">2026-10-26T21:27:00Z</dcterms:created>
  <dcterms:modified xsi:type="dcterms:W3CDTF">2026-10-26T21:29:00Z</dcterms:modified>
</cp:coreProperties>
</file>