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4034C" w14:textId="3C577F29" w:rsidR="00083667" w:rsidRPr="00083667" w:rsidRDefault="00083667" w:rsidP="00083667">
      <w:pPr>
        <w:rPr>
          <w:sz w:val="18"/>
          <w:szCs w:val="18"/>
        </w:rPr>
      </w:pPr>
      <w:r w:rsidRPr="00083667">
        <w:rPr>
          <w:sz w:val="18"/>
          <w:szCs w:val="18"/>
        </w:rPr>
        <w:t>Author- Jai Kaushik</w:t>
      </w:r>
    </w:p>
    <w:p w14:paraId="15490CC0" w14:textId="28EF1DC3" w:rsidR="00083667" w:rsidRPr="00083667" w:rsidRDefault="00083667" w:rsidP="00083667">
      <w:pPr>
        <w:rPr>
          <w:sz w:val="18"/>
          <w:szCs w:val="18"/>
        </w:rPr>
      </w:pPr>
      <w:r w:rsidRPr="00083667">
        <w:rPr>
          <w:sz w:val="18"/>
          <w:szCs w:val="18"/>
        </w:rPr>
        <w:t>BITS ID- 2024A3PS0419P</w:t>
      </w:r>
    </w:p>
    <w:p w14:paraId="7D91DA29" w14:textId="7C614191" w:rsidR="00083667" w:rsidRPr="00083667" w:rsidRDefault="00083667" w:rsidP="004A3464">
      <w:pPr>
        <w:rPr>
          <w:b/>
          <w:bCs/>
          <w:sz w:val="18"/>
          <w:szCs w:val="18"/>
        </w:rPr>
      </w:pPr>
      <w:r w:rsidRPr="00083667">
        <w:rPr>
          <w:sz w:val="18"/>
          <w:szCs w:val="18"/>
        </w:rPr>
        <w:t xml:space="preserve">Topic- </w:t>
      </w:r>
      <w:r w:rsidRPr="00083667">
        <w:rPr>
          <w:b/>
          <w:bCs/>
          <w:sz w:val="18"/>
          <w:szCs w:val="18"/>
        </w:rPr>
        <w:t>Portfolio Optimization Using Kenneth R. French 30 Industry Portfolios implementing the</w:t>
      </w:r>
      <w:r w:rsidR="004A3464">
        <w:rPr>
          <w:b/>
          <w:bCs/>
          <w:sz w:val="18"/>
          <w:szCs w:val="18"/>
        </w:rPr>
        <w:t xml:space="preserve"> </w:t>
      </w:r>
      <w:r w:rsidRPr="00083667">
        <w:rPr>
          <w:b/>
          <w:bCs/>
          <w:sz w:val="18"/>
          <w:szCs w:val="18"/>
        </w:rPr>
        <w:t>Black-Litterman Model</w:t>
      </w:r>
    </w:p>
    <w:p w14:paraId="30956150" w14:textId="6DC3018B" w:rsidR="00083667" w:rsidRPr="00083667" w:rsidRDefault="00083667" w:rsidP="00083667">
      <w:pPr>
        <w:pBdr>
          <w:bottom w:val="single" w:sz="6" w:space="1" w:color="auto"/>
        </w:pBdr>
        <w:rPr>
          <w:sz w:val="18"/>
          <w:szCs w:val="18"/>
        </w:rPr>
      </w:pPr>
      <w:r w:rsidRPr="00083667">
        <w:rPr>
          <w:sz w:val="18"/>
          <w:szCs w:val="18"/>
        </w:rPr>
        <w:t>Date-10/6/2025</w:t>
      </w:r>
    </w:p>
    <w:p w14:paraId="6F0213A2" w14:textId="77777777" w:rsidR="00083667" w:rsidRDefault="00083667">
      <w:pPr>
        <w:pBdr>
          <w:bottom w:val="single" w:sz="6" w:space="1" w:color="auto"/>
        </w:pBdr>
        <w:rPr>
          <w:b/>
          <w:bCs/>
        </w:rPr>
      </w:pPr>
    </w:p>
    <w:p w14:paraId="5A64A7F1" w14:textId="77777777" w:rsidR="00083667" w:rsidRDefault="00083667">
      <w:pPr>
        <w:pBdr>
          <w:bottom w:val="single" w:sz="6" w:space="1" w:color="auto"/>
        </w:pBdr>
        <w:rPr>
          <w:b/>
          <w:bCs/>
        </w:rPr>
      </w:pPr>
    </w:p>
    <w:p w14:paraId="1507996A" w14:textId="77777777" w:rsidR="00083667" w:rsidRDefault="00083667">
      <w:pPr>
        <w:pBdr>
          <w:bottom w:val="single" w:sz="6" w:space="1" w:color="auto"/>
        </w:pBdr>
        <w:rPr>
          <w:b/>
          <w:bCs/>
        </w:rPr>
      </w:pPr>
    </w:p>
    <w:p w14:paraId="7C4DACCC" w14:textId="24F2A298" w:rsidR="00083667" w:rsidRPr="00083667" w:rsidRDefault="00083667">
      <w:pPr>
        <w:pBdr>
          <w:bottom w:val="single" w:sz="6" w:space="1" w:color="auto"/>
        </w:pBdr>
        <w:rPr>
          <w:b/>
          <w:bCs/>
          <w:sz w:val="56"/>
          <w:szCs w:val="56"/>
        </w:rPr>
      </w:pPr>
      <w:r w:rsidRPr="00083667">
        <w:rPr>
          <w:b/>
          <w:bCs/>
          <w:sz w:val="56"/>
          <w:szCs w:val="56"/>
        </w:rPr>
        <w:t>BLACK</w:t>
      </w:r>
      <w:r>
        <w:rPr>
          <w:b/>
          <w:bCs/>
          <w:sz w:val="56"/>
          <w:szCs w:val="56"/>
        </w:rPr>
        <w:t>-</w:t>
      </w:r>
      <w:r w:rsidRPr="00083667">
        <w:rPr>
          <w:b/>
          <w:bCs/>
          <w:sz w:val="56"/>
          <w:szCs w:val="56"/>
        </w:rPr>
        <w:t>LITTERMAN MODEL</w:t>
      </w:r>
    </w:p>
    <w:p w14:paraId="0A00ADD1" w14:textId="77777777" w:rsidR="00083667" w:rsidRDefault="00083667">
      <w:pPr>
        <w:pBdr>
          <w:bottom w:val="single" w:sz="6" w:space="1" w:color="auto"/>
        </w:pBdr>
        <w:rPr>
          <w:b/>
          <w:bCs/>
        </w:rPr>
      </w:pPr>
    </w:p>
    <w:p w14:paraId="22A99A9A" w14:textId="77777777" w:rsidR="00083667" w:rsidRDefault="00083667">
      <w:pPr>
        <w:rPr>
          <w:b/>
          <w:bCs/>
        </w:rPr>
      </w:pPr>
    </w:p>
    <w:p w14:paraId="299D2A4C" w14:textId="308B1265" w:rsidR="00367A29" w:rsidRDefault="00083667" w:rsidP="007D54BB">
      <w:pPr>
        <w:pBdr>
          <w:bottom w:val="single" w:sz="6" w:space="1" w:color="auto"/>
        </w:pBdr>
      </w:pPr>
      <w:r w:rsidRPr="00083667">
        <w:rPr>
          <w:b/>
          <w:bCs/>
        </w:rPr>
        <w:t xml:space="preserve">Objective: </w:t>
      </w:r>
      <w:r w:rsidRPr="00083667">
        <w:t>To construct and evaluate an optimal portfolio from the Kenneth R. French 30 Industry Portfolios dataset. This report details the application of the Black</w:t>
      </w:r>
      <w:r w:rsidR="0029333E">
        <w:t xml:space="preserve"> </w:t>
      </w:r>
      <w:r w:rsidRPr="00083667">
        <w:t>Litterman model, an advanced technique chosen to demonstrate a creative and robust approach beyond traditional me</w:t>
      </w:r>
      <w:r w:rsidR="007D54BB">
        <w:t>thods</w:t>
      </w:r>
      <w:r w:rsidR="001B7AD2">
        <w:t xml:space="preserve"> like CAPM.</w:t>
      </w:r>
    </w:p>
    <w:p w14:paraId="771408BE" w14:textId="77777777" w:rsidR="0012028F" w:rsidRPr="0012028F" w:rsidRDefault="0012028F" w:rsidP="0012028F">
      <w:pPr>
        <w:pBdr>
          <w:bottom w:val="single" w:sz="6" w:space="1" w:color="auto"/>
        </w:pBdr>
        <w:rPr>
          <w:b/>
          <w:bCs/>
        </w:rPr>
      </w:pPr>
      <w:r w:rsidRPr="0012028F">
        <w:rPr>
          <w:b/>
          <w:bCs/>
        </w:rPr>
        <w:t>Theoretical Framework &amp; Formulas</w:t>
      </w:r>
    </w:p>
    <w:p w14:paraId="56A06173" w14:textId="015E8C02" w:rsidR="0012028F" w:rsidRPr="0012028F" w:rsidRDefault="0012028F" w:rsidP="0012028F">
      <w:pPr>
        <w:pBdr>
          <w:bottom w:val="single" w:sz="6" w:space="1" w:color="auto"/>
        </w:pBdr>
      </w:pPr>
      <w:r w:rsidRPr="0012028F">
        <w:t>The model blends market equilibrium returns (the prior) with an investor's subjective views (the evidenc) to generate a new,</w:t>
      </w:r>
      <w:r w:rsidR="001B7AD2">
        <w:t>mixed</w:t>
      </w:r>
      <w:r w:rsidRPr="0012028F">
        <w:t>t of expected returns (the posterior).</w:t>
      </w:r>
    </w:p>
    <w:p w14:paraId="61C75F81" w14:textId="77777777" w:rsidR="0012028F" w:rsidRPr="0012028F" w:rsidRDefault="0012028F" w:rsidP="0012028F">
      <w:pPr>
        <w:pBdr>
          <w:bottom w:val="single" w:sz="6" w:space="1" w:color="auto"/>
        </w:pBdr>
      </w:pPr>
      <w:r w:rsidRPr="0012028F">
        <w:rPr>
          <w:b/>
          <w:bCs/>
        </w:rPr>
        <w:t>Step 1: The Prior - Implied Equilibrium Returns (Π)</w:t>
      </w:r>
    </w:p>
    <w:p w14:paraId="38A7B2D4" w14:textId="77777777" w:rsidR="0012028F" w:rsidRPr="0012028F" w:rsidRDefault="0012028F" w:rsidP="0012028F">
      <w:pPr>
        <w:pBdr>
          <w:bottom w:val="single" w:sz="6" w:space="1" w:color="auto"/>
        </w:pBdr>
      </w:pPr>
      <w:r w:rsidRPr="0012028F">
        <w:t>Instead of trying to estimate expected returns directly, the model first calculates the returns that are implied by the current market capitalization weights. This is achieved by reverse-engineering the MVO formula.</w:t>
      </w:r>
    </w:p>
    <w:p w14:paraId="56DD7EF0" w14:textId="77777777" w:rsidR="0012028F" w:rsidRDefault="0012028F" w:rsidP="0012028F">
      <w:pPr>
        <w:pBdr>
          <w:bottom w:val="single" w:sz="6" w:space="1" w:color="auto"/>
        </w:pBdr>
      </w:pPr>
      <w:r w:rsidRPr="0012028F">
        <w:t>The formula for Implied Equilibrium Returns is:</w:t>
      </w:r>
    </w:p>
    <w:p w14:paraId="25E91639" w14:textId="67D4CAD2" w:rsidR="0012028F" w:rsidRDefault="0012028F" w:rsidP="0012028F">
      <w:pPr>
        <w:pStyle w:val="ListParagraph"/>
        <w:numPr>
          <w:ilvl w:val="0"/>
          <w:numId w:val="14"/>
        </w:numPr>
        <w:pBdr>
          <w:bottom w:val="single" w:sz="6" w:space="1" w:color="auto"/>
        </w:pBdr>
      </w:pPr>
      <w:r w:rsidRPr="0012028F">
        <w:t xml:space="preserve">Π=δΣwmkt​ </w:t>
      </w:r>
      <w:r w:rsidR="0029333E">
        <w:t>(master formula)</w:t>
      </w:r>
    </w:p>
    <w:p w14:paraId="14843620" w14:textId="373FCEB0" w:rsidR="0012028F" w:rsidRPr="0012028F" w:rsidRDefault="0012028F" w:rsidP="0012028F">
      <w:pPr>
        <w:pBdr>
          <w:bottom w:val="single" w:sz="6" w:space="1" w:color="auto"/>
        </w:pBdr>
        <w:ind w:left="360"/>
      </w:pPr>
      <w:r w:rsidRPr="0012028F">
        <w:t>Where:</w:t>
      </w:r>
    </w:p>
    <w:p w14:paraId="2F1D2B90" w14:textId="761F90DF" w:rsidR="0012028F" w:rsidRPr="0012028F" w:rsidRDefault="0012028F" w:rsidP="0012028F">
      <w:pPr>
        <w:pStyle w:val="ListParagraph"/>
        <w:numPr>
          <w:ilvl w:val="0"/>
          <w:numId w:val="14"/>
        </w:numPr>
        <w:pBdr>
          <w:bottom w:val="single" w:sz="6" w:space="1" w:color="auto"/>
        </w:pBdr>
      </w:pPr>
      <w:r w:rsidRPr="0012028F">
        <w:t>Π: The vector of implied equilibrium excess returns for each asset.</w:t>
      </w:r>
    </w:p>
    <w:p w14:paraId="0D1D0729" w14:textId="0154C9BA" w:rsidR="0012028F" w:rsidRPr="0012028F" w:rsidRDefault="0012028F" w:rsidP="0012028F">
      <w:pPr>
        <w:pStyle w:val="ListParagraph"/>
        <w:numPr>
          <w:ilvl w:val="0"/>
          <w:numId w:val="14"/>
        </w:numPr>
        <w:pBdr>
          <w:bottom w:val="single" w:sz="6" w:space="1" w:color="auto"/>
        </w:pBdr>
      </w:pPr>
      <w:r w:rsidRPr="0012028F">
        <w:t>δ: The risk aversion coefficient, representing the market's aggregate risk tolerance.</w:t>
      </w:r>
    </w:p>
    <w:p w14:paraId="2DA86D30" w14:textId="40D921A2" w:rsidR="0012028F" w:rsidRPr="0012028F" w:rsidRDefault="0012028F" w:rsidP="0012028F">
      <w:pPr>
        <w:pStyle w:val="ListParagraph"/>
        <w:numPr>
          <w:ilvl w:val="0"/>
          <w:numId w:val="14"/>
        </w:numPr>
        <w:pBdr>
          <w:bottom w:val="single" w:sz="6" w:space="1" w:color="auto"/>
        </w:pBdr>
      </w:pPr>
      <w:r w:rsidRPr="0012028F">
        <w:t>Σ: The covariance matrix of asset returns.</w:t>
      </w:r>
    </w:p>
    <w:p w14:paraId="3171943E" w14:textId="3AE0C425" w:rsidR="0012028F" w:rsidRPr="0012028F" w:rsidRDefault="0012028F" w:rsidP="0012028F">
      <w:pPr>
        <w:pBdr>
          <w:bottom w:val="single" w:sz="6" w:space="1" w:color="auto"/>
        </w:pBdr>
      </w:pPr>
      <w:r>
        <w:t xml:space="preserve"> </w:t>
      </w:r>
      <w:r w:rsidRPr="0012028F">
        <w:t>wmkt​: The vector of market capitalization weights for the assets.</w:t>
      </w:r>
    </w:p>
    <w:p w14:paraId="6D50E523" w14:textId="77777777" w:rsidR="0012028F" w:rsidRPr="0012028F" w:rsidRDefault="0012028F" w:rsidP="0012028F">
      <w:pPr>
        <w:pBdr>
          <w:bottom w:val="single" w:sz="6" w:space="1" w:color="auto"/>
        </w:pBdr>
      </w:pPr>
      <w:r w:rsidRPr="0012028F">
        <w:rPr>
          <w:b/>
          <w:bCs/>
        </w:rPr>
        <w:lastRenderedPageBreak/>
        <w:t>Step 2: The Evidence - Formulating Investor Views</w:t>
      </w:r>
    </w:p>
    <w:p w14:paraId="53736F04" w14:textId="77777777" w:rsidR="0012028F" w:rsidRPr="0012028F" w:rsidRDefault="0012028F" w:rsidP="0012028F">
      <w:pPr>
        <w:pBdr>
          <w:bottom w:val="single" w:sz="6" w:space="1" w:color="auto"/>
        </w:pBdr>
      </w:pPr>
      <w:r w:rsidRPr="0012028F">
        <w:t>The investor incorporates their specific opinions on asset performance. Each view is expressed mathematically using two components, along with an uncertainty level for each view.</w:t>
      </w:r>
    </w:p>
    <w:p w14:paraId="0E76DDAC" w14:textId="77777777" w:rsidR="0012028F" w:rsidRPr="0012028F" w:rsidRDefault="0012028F" w:rsidP="0012028F">
      <w:pPr>
        <w:pStyle w:val="ListParagraph"/>
        <w:numPr>
          <w:ilvl w:val="0"/>
          <w:numId w:val="13"/>
        </w:numPr>
        <w:pBdr>
          <w:bottom w:val="single" w:sz="6" w:space="1" w:color="auto"/>
        </w:pBdr>
      </w:pPr>
      <w:r w:rsidRPr="0012028F">
        <w:rPr>
          <w:b/>
          <w:bCs/>
        </w:rPr>
        <w:t>View Portfolio (P)</w:t>
      </w:r>
      <w:r w:rsidRPr="0012028F">
        <w:t>: A matrix that identifies the assets involved in each view. For k views on n assets, this is a k x n matrix.</w:t>
      </w:r>
    </w:p>
    <w:p w14:paraId="0122D493" w14:textId="77777777" w:rsidR="0012028F" w:rsidRPr="0012028F" w:rsidRDefault="0012028F" w:rsidP="0012028F">
      <w:pPr>
        <w:pStyle w:val="ListParagraph"/>
        <w:numPr>
          <w:ilvl w:val="0"/>
          <w:numId w:val="13"/>
        </w:numPr>
        <w:pBdr>
          <w:bottom w:val="single" w:sz="6" w:space="1" w:color="auto"/>
        </w:pBdr>
      </w:pPr>
      <w:r w:rsidRPr="0012028F">
        <w:rPr>
          <w:b/>
          <w:bCs/>
        </w:rPr>
        <w:t>View Returns (Q)</w:t>
      </w:r>
      <w:r w:rsidRPr="0012028F">
        <w:t>: A vector containing the expected return for each view portfolio.</w:t>
      </w:r>
    </w:p>
    <w:p w14:paraId="3041AAA6" w14:textId="77777777" w:rsidR="0012028F" w:rsidRPr="0012028F" w:rsidRDefault="0012028F" w:rsidP="0012028F">
      <w:pPr>
        <w:pBdr>
          <w:bottom w:val="single" w:sz="6" w:space="1" w:color="auto"/>
        </w:pBdr>
      </w:pPr>
      <w:r w:rsidRPr="0012028F">
        <w:t>The uncertainty in these views is crucial. It is captured in a diagonal covariance matrix, Ω, where the variance of each view is proportional to the variance of the view portfolio itself.</w:t>
      </w:r>
    </w:p>
    <w:p w14:paraId="623C7254" w14:textId="77777777" w:rsidR="0012028F" w:rsidRPr="0012028F" w:rsidRDefault="0012028F" w:rsidP="0012028F">
      <w:pPr>
        <w:pBdr>
          <w:bottom w:val="single" w:sz="6" w:space="1" w:color="auto"/>
        </w:pBdr>
      </w:pPr>
      <w:r w:rsidRPr="0012028F">
        <w:t>The formula for the uncertainty matrix of the views is: Ω=diag(diag(P(τΣ)PT)) Where:</w:t>
      </w:r>
    </w:p>
    <w:p w14:paraId="43FAE58E" w14:textId="77777777" w:rsidR="0012028F" w:rsidRPr="0012028F" w:rsidRDefault="0012028F" w:rsidP="0012028F">
      <w:pPr>
        <w:pBdr>
          <w:bottom w:val="single" w:sz="6" w:space="1" w:color="auto"/>
        </w:pBdr>
      </w:pPr>
      <w:r w:rsidRPr="0012028F">
        <w:t>τ: A scalar indicating the investor's overall confidence in their views relative to the prior (a smaller τ means higher confidence).</w:t>
      </w:r>
    </w:p>
    <w:p w14:paraId="0B456370" w14:textId="77777777" w:rsidR="0012028F" w:rsidRPr="0012028F" w:rsidRDefault="0012028F" w:rsidP="0012028F">
      <w:pPr>
        <w:pBdr>
          <w:bottom w:val="single" w:sz="6" w:space="1" w:color="auto"/>
        </w:pBdr>
      </w:pPr>
      <w:r w:rsidRPr="0012028F">
        <w:rPr>
          <w:b/>
          <w:bCs/>
        </w:rPr>
        <w:t>Step 3: The Posterior - The Black-Litterman Master Formula</w:t>
      </w:r>
    </w:p>
    <w:p w14:paraId="000473EB" w14:textId="77777777" w:rsidR="0012028F" w:rsidRPr="0012028F" w:rsidRDefault="0012028F" w:rsidP="0012028F">
      <w:pPr>
        <w:pBdr>
          <w:bottom w:val="single" w:sz="6" w:space="1" w:color="auto"/>
        </w:pBdr>
      </w:pPr>
      <w:r w:rsidRPr="0012028F">
        <w:t>The model's core is the master formula, which combines the prior (Π) with the views (P,Q) to calculate a new, posterior vector of expected returns, E[R].</w:t>
      </w:r>
    </w:p>
    <w:p w14:paraId="45DFA2A3" w14:textId="77777777" w:rsidR="0012028F" w:rsidRPr="0012028F" w:rsidRDefault="0012028F" w:rsidP="0012028F">
      <w:pPr>
        <w:pBdr>
          <w:bottom w:val="single" w:sz="6" w:space="1" w:color="auto"/>
        </w:pBdr>
      </w:pPr>
      <w:r w:rsidRPr="0012028F">
        <w:t>E[R]=[(τΣ)−1+PTΩ−1P]−1[(τΣ)−1Π+PTΩ−1Q]</w:t>
      </w:r>
    </w:p>
    <w:p w14:paraId="74F1A89F" w14:textId="091A033D" w:rsidR="00367A29" w:rsidRDefault="0012028F">
      <w:pPr>
        <w:pBdr>
          <w:bottom w:val="single" w:sz="6" w:space="1" w:color="auto"/>
        </w:pBdr>
      </w:pPr>
      <w:r w:rsidRPr="0012028F">
        <w:t>This formula produces a sophisticated weighted average. The posterior returns, E[R], are a blend of the market's equilibrium returns and the investor's view returns, with the weighting determined by the relative confidence in each.</w:t>
      </w:r>
      <w:r w:rsidR="00367A29">
        <w:t xml:space="preserve"> </w:t>
      </w:r>
    </w:p>
    <w:p w14:paraId="45B6D550" w14:textId="77777777" w:rsidR="00367A29" w:rsidRDefault="00367A29">
      <w:pPr>
        <w:pBdr>
          <w:bottom w:val="single" w:sz="6" w:space="1" w:color="auto"/>
        </w:pBdr>
        <w:rPr>
          <w:b/>
          <w:bCs/>
        </w:rPr>
      </w:pPr>
    </w:p>
    <w:p w14:paraId="569D943E" w14:textId="77777777" w:rsidR="00083667" w:rsidRPr="00083667" w:rsidRDefault="00083667">
      <w:pPr>
        <w:rPr>
          <w:b/>
          <w:bCs/>
        </w:rPr>
      </w:pPr>
    </w:p>
    <w:p w14:paraId="5BDF2C67" w14:textId="77777777" w:rsidR="00083667" w:rsidRPr="00083667" w:rsidRDefault="00083667" w:rsidP="00083667">
      <w:pPr>
        <w:rPr>
          <w:b/>
          <w:bCs/>
        </w:rPr>
      </w:pPr>
      <w:r w:rsidRPr="00083667">
        <w:rPr>
          <w:b/>
          <w:bCs/>
        </w:rPr>
        <w:t>1. Methodology and Assumptions</w:t>
      </w:r>
    </w:p>
    <w:p w14:paraId="1BB75A17" w14:textId="77777777" w:rsidR="00083667" w:rsidRPr="00083667" w:rsidRDefault="00083667" w:rsidP="00083667">
      <w:pPr>
        <w:rPr>
          <w:b/>
          <w:bCs/>
        </w:rPr>
      </w:pPr>
      <w:r w:rsidRPr="00083667">
        <w:rPr>
          <w:b/>
          <w:bCs/>
        </w:rPr>
        <w:t>1.1. Chosen Model: Black-Litterman</w:t>
      </w:r>
    </w:p>
    <w:p w14:paraId="6407E2B2" w14:textId="43A7E217" w:rsidR="00083667" w:rsidRPr="00083667" w:rsidRDefault="00083667" w:rsidP="00083667">
      <w:r w:rsidRPr="00083667">
        <w:t>The Black-Litterman model was selected for this task. It is a sophisticated portfolio construction method that overcomes several key limitations of classical Mean-Variance Optimization (MVO). While traditional MVO is highly sensitive to</w:t>
      </w:r>
      <w:r w:rsidR="001B7AD2">
        <w:t xml:space="preserve"> have more</w:t>
      </w:r>
      <w:r w:rsidRPr="00083667">
        <w:t xml:space="preserve"> errors in expected return estimations, the Black-Litterman model provides a framework for </w:t>
      </w:r>
      <w:r w:rsidR="001B7AD2">
        <w:t xml:space="preserve">mixing </w:t>
      </w:r>
      <w:r w:rsidRPr="00083667">
        <w:t>an investor's</w:t>
      </w:r>
      <w:r w:rsidR="001B7AD2">
        <w:t>/managers</w:t>
      </w:r>
      <w:r w:rsidRPr="00083667">
        <w:t xml:space="preserve"> subjective views with market equilibrium returns</w:t>
      </w:r>
      <w:r w:rsidR="001B7AD2">
        <w:t xml:space="preserve"> </w:t>
      </w:r>
      <w:r w:rsidRPr="00083667">
        <w:t>resulting in more stable and intuitive portfolio weights. This model was highly encouraged as an alternative approach</w:t>
      </w:r>
    </w:p>
    <w:p w14:paraId="1D90A54D" w14:textId="77777777" w:rsidR="00083667" w:rsidRPr="00083667" w:rsidRDefault="00083667" w:rsidP="00083667">
      <w:pPr>
        <w:rPr>
          <w:b/>
          <w:bCs/>
        </w:rPr>
      </w:pPr>
      <w:r w:rsidRPr="00083667">
        <w:rPr>
          <w:b/>
          <w:bCs/>
        </w:rPr>
        <w:t>1.2. Model Theory and Rationale</w:t>
      </w:r>
    </w:p>
    <w:p w14:paraId="51223E42" w14:textId="77777777" w:rsidR="00083667" w:rsidRPr="00083667" w:rsidRDefault="00083667" w:rsidP="00083667">
      <w:r w:rsidRPr="00083667">
        <w:lastRenderedPageBreak/>
        <w:t>The core idea behind the Black-Litterman model is to create a set of "posterior" expected returns by combining two distinct sources of information:</w:t>
      </w:r>
    </w:p>
    <w:p w14:paraId="29BB482A" w14:textId="215734D6" w:rsidR="00083667" w:rsidRPr="00083667" w:rsidRDefault="00083667" w:rsidP="00083667">
      <w:pPr>
        <w:numPr>
          <w:ilvl w:val="0"/>
          <w:numId w:val="1"/>
        </w:numPr>
      </w:pPr>
      <w:r w:rsidRPr="00083667">
        <w:rPr>
          <w:b/>
          <w:bCs/>
        </w:rPr>
        <w:t>Market Equilibrium (Implied Returns):</w:t>
      </w:r>
      <w:r w:rsidRPr="00083667">
        <w:t xml:space="preserve"> The model starts by assuming the market is in equilibrium. Using reverse optimization</w:t>
      </w:r>
      <w:r w:rsidR="001B7AD2">
        <w:t xml:space="preserve"> </w:t>
      </w:r>
      <w:r w:rsidRPr="00083667">
        <w:t>it calculates the set of expected returns (Π) that are implied by the existing market capitalization weights. This provides a neutral, unbiased starting point.</w:t>
      </w:r>
      <w:r w:rsidR="001B7AD2">
        <w:t>If the manager does not have views or has low confidence on his views the portfolio returns to this benchmark.</w:t>
      </w:r>
    </w:p>
    <w:p w14:paraId="05908EBB" w14:textId="3706E3B4" w:rsidR="00083667" w:rsidRDefault="00083667" w:rsidP="00083667">
      <w:pPr>
        <w:numPr>
          <w:ilvl w:val="0"/>
          <w:numId w:val="1"/>
        </w:numPr>
      </w:pPr>
      <w:r w:rsidRPr="00083667">
        <w:rPr>
          <w:b/>
          <w:bCs/>
        </w:rPr>
        <w:t>Investor's Views (P and Q):</w:t>
      </w:r>
      <w:r w:rsidRPr="00083667">
        <w:t xml:space="preserve"> The model then allows an investor to formally express their subjective views on the performance of certain assets. These views are specified through two matrices: </w:t>
      </w:r>
    </w:p>
    <w:p w14:paraId="1DD00577" w14:textId="0C57BB33" w:rsidR="00C464DD" w:rsidRDefault="00C464DD" w:rsidP="00083667">
      <w:pPr>
        <w:numPr>
          <w:ilvl w:val="0"/>
          <w:numId w:val="1"/>
        </w:numPr>
      </w:pPr>
      <w:r>
        <w:rPr>
          <w:b/>
          <w:bCs/>
        </w:rPr>
        <w:t>Assumptions –</w:t>
      </w:r>
      <w:r>
        <w:t xml:space="preserve"> delta=2.5 , tau=.05 ,maximum asset weight=20% and hlth annual return=10%</w:t>
      </w:r>
    </w:p>
    <w:p w14:paraId="06D92263" w14:textId="77777777" w:rsidR="004A3464" w:rsidRPr="00083667" w:rsidRDefault="004A3464" w:rsidP="004A3464">
      <w:pPr>
        <w:ind w:left="720"/>
      </w:pPr>
    </w:p>
    <w:p w14:paraId="15C06212" w14:textId="77777777" w:rsidR="00083667" w:rsidRPr="004A3464" w:rsidRDefault="00083667" w:rsidP="00083667">
      <w:pPr>
        <w:rPr>
          <w:b/>
          <w:bCs/>
        </w:rPr>
      </w:pPr>
      <w:r w:rsidRPr="004A3464">
        <w:rPr>
          <w:b/>
          <w:bCs/>
        </w:rPr>
        <w:t>1.3. Implemented Views in This Analysis</w:t>
      </w:r>
    </w:p>
    <w:p w14:paraId="107F009E" w14:textId="77777777" w:rsidR="00083667" w:rsidRPr="00083667" w:rsidRDefault="00083667" w:rsidP="00083667">
      <w:r w:rsidRPr="00083667">
        <w:t>To showcase the model's flexibility, a combination of static and dynamic factor views was implemented:</w:t>
      </w:r>
    </w:p>
    <w:p w14:paraId="73476A16" w14:textId="77777777" w:rsidR="00083667" w:rsidRPr="00083667" w:rsidRDefault="00083667" w:rsidP="00083667">
      <w:pPr>
        <w:numPr>
          <w:ilvl w:val="0"/>
          <w:numId w:val="2"/>
        </w:numPr>
      </w:pPr>
      <w:r w:rsidRPr="004A3464">
        <w:rPr>
          <w:b/>
          <w:bCs/>
        </w:rPr>
        <w:t>Static Absolute View</w:t>
      </w:r>
      <w:r w:rsidRPr="00083667">
        <w:t>: A persistent belief that the Health ('Hlth') industry will generate an absolute annual return of 10%.</w:t>
      </w:r>
    </w:p>
    <w:p w14:paraId="15BDD325" w14:textId="77777777" w:rsidR="00083667" w:rsidRPr="00083667" w:rsidRDefault="00083667" w:rsidP="00083667">
      <w:pPr>
        <w:numPr>
          <w:ilvl w:val="0"/>
          <w:numId w:val="2"/>
        </w:numPr>
      </w:pPr>
      <w:r w:rsidRPr="004A3464">
        <w:rPr>
          <w:b/>
          <w:bCs/>
        </w:rPr>
        <w:t>Dynamic Factor Views</w:t>
      </w:r>
      <w:r w:rsidRPr="00083667">
        <w:t xml:space="preserve">: Two relative views based on common quantitative factors, re-evaluated annually in a rolling window backtest: </w:t>
      </w:r>
    </w:p>
    <w:p w14:paraId="2E59DD60" w14:textId="77777777" w:rsidR="00083667" w:rsidRPr="00083667" w:rsidRDefault="00083667" w:rsidP="00083667">
      <w:pPr>
        <w:numPr>
          <w:ilvl w:val="1"/>
          <w:numId w:val="2"/>
        </w:numPr>
      </w:pPr>
      <w:r w:rsidRPr="00083667">
        <w:t>Momentum: A long-short portfolio of the top 30% momentum stocks against the bottom 30% will outperform.</w:t>
      </w:r>
    </w:p>
    <w:p w14:paraId="062769A0" w14:textId="6EBDF983" w:rsidR="004A3464" w:rsidRPr="004A3464" w:rsidRDefault="00083667" w:rsidP="00537B2F">
      <w:pPr>
        <w:numPr>
          <w:ilvl w:val="1"/>
          <w:numId w:val="2"/>
        </w:numPr>
      </w:pPr>
      <w:r w:rsidRPr="00083667">
        <w:t>Low Volatility: A long-short portfolio of the least volatile stocks against the most volatile will outperform.</w:t>
      </w:r>
    </w:p>
    <w:p w14:paraId="7EBD2F1A" w14:textId="0BB34434" w:rsidR="0012028F" w:rsidRPr="00537B2F" w:rsidRDefault="0012028F" w:rsidP="004A3464">
      <w:r w:rsidRPr="0012028F">
        <w:rPr>
          <w:b/>
          <w:bCs/>
        </w:rPr>
        <w:t>Combining Views and Optimizing</w:t>
      </w:r>
      <w:r w:rsidRPr="0012028F">
        <w:t xml:space="preserve">: The Black-Litterman model mathematically combines the market equilibrium returns with the investor views to produce a new, blended set of expected returns known as </w:t>
      </w:r>
      <w:r w:rsidRPr="0012028F">
        <w:rPr>
          <w:b/>
          <w:bCs/>
        </w:rPr>
        <w:t>Posterior Returns</w:t>
      </w:r>
      <w:r w:rsidRPr="0012028F">
        <w:t>. These posterior returns, which now reflect both market data and our specific insights, are then used in an optimization process to maximize the Sharpe Ratio, yielding the final portfolio weights.</w:t>
      </w:r>
    </w:p>
    <w:p w14:paraId="5F7D2E4A" w14:textId="77777777" w:rsidR="00537B2F" w:rsidRPr="00537B2F" w:rsidRDefault="00537B2F" w:rsidP="00537B2F">
      <w:pPr>
        <w:rPr>
          <w:b/>
          <w:bCs/>
        </w:rPr>
      </w:pPr>
      <w:r w:rsidRPr="00537B2F">
        <w:rPr>
          <w:b/>
          <w:bCs/>
        </w:rPr>
        <w:t>1.4. Strengths and Limitations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2"/>
        <w:gridCol w:w="4578"/>
      </w:tblGrid>
      <w:tr w:rsidR="00537B2F" w:rsidRPr="00537B2F" w14:paraId="493A1DFC" w14:textId="77777777" w:rsidTr="00537B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5C18B" w14:textId="3A5C3F0E" w:rsidR="00537B2F" w:rsidRPr="00537B2F" w:rsidRDefault="00537B2F" w:rsidP="00537B2F">
            <w:pPr>
              <w:rPr>
                <w:b/>
                <w:bCs/>
              </w:rPr>
            </w:pPr>
            <w:r w:rsidRPr="00537B2F">
              <w:rPr>
                <w:b/>
                <w:bCs/>
              </w:rPr>
              <w:t xml:space="preserve">Strengths </w:t>
            </w:r>
          </w:p>
        </w:tc>
        <w:tc>
          <w:tcPr>
            <w:tcW w:w="0" w:type="auto"/>
            <w:vAlign w:val="center"/>
            <w:hideMark/>
          </w:tcPr>
          <w:p w14:paraId="3ABEEA95" w14:textId="7FEBC1C4" w:rsidR="00537B2F" w:rsidRPr="00537B2F" w:rsidRDefault="00537B2F" w:rsidP="00537B2F">
            <w:pPr>
              <w:rPr>
                <w:b/>
                <w:bCs/>
              </w:rPr>
            </w:pPr>
            <w:r w:rsidRPr="00537B2F">
              <w:rPr>
                <w:b/>
                <w:bCs/>
              </w:rPr>
              <w:t xml:space="preserve">Limitations </w:t>
            </w:r>
          </w:p>
        </w:tc>
      </w:tr>
      <w:tr w:rsidR="00537B2F" w:rsidRPr="00537B2F" w14:paraId="4BA6BAC8" w14:textId="77777777" w:rsidTr="00537B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D2DCE" w14:textId="77777777" w:rsidR="00537B2F" w:rsidRPr="00537B2F" w:rsidRDefault="00537B2F" w:rsidP="00537B2F">
            <w:r w:rsidRPr="00537B2F">
              <w:rPr>
                <w:b/>
                <w:bCs/>
              </w:rPr>
              <w:lastRenderedPageBreak/>
              <w:t>Intuitive and Stable:</w:t>
            </w:r>
            <w:r w:rsidRPr="00537B2F">
              <w:t xml:space="preserve"> Produces more diversified and less concentrated weights than traditional MVO.</w:t>
            </w:r>
          </w:p>
        </w:tc>
        <w:tc>
          <w:tcPr>
            <w:tcW w:w="0" w:type="auto"/>
            <w:vAlign w:val="center"/>
            <w:hideMark/>
          </w:tcPr>
          <w:p w14:paraId="09F308D6" w14:textId="77777777" w:rsidR="00537B2F" w:rsidRPr="00537B2F" w:rsidRDefault="00537B2F" w:rsidP="00537B2F">
            <w:r w:rsidRPr="00537B2F">
              <w:rPr>
                <w:b/>
                <w:bCs/>
              </w:rPr>
              <w:t>Subjectivity of Views:</w:t>
            </w:r>
            <w:r w:rsidRPr="00537B2F">
              <w:t xml:space="preserve"> The model's output is highly dependent on the quality and formulation of investor views.</w:t>
            </w:r>
          </w:p>
        </w:tc>
      </w:tr>
      <w:tr w:rsidR="00537B2F" w:rsidRPr="00537B2F" w14:paraId="41DF1265" w14:textId="77777777" w:rsidTr="00537B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8579B" w14:textId="77777777" w:rsidR="00537B2F" w:rsidRPr="00537B2F" w:rsidRDefault="00537B2F" w:rsidP="00537B2F">
            <w:r w:rsidRPr="00537B2F">
              <w:rPr>
                <w:b/>
                <w:bCs/>
              </w:rPr>
              <w:t>Blends Subjective and Objective Data:</w:t>
            </w:r>
            <w:r w:rsidRPr="00537B2F">
              <w:t xml:space="preserve"> Formally combines an investor's unique insights with objective market data.</w:t>
            </w:r>
          </w:p>
        </w:tc>
        <w:tc>
          <w:tcPr>
            <w:tcW w:w="0" w:type="auto"/>
            <w:vAlign w:val="center"/>
            <w:hideMark/>
          </w:tcPr>
          <w:p w14:paraId="1625C40E" w14:textId="77777777" w:rsidR="00537B2F" w:rsidRPr="00537B2F" w:rsidRDefault="00537B2F" w:rsidP="00537B2F">
            <w:r w:rsidRPr="00537B2F">
              <w:rPr>
                <w:b/>
                <w:bCs/>
              </w:rPr>
              <w:t>Parameter Sensitivity:</w:t>
            </w:r>
            <w:r w:rsidRPr="00537B2F">
              <w:t xml:space="preserve"> Results can be sensitive to the confidence parameter (</w:t>
            </w:r>
            <w:r w:rsidRPr="00537B2F">
              <w:rPr>
                <w:b/>
                <w:bCs/>
              </w:rPr>
              <w:t>τ</w:t>
            </w:r>
            <w:r w:rsidRPr="00537B2F">
              <w:t>) and risk-aversion (</w:t>
            </w:r>
            <w:r w:rsidRPr="00537B2F">
              <w:rPr>
                <w:b/>
                <w:bCs/>
              </w:rPr>
              <w:t>δ</w:t>
            </w:r>
            <w:r w:rsidRPr="00537B2F">
              <w:t>).</w:t>
            </w:r>
          </w:p>
        </w:tc>
      </w:tr>
      <w:tr w:rsidR="00537B2F" w:rsidRPr="00537B2F" w14:paraId="1F9B4EAC" w14:textId="77777777" w:rsidTr="00537B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18735" w14:textId="77777777" w:rsidR="00537B2F" w:rsidRPr="00537B2F" w:rsidRDefault="00537B2F" w:rsidP="00537B2F">
            <w:r w:rsidRPr="00537B2F">
              <w:rPr>
                <w:b/>
                <w:bCs/>
              </w:rPr>
              <w:t>Flexible Framework:</w:t>
            </w:r>
            <w:r w:rsidRPr="00537B2F">
              <w:t xml:space="preserve"> Can incorporate a wide range of absolute or relative views across multiple assets.</w:t>
            </w:r>
          </w:p>
        </w:tc>
        <w:tc>
          <w:tcPr>
            <w:tcW w:w="0" w:type="auto"/>
            <w:vAlign w:val="center"/>
            <w:hideMark/>
          </w:tcPr>
          <w:p w14:paraId="723CBFE9" w14:textId="77777777" w:rsidR="00537B2F" w:rsidRPr="00537B2F" w:rsidRDefault="00537B2F" w:rsidP="00537B2F">
            <w:r w:rsidRPr="00537B2F">
              <w:rPr>
                <w:b/>
                <w:bCs/>
              </w:rPr>
              <w:t>Assumes Normality:</w:t>
            </w:r>
            <w:r w:rsidRPr="00537B2F">
              <w:t xml:space="preserve"> Relies on the assumption that asset returns are normally distributed.</w:t>
            </w:r>
          </w:p>
        </w:tc>
      </w:tr>
    </w:tbl>
    <w:p w14:paraId="5E312DCA" w14:textId="77777777" w:rsidR="00537B2F" w:rsidRPr="00537B2F" w:rsidRDefault="00000000" w:rsidP="00537B2F">
      <w:r>
        <w:pict w14:anchorId="2D868621">
          <v:rect id="_x0000_i1025" style="width:0;height:1.5pt" o:hralign="center" o:hrstd="t" o:hr="t" fillcolor="#a0a0a0" stroked="f"/>
        </w:pict>
      </w:r>
    </w:p>
    <w:p w14:paraId="1FB68EDA" w14:textId="77777777" w:rsidR="00537B2F" w:rsidRPr="00537B2F" w:rsidRDefault="00537B2F" w:rsidP="00537B2F">
      <w:pPr>
        <w:rPr>
          <w:b/>
          <w:bCs/>
        </w:rPr>
      </w:pPr>
      <w:r w:rsidRPr="00537B2F">
        <w:rPr>
          <w:b/>
          <w:bCs/>
        </w:rPr>
        <w:t>2. Interpretation of Results</w:t>
      </w:r>
    </w:p>
    <w:p w14:paraId="39930D53" w14:textId="77777777" w:rsidR="00537B2F" w:rsidRPr="00537B2F" w:rsidRDefault="00537B2F" w:rsidP="00537B2F">
      <w:r w:rsidRPr="00537B2F">
        <w:t xml:space="preserve">The model was implemented via a </w:t>
      </w:r>
      <w:r w:rsidRPr="00537B2F">
        <w:rPr>
          <w:b/>
          <w:bCs/>
        </w:rPr>
        <w:t>rolling-window backtest</w:t>
      </w:r>
      <w:r w:rsidRPr="00537B2F">
        <w:t xml:space="preserve"> to assess its out-of-sample performance, a bonus objective. The resulting portfolio was compared against a simple </w:t>
      </w:r>
      <w:r w:rsidRPr="00537B2F">
        <w:rPr>
          <w:b/>
          <w:bCs/>
        </w:rPr>
        <w:t>Equal-Weighted (EW) portfolio</w:t>
      </w:r>
      <w:r w:rsidRPr="00537B2F">
        <w:t>.</w:t>
      </w:r>
    </w:p>
    <w:p w14:paraId="5972F19B" w14:textId="77777777" w:rsidR="00537B2F" w:rsidRPr="00537B2F" w:rsidRDefault="00537B2F" w:rsidP="00537B2F">
      <w:pPr>
        <w:rPr>
          <w:b/>
          <w:bCs/>
        </w:rPr>
      </w:pPr>
      <w:r w:rsidRPr="00537B2F">
        <w:rPr>
          <w:b/>
          <w:bCs/>
        </w:rPr>
        <w:t>2.1. Performance Summary</w:t>
      </w:r>
    </w:p>
    <w:p w14:paraId="29ABB9F3" w14:textId="77777777" w:rsidR="00537B2F" w:rsidRPr="00537B2F" w:rsidRDefault="00537B2F" w:rsidP="00537B2F">
      <w:r w:rsidRPr="00537B2F">
        <w:t>The performance metrics clearly indicate the superiority of the Black-Litterman strategy over the naive benchmark during the backtest period.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1617"/>
        <w:gridCol w:w="1656"/>
      </w:tblGrid>
      <w:tr w:rsidR="00537B2F" w:rsidRPr="00537B2F" w14:paraId="0CFF9FDD" w14:textId="77777777" w:rsidTr="00537B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975AC" w14:textId="77777777" w:rsidR="00537B2F" w:rsidRPr="00537B2F" w:rsidRDefault="00537B2F" w:rsidP="00537B2F">
            <w:pPr>
              <w:rPr>
                <w:b/>
                <w:bCs/>
              </w:rPr>
            </w:pPr>
            <w:r w:rsidRPr="00537B2F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1F40B85" w14:textId="77777777" w:rsidR="00537B2F" w:rsidRPr="00537B2F" w:rsidRDefault="00537B2F" w:rsidP="00537B2F">
            <w:pPr>
              <w:rPr>
                <w:b/>
                <w:bCs/>
              </w:rPr>
            </w:pPr>
            <w:r w:rsidRPr="00537B2F">
              <w:rPr>
                <w:b/>
                <w:bCs/>
              </w:rPr>
              <w:t>Black-Litterman</w:t>
            </w:r>
          </w:p>
        </w:tc>
        <w:tc>
          <w:tcPr>
            <w:tcW w:w="0" w:type="auto"/>
            <w:vAlign w:val="center"/>
            <w:hideMark/>
          </w:tcPr>
          <w:p w14:paraId="1A6AC476" w14:textId="77777777" w:rsidR="00537B2F" w:rsidRPr="00537B2F" w:rsidRDefault="00537B2F" w:rsidP="00537B2F">
            <w:pPr>
              <w:rPr>
                <w:b/>
                <w:bCs/>
              </w:rPr>
            </w:pPr>
            <w:r w:rsidRPr="00537B2F">
              <w:rPr>
                <w:b/>
                <w:bCs/>
              </w:rPr>
              <w:t>Equal-Weighted</w:t>
            </w:r>
          </w:p>
        </w:tc>
      </w:tr>
      <w:tr w:rsidR="00537B2F" w:rsidRPr="00537B2F" w14:paraId="13464C68" w14:textId="77777777" w:rsidTr="00537B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48F37" w14:textId="77777777" w:rsidR="00537B2F" w:rsidRPr="00537B2F" w:rsidRDefault="00537B2F" w:rsidP="00537B2F">
            <w:r w:rsidRPr="00537B2F">
              <w:rPr>
                <w:b/>
                <w:bCs/>
              </w:rPr>
              <w:t>Annualized Return</w:t>
            </w:r>
          </w:p>
        </w:tc>
        <w:tc>
          <w:tcPr>
            <w:tcW w:w="0" w:type="auto"/>
            <w:vAlign w:val="center"/>
            <w:hideMark/>
          </w:tcPr>
          <w:p w14:paraId="55171815" w14:textId="11C9A96F" w:rsidR="00537B2F" w:rsidRPr="00537B2F" w:rsidRDefault="00537B2F" w:rsidP="00537B2F">
            <w:r w:rsidRPr="00537B2F">
              <w:t>1</w:t>
            </w:r>
            <w:r w:rsidR="001F2112">
              <w:t>4.09</w:t>
            </w:r>
            <w:r w:rsidRPr="00537B2F">
              <w:t>%</w:t>
            </w:r>
          </w:p>
        </w:tc>
        <w:tc>
          <w:tcPr>
            <w:tcW w:w="0" w:type="auto"/>
            <w:vAlign w:val="center"/>
            <w:hideMark/>
          </w:tcPr>
          <w:p w14:paraId="7203B511" w14:textId="37010C1F" w:rsidR="00537B2F" w:rsidRPr="00537B2F" w:rsidRDefault="00537B2F" w:rsidP="00537B2F">
            <w:r w:rsidRPr="00537B2F">
              <w:t>1</w:t>
            </w:r>
            <w:r w:rsidR="001F2112">
              <w:t>2</w:t>
            </w:r>
            <w:r w:rsidRPr="00537B2F">
              <w:t>.</w:t>
            </w:r>
            <w:r w:rsidR="001F2112">
              <w:t>62</w:t>
            </w:r>
            <w:r w:rsidRPr="00537B2F">
              <w:t>%</w:t>
            </w:r>
          </w:p>
        </w:tc>
      </w:tr>
      <w:tr w:rsidR="00537B2F" w:rsidRPr="00537B2F" w14:paraId="4AE9327F" w14:textId="77777777" w:rsidTr="00537B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DF5BF" w14:textId="77777777" w:rsidR="00537B2F" w:rsidRPr="00537B2F" w:rsidRDefault="00537B2F" w:rsidP="00537B2F">
            <w:r w:rsidRPr="00537B2F">
              <w:rPr>
                <w:b/>
                <w:bCs/>
              </w:rPr>
              <w:t>Annualized Volatility</w:t>
            </w:r>
          </w:p>
        </w:tc>
        <w:tc>
          <w:tcPr>
            <w:tcW w:w="0" w:type="auto"/>
            <w:vAlign w:val="center"/>
            <w:hideMark/>
          </w:tcPr>
          <w:p w14:paraId="65F94A32" w14:textId="0380174C" w:rsidR="00537B2F" w:rsidRPr="00537B2F" w:rsidRDefault="001F2112" w:rsidP="00537B2F">
            <w:r>
              <w:t>17.37</w:t>
            </w:r>
            <w:r w:rsidR="00537B2F" w:rsidRPr="00537B2F">
              <w:t>%</w:t>
            </w:r>
          </w:p>
        </w:tc>
        <w:tc>
          <w:tcPr>
            <w:tcW w:w="0" w:type="auto"/>
            <w:vAlign w:val="center"/>
            <w:hideMark/>
          </w:tcPr>
          <w:p w14:paraId="27A047A4" w14:textId="3391BCC8" w:rsidR="00537B2F" w:rsidRPr="00537B2F" w:rsidRDefault="00537B2F" w:rsidP="00537B2F">
            <w:r w:rsidRPr="00537B2F">
              <w:t>1</w:t>
            </w:r>
            <w:r w:rsidR="001F2112">
              <w:t>9.09</w:t>
            </w:r>
            <w:r w:rsidRPr="00537B2F">
              <w:t>%</w:t>
            </w:r>
          </w:p>
        </w:tc>
      </w:tr>
      <w:tr w:rsidR="00537B2F" w:rsidRPr="00537B2F" w14:paraId="5DB1B4B8" w14:textId="77777777" w:rsidTr="00537B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31CC2" w14:textId="77777777" w:rsidR="00537B2F" w:rsidRPr="00537B2F" w:rsidRDefault="00537B2F" w:rsidP="00537B2F">
            <w:r w:rsidRPr="00537B2F">
              <w:rPr>
                <w:b/>
                <w:bCs/>
              </w:rPr>
              <w:t>Sharpe Ratio</w:t>
            </w:r>
          </w:p>
        </w:tc>
        <w:tc>
          <w:tcPr>
            <w:tcW w:w="0" w:type="auto"/>
            <w:vAlign w:val="center"/>
            <w:hideMark/>
          </w:tcPr>
          <w:p w14:paraId="7CB32A85" w14:textId="56654476" w:rsidR="00537B2F" w:rsidRPr="00537B2F" w:rsidRDefault="001F2112" w:rsidP="00537B2F">
            <w:r>
              <w:t>.6964</w:t>
            </w:r>
          </w:p>
        </w:tc>
        <w:tc>
          <w:tcPr>
            <w:tcW w:w="0" w:type="auto"/>
            <w:vAlign w:val="center"/>
            <w:hideMark/>
          </w:tcPr>
          <w:p w14:paraId="00732DD3" w14:textId="79309274" w:rsidR="00537B2F" w:rsidRPr="00537B2F" w:rsidRDefault="00537B2F" w:rsidP="00537B2F">
            <w:r w:rsidRPr="00537B2F">
              <w:t>0.5</w:t>
            </w:r>
            <w:r w:rsidR="001F2112">
              <w:t>563</w:t>
            </w:r>
          </w:p>
        </w:tc>
      </w:tr>
      <w:tr w:rsidR="00537B2F" w:rsidRPr="00537B2F" w14:paraId="5F5C4424" w14:textId="77777777" w:rsidTr="00537B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ED21D" w14:textId="77777777" w:rsidR="00537B2F" w:rsidRPr="00537B2F" w:rsidRDefault="00537B2F" w:rsidP="00537B2F">
            <w:r w:rsidRPr="00537B2F">
              <w:rPr>
                <w:b/>
                <w:bCs/>
              </w:rPr>
              <w:t>Max Drawdown</w:t>
            </w:r>
          </w:p>
        </w:tc>
        <w:tc>
          <w:tcPr>
            <w:tcW w:w="0" w:type="auto"/>
            <w:vAlign w:val="center"/>
            <w:hideMark/>
          </w:tcPr>
          <w:p w14:paraId="077F4442" w14:textId="34F4A55C" w:rsidR="00537B2F" w:rsidRPr="00537B2F" w:rsidRDefault="00537B2F" w:rsidP="00537B2F">
            <w:r w:rsidRPr="00537B2F">
              <w:t>-</w:t>
            </w:r>
            <w:r w:rsidR="001F2112">
              <w:t>60</w:t>
            </w:r>
            <w:r w:rsidRPr="00537B2F">
              <w:t>.</w:t>
            </w:r>
            <w:r w:rsidR="001F2112">
              <w:t>8</w:t>
            </w:r>
            <w:r w:rsidRPr="00537B2F">
              <w:t>1%</w:t>
            </w:r>
          </w:p>
        </w:tc>
        <w:tc>
          <w:tcPr>
            <w:tcW w:w="0" w:type="auto"/>
            <w:vAlign w:val="center"/>
            <w:hideMark/>
          </w:tcPr>
          <w:p w14:paraId="386A416A" w14:textId="6128D20A" w:rsidR="00537B2F" w:rsidRPr="00537B2F" w:rsidRDefault="00537B2F" w:rsidP="00537B2F">
            <w:r w:rsidRPr="00537B2F">
              <w:t>-</w:t>
            </w:r>
            <w:r w:rsidR="001F2112">
              <w:t>64.47</w:t>
            </w:r>
            <w:r w:rsidRPr="00537B2F">
              <w:t>%</w:t>
            </w:r>
          </w:p>
        </w:tc>
      </w:tr>
    </w:tbl>
    <w:p w14:paraId="61DD59B1" w14:textId="77777777" w:rsidR="00537B2F" w:rsidRDefault="00537B2F" w:rsidP="00537B2F">
      <w:r w:rsidRPr="00537B2F">
        <w:t xml:space="preserve">The Black-Litterman portfolio not only generated a </w:t>
      </w:r>
      <w:r w:rsidRPr="00537B2F">
        <w:rPr>
          <w:b/>
          <w:bCs/>
        </w:rPr>
        <w:t>higher annualized return</w:t>
      </w:r>
      <w:r w:rsidRPr="00537B2F">
        <w:t xml:space="preserve"> but did so with </w:t>
      </w:r>
      <w:r w:rsidRPr="00537B2F">
        <w:rPr>
          <w:b/>
          <w:bCs/>
        </w:rPr>
        <w:t>lower volatility</w:t>
      </w:r>
      <w:r w:rsidRPr="00537B2F">
        <w:t xml:space="preserve">, resulting in a significantly better risk-adjusted return, as shown by the </w:t>
      </w:r>
      <w:r w:rsidRPr="00537B2F">
        <w:rPr>
          <w:b/>
          <w:bCs/>
        </w:rPr>
        <w:t>higher Sharpe Ratio</w:t>
      </w:r>
      <w:r w:rsidRPr="00537B2F">
        <w:t xml:space="preserve">. It also demonstrated better capital preservation by having a smaller </w:t>
      </w:r>
      <w:r w:rsidRPr="00537B2F">
        <w:rPr>
          <w:b/>
          <w:bCs/>
        </w:rPr>
        <w:t>maximum drawdown</w:t>
      </w:r>
      <w:r w:rsidRPr="00537B2F">
        <w:t>.</w:t>
      </w:r>
    </w:p>
    <w:p w14:paraId="2B9F1F40" w14:textId="59572A0A" w:rsidR="001F2112" w:rsidRPr="00537B2F" w:rsidRDefault="001F2112" w:rsidP="00537B2F">
      <w:r w:rsidRPr="001F2112">
        <w:rPr>
          <w:noProof/>
        </w:rPr>
        <w:lastRenderedPageBreak/>
        <w:drawing>
          <wp:inline distT="0" distB="0" distL="0" distR="0" wp14:anchorId="7FF4A270" wp14:editId="2AAD5E9A">
            <wp:extent cx="5943600" cy="2938145"/>
            <wp:effectExtent l="0" t="0" r="0" b="0"/>
            <wp:docPr id="63963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31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EE73" w14:textId="132877D7" w:rsidR="001F2112" w:rsidRPr="00537B2F" w:rsidRDefault="00537B2F" w:rsidP="001F2112">
      <w:pPr>
        <w:rPr>
          <w:b/>
          <w:bCs/>
        </w:rPr>
      </w:pPr>
      <w:r w:rsidRPr="00537B2F">
        <w:rPr>
          <w:b/>
          <w:bCs/>
        </w:rPr>
        <w:t>2.2. Analysis of Visualizations</w:t>
      </w:r>
    </w:p>
    <w:p w14:paraId="1E76E5A9" w14:textId="77777777" w:rsidR="00537B2F" w:rsidRDefault="00537B2F" w:rsidP="00537B2F">
      <w:pPr>
        <w:numPr>
          <w:ilvl w:val="0"/>
          <w:numId w:val="7"/>
        </w:numPr>
      </w:pPr>
      <w:r w:rsidRPr="00537B2F">
        <w:rPr>
          <w:b/>
          <w:bCs/>
        </w:rPr>
        <w:t>Optimal Portfolio Weights (Last Rebalance Period):</w:t>
      </w:r>
      <w:r w:rsidRPr="00537B2F">
        <w:t xml:space="preserve"> The weights from the final period show a well-diversified portfolio. As expected, the </w:t>
      </w:r>
      <w:r w:rsidRPr="00537B2F">
        <w:rPr>
          <w:b/>
          <w:bCs/>
        </w:rPr>
        <w:t>'Hlth'</w:t>
      </w:r>
      <w:r w:rsidRPr="00537B2F">
        <w:t xml:space="preserve"> sector receives a significant allocation due to our strong positive view, but it is constrained by the 20% maximum weight rule to prevent over-concentration. Other industries with positive momentum or low volatility characteristics also receive notable allocations.</w:t>
      </w:r>
    </w:p>
    <w:p w14:paraId="5C41ACDA" w14:textId="7C63DE20" w:rsidR="001F2112" w:rsidRPr="00537B2F" w:rsidRDefault="001F2112" w:rsidP="001F2112">
      <w:pPr>
        <w:ind w:left="720"/>
      </w:pPr>
      <w:r w:rsidRPr="001F2112">
        <w:rPr>
          <w:noProof/>
        </w:rPr>
        <w:drawing>
          <wp:inline distT="0" distB="0" distL="0" distR="0" wp14:anchorId="1E4D77AD" wp14:editId="1CF4D9AD">
            <wp:extent cx="5151566" cy="2598645"/>
            <wp:effectExtent l="0" t="0" r="0" b="0"/>
            <wp:docPr id="19267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61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46B5" w14:textId="77777777" w:rsidR="00537B2F" w:rsidRDefault="00537B2F" w:rsidP="00537B2F">
      <w:pPr>
        <w:numPr>
          <w:ilvl w:val="0"/>
          <w:numId w:val="7"/>
        </w:numPr>
      </w:pPr>
      <w:r w:rsidRPr="00537B2F">
        <w:rPr>
          <w:b/>
          <w:bCs/>
        </w:rPr>
        <w:t>Implied vs. Posterior Expected Returns:</w:t>
      </w:r>
      <w:r w:rsidRPr="00537B2F">
        <w:t xml:space="preserve"> This chart is central to understanding the model's impact. It shows how our views adjusted the neutral market equilibrium returns. The expected return for </w:t>
      </w:r>
      <w:r w:rsidRPr="00537B2F">
        <w:rPr>
          <w:b/>
          <w:bCs/>
        </w:rPr>
        <w:t>'Hlth'</w:t>
      </w:r>
      <w:r w:rsidRPr="00537B2F">
        <w:t xml:space="preserve"> is visibly higher in the 'Posterior' bar compared to </w:t>
      </w:r>
      <w:r w:rsidRPr="00537B2F">
        <w:lastRenderedPageBreak/>
        <w:t>the 'Implied' bar. Similarly, the returns for assets in our factor portfolios were nudged up or down according to our momentum and low-volatility views.</w:t>
      </w:r>
    </w:p>
    <w:p w14:paraId="5498E6B7" w14:textId="170B23AE" w:rsidR="001F2112" w:rsidRPr="00537B2F" w:rsidRDefault="001F2112" w:rsidP="001F2112">
      <w:pPr>
        <w:ind w:left="720"/>
      </w:pPr>
      <w:r w:rsidRPr="001F2112">
        <w:rPr>
          <w:noProof/>
        </w:rPr>
        <w:drawing>
          <wp:inline distT="0" distB="0" distL="0" distR="0" wp14:anchorId="216498F6" wp14:editId="22B8B2E4">
            <wp:extent cx="5943600" cy="2764155"/>
            <wp:effectExtent l="0" t="0" r="0" b="0"/>
            <wp:docPr id="13038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65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5E14" w14:textId="7585F02E" w:rsidR="00537B2F" w:rsidRDefault="00537B2F" w:rsidP="00537B2F">
      <w:pPr>
        <w:numPr>
          <w:ilvl w:val="0"/>
          <w:numId w:val="7"/>
        </w:numPr>
        <w:pBdr>
          <w:bottom w:val="single" w:sz="6" w:space="1" w:color="auto"/>
        </w:pBdr>
      </w:pPr>
      <w:r w:rsidRPr="00537B2F">
        <w:rPr>
          <w:b/>
          <w:bCs/>
        </w:rPr>
        <w:t>Correlation Matrix:</w:t>
      </w:r>
      <w:r w:rsidRPr="00537B2F">
        <w:t xml:space="preserve"> The heatmap reveals that many of the 30 industries are moderately to highly correlated with each other. This </w:t>
      </w:r>
      <w:r w:rsidR="001B7AD2">
        <w:t xml:space="preserve">shows </w:t>
      </w:r>
      <w:r w:rsidRPr="00537B2F">
        <w:t xml:space="preserve"> the need for a robust optimization model like Black-Litterman that considers the covariance structure to achieve effective diversification, rather than relying on naive allocations</w:t>
      </w:r>
      <w:r w:rsidR="001B7AD2">
        <w:t xml:space="preserve"> like cap weighted indexes which lack diversity and factor exposure</w:t>
      </w:r>
      <w:r w:rsidRPr="00537B2F">
        <w:t>.</w:t>
      </w:r>
    </w:p>
    <w:p w14:paraId="6DD9C3FA" w14:textId="2CB7F3E8" w:rsidR="001F2112" w:rsidRDefault="001F2112" w:rsidP="00931BB7">
      <w:pPr>
        <w:pBdr>
          <w:bottom w:val="single" w:sz="6" w:space="1" w:color="auto"/>
        </w:pBdr>
        <w:ind w:left="360"/>
      </w:pPr>
      <w:r w:rsidRPr="001F2112">
        <w:rPr>
          <w:noProof/>
        </w:rPr>
        <w:drawing>
          <wp:inline distT="0" distB="0" distL="0" distR="0" wp14:anchorId="2814E2B9" wp14:editId="39D9F6D4">
            <wp:extent cx="4248150" cy="2780665"/>
            <wp:effectExtent l="0" t="0" r="0" b="635"/>
            <wp:docPr id="55211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16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3631" cy="279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5AB9" w14:textId="21F1BDC5" w:rsidR="00931BB7" w:rsidRPr="00931BB7" w:rsidRDefault="00931BB7" w:rsidP="00931BB7">
      <w:pPr>
        <w:pBdr>
          <w:bottom w:val="single" w:sz="6" w:space="1" w:color="auto"/>
        </w:pBdr>
        <w:ind w:left="360"/>
      </w:pPr>
    </w:p>
    <w:p w14:paraId="73EAD0DE" w14:textId="757A6EB1" w:rsidR="00931BB7" w:rsidRDefault="0012028F" w:rsidP="0012028F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 w:rsidRPr="0012028F">
        <w:rPr>
          <w:b/>
          <w:bCs/>
        </w:rPr>
        <w:lastRenderedPageBreak/>
        <w:t>Cumulative Returns (Equity Curve):</w:t>
      </w:r>
      <w:r w:rsidRPr="00931BB7">
        <w:t xml:space="preserve"> The equity curve visually confirms the performance metrics. The Black-Litterman portfolio's growth curve  </w:t>
      </w:r>
      <w:r w:rsidR="001B7AD2" w:rsidRPr="00931BB7">
        <w:t xml:space="preserve">consistently </w:t>
      </w:r>
      <w:r w:rsidR="001B7AD2">
        <w:t xml:space="preserve">outperforms </w:t>
      </w:r>
      <w:r w:rsidRPr="00931BB7">
        <w:t>the Equal-Weighted portfolio over the entire backtest</w:t>
      </w:r>
      <w:r w:rsidR="001B7AD2">
        <w:t xml:space="preserve"> region</w:t>
      </w:r>
      <w:r w:rsidRPr="00931BB7">
        <w:t>.</w:t>
      </w:r>
    </w:p>
    <w:p w14:paraId="44D8D553" w14:textId="5CEFC001" w:rsidR="00367A29" w:rsidRDefault="00931BB7" w:rsidP="001F2112">
      <w:pPr>
        <w:pBdr>
          <w:bottom w:val="single" w:sz="6" w:space="1" w:color="auto"/>
        </w:pBdr>
        <w:ind w:left="360"/>
      </w:pPr>
      <w:r w:rsidRPr="001F2112">
        <w:rPr>
          <w:noProof/>
        </w:rPr>
        <w:drawing>
          <wp:inline distT="0" distB="0" distL="0" distR="0" wp14:anchorId="74A5D5A1" wp14:editId="16B3D3E0">
            <wp:extent cx="5943600" cy="2938145"/>
            <wp:effectExtent l="0" t="0" r="0" b="0"/>
            <wp:docPr id="161179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31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9ECB" w14:textId="77777777" w:rsidR="001F2112" w:rsidRDefault="001F2112" w:rsidP="001F2112">
      <w:pPr>
        <w:pBdr>
          <w:bottom w:val="single" w:sz="6" w:space="1" w:color="auto"/>
        </w:pBdr>
        <w:ind w:left="360"/>
      </w:pPr>
    </w:p>
    <w:p w14:paraId="517CC346" w14:textId="77777777" w:rsidR="001F2112" w:rsidRDefault="001F2112" w:rsidP="001F2112">
      <w:pPr>
        <w:pBdr>
          <w:bottom w:val="single" w:sz="6" w:space="1" w:color="auto"/>
        </w:pBdr>
        <w:ind w:left="360"/>
      </w:pPr>
    </w:p>
    <w:p w14:paraId="4422E9F5" w14:textId="77777777" w:rsidR="00537B2F" w:rsidRDefault="00537B2F" w:rsidP="00537B2F">
      <w:pPr>
        <w:pBdr>
          <w:bottom w:val="single" w:sz="6" w:space="1" w:color="auto"/>
        </w:pBdr>
        <w:ind w:left="360"/>
      </w:pPr>
    </w:p>
    <w:p w14:paraId="3E74E28A" w14:textId="77777777" w:rsidR="00537B2F" w:rsidRDefault="00537B2F" w:rsidP="00537B2F"/>
    <w:p w14:paraId="720A05FD" w14:textId="77777777" w:rsidR="00537B2F" w:rsidRPr="00537B2F" w:rsidRDefault="00537B2F" w:rsidP="00537B2F">
      <w:pPr>
        <w:rPr>
          <w:b/>
          <w:bCs/>
        </w:rPr>
      </w:pPr>
      <w:r w:rsidRPr="00537B2F">
        <w:rPr>
          <w:b/>
          <w:bCs/>
        </w:rPr>
        <w:t>3. Limitations and Potential Improvements</w:t>
      </w:r>
    </w:p>
    <w:p w14:paraId="0594B160" w14:textId="77777777" w:rsidR="00537B2F" w:rsidRPr="00537B2F" w:rsidRDefault="00537B2F" w:rsidP="00537B2F">
      <w:r w:rsidRPr="00537B2F">
        <w:t>While the implemented strategy was successful, several limitations and areas for improvement exist:</w:t>
      </w:r>
    </w:p>
    <w:p w14:paraId="34656A18" w14:textId="77777777" w:rsidR="00537B2F" w:rsidRPr="00537B2F" w:rsidRDefault="00537B2F" w:rsidP="00537B2F">
      <w:pPr>
        <w:numPr>
          <w:ilvl w:val="0"/>
          <w:numId w:val="4"/>
        </w:numPr>
      </w:pPr>
      <w:r w:rsidRPr="00537B2F">
        <w:rPr>
          <w:b/>
          <w:bCs/>
        </w:rPr>
        <w:t>Transaction Costs:</w:t>
      </w:r>
      <w:r w:rsidRPr="00537B2F">
        <w:t xml:space="preserve"> The backtest did not account for transaction costs, commissions, or bid-ask spreads. Including these would slightly reduce the reported performance but provide a more realistic outcome.</w:t>
      </w:r>
    </w:p>
    <w:p w14:paraId="31A3F9BB" w14:textId="77777777" w:rsidR="00537B2F" w:rsidRPr="00537B2F" w:rsidRDefault="00537B2F" w:rsidP="00537B2F">
      <w:pPr>
        <w:numPr>
          <w:ilvl w:val="0"/>
          <w:numId w:val="4"/>
        </w:numPr>
      </w:pPr>
      <w:r w:rsidRPr="00537B2F">
        <w:rPr>
          <w:b/>
          <w:bCs/>
        </w:rPr>
        <w:t>View and Parameter Calibration:</w:t>
      </w:r>
      <w:r w:rsidRPr="00537B2F">
        <w:t xml:space="preserve"> The views and model parameters (τ and δ) were chosen for illustrative purposes. A more rigorous implementation would involve deeper fundamental research to formulate views and historical analysis to calibrate the confidence and risk-aversion parameters.</w:t>
      </w:r>
    </w:p>
    <w:p w14:paraId="7AB03AB2" w14:textId="77777777" w:rsidR="00537B2F" w:rsidRPr="00537B2F" w:rsidRDefault="00537B2F" w:rsidP="00537B2F">
      <w:pPr>
        <w:numPr>
          <w:ilvl w:val="0"/>
          <w:numId w:val="4"/>
        </w:numPr>
      </w:pPr>
      <w:r w:rsidRPr="00537B2F">
        <w:rPr>
          <w:b/>
          <w:bCs/>
        </w:rPr>
        <w:lastRenderedPageBreak/>
        <w:t>Static Views:</w:t>
      </w:r>
      <w:r w:rsidRPr="00537B2F">
        <w:t xml:space="preserve"> The absolute view on the 'Hlth' sector was held constant. A more advanced strategy could make this view dynamic based on changing economic conditions or industry-specific news.</w:t>
      </w:r>
    </w:p>
    <w:p w14:paraId="5781215B" w14:textId="77777777" w:rsidR="00931BB7" w:rsidRDefault="00537B2F" w:rsidP="00537B2F">
      <w:pPr>
        <w:numPr>
          <w:ilvl w:val="0"/>
          <w:numId w:val="4"/>
        </w:numPr>
      </w:pPr>
      <w:r w:rsidRPr="00537B2F">
        <w:rPr>
          <w:b/>
          <w:bCs/>
        </w:rPr>
        <w:t>Risk Model:</w:t>
      </w:r>
      <w:r w:rsidRPr="00537B2F">
        <w:t xml:space="preserve"> The model relies on a historical covariance matrix and assumes normal returns. In periods of market stress, correlations can change dramatically, and returns </w:t>
      </w:r>
    </w:p>
    <w:p w14:paraId="55C8AE9B" w14:textId="5E114496" w:rsidR="00537B2F" w:rsidRDefault="00537B2F" w:rsidP="00931BB7">
      <w:pPr>
        <w:ind w:left="720"/>
      </w:pPr>
      <w:r w:rsidRPr="00537B2F">
        <w:t>can exhibit "fat tails." Future work could explore more robust risk models, such as using an exponentially weighted covariance matrix or incorporating non-normal distribution assumptions.</w:t>
      </w:r>
    </w:p>
    <w:p w14:paraId="0D940019" w14:textId="61E0D69E" w:rsidR="00931BB7" w:rsidRDefault="00931BB7" w:rsidP="00931BB7">
      <w:pPr>
        <w:pStyle w:val="ListParagraph"/>
        <w:numPr>
          <w:ilvl w:val="0"/>
          <w:numId w:val="4"/>
        </w:numPr>
      </w:pPr>
      <w:r w:rsidRPr="00931BB7">
        <w:rPr>
          <w:b/>
          <w:bCs/>
        </w:rPr>
        <w:t>View Complexity</w:t>
      </w:r>
      <w:r w:rsidRPr="00931BB7">
        <w:t xml:space="preserve">: The factor views are based on simple quantile sorting. </w:t>
      </w:r>
      <w:r w:rsidRPr="00931BB7">
        <w:rPr>
          <w:b/>
          <w:bCs/>
        </w:rPr>
        <w:t>Improvement</w:t>
      </w:r>
      <w:r w:rsidRPr="00931BB7">
        <w:t>: Develop more sophisticated factor definitions or incorporate macroeconomic data to formulate more nuanced views</w:t>
      </w:r>
    </w:p>
    <w:p w14:paraId="4D2F666E" w14:textId="77777777" w:rsidR="00631292" w:rsidRDefault="00631292" w:rsidP="00631292">
      <w:pPr>
        <w:ind w:left="360"/>
      </w:pPr>
    </w:p>
    <w:p w14:paraId="7C3075C2" w14:textId="16916597" w:rsidR="00631292" w:rsidRDefault="00631292" w:rsidP="00631292">
      <w:pPr>
        <w:ind w:left="360"/>
      </w:pPr>
      <w:r w:rsidRPr="00631292">
        <w:t>In summary, the backtest results and visualizations provide compelling evidence that the Black-Litterman model, by systematically incorporating informed views, created a more robust and profitable portfolio than a naive diversification strategy</w:t>
      </w:r>
      <w:r>
        <w:t xml:space="preserve"> like CAPM.</w:t>
      </w:r>
    </w:p>
    <w:p w14:paraId="4196FF58" w14:textId="0B82C5FC" w:rsidR="00C419F3" w:rsidRPr="00537B2F" w:rsidRDefault="00C419F3" w:rsidP="00631292">
      <w:pPr>
        <w:ind w:left="360"/>
      </w:pPr>
      <w:r w:rsidRPr="00C419F3">
        <w:rPr>
          <w:noProof/>
        </w:rPr>
        <w:drawing>
          <wp:inline distT="0" distB="0" distL="0" distR="0" wp14:anchorId="32F1FFEE" wp14:editId="08F42DD3">
            <wp:extent cx="4816257" cy="1539373"/>
            <wp:effectExtent l="0" t="0" r="3810" b="3810"/>
            <wp:docPr id="163653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307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CF91" w14:textId="77777777" w:rsidR="004A3464" w:rsidRDefault="004A3464" w:rsidP="00537B2F"/>
    <w:p w14:paraId="6CC4ED13" w14:textId="77777777" w:rsidR="007C1124" w:rsidRDefault="007C1124" w:rsidP="00537B2F"/>
    <w:p w14:paraId="6294F61C" w14:textId="77777777" w:rsidR="007C1124" w:rsidRDefault="007C1124" w:rsidP="00537B2F"/>
    <w:p w14:paraId="5E76C940" w14:textId="435005E8" w:rsidR="00083667" w:rsidRDefault="0012028F">
      <w:pPr>
        <w:rPr>
          <w:b/>
          <w:bCs/>
        </w:rPr>
      </w:pPr>
      <w:r>
        <w:rPr>
          <w:b/>
          <w:bCs/>
        </w:rPr>
        <w:t xml:space="preserve"> </w:t>
      </w:r>
      <w:r w:rsidR="007C1124">
        <w:rPr>
          <w:b/>
          <w:bCs/>
        </w:rPr>
        <w:t>Reference</w:t>
      </w:r>
      <w:r w:rsidR="001B7AD2">
        <w:rPr>
          <w:b/>
          <w:bCs/>
        </w:rPr>
        <w:t>s</w:t>
      </w:r>
      <w:r w:rsidR="007C1124">
        <w:rPr>
          <w:b/>
          <w:bCs/>
        </w:rPr>
        <w:t>:</w:t>
      </w:r>
    </w:p>
    <w:p w14:paraId="2ABB6D62" w14:textId="4C7C82EE" w:rsidR="007C1124" w:rsidRDefault="007C1124" w:rsidP="007C1124">
      <w:pPr>
        <w:rPr>
          <w:b/>
          <w:bCs/>
        </w:rPr>
      </w:pPr>
      <w:r w:rsidRPr="007C1124">
        <w:rPr>
          <w:b/>
          <w:bCs/>
        </w:rPr>
        <w:t xml:space="preserve">https://ssrn.com/abstract=334304 or </w:t>
      </w:r>
      <w:hyperlink r:id="rId10" w:history="1">
        <w:r w:rsidR="001B7AD2" w:rsidRPr="007A421B">
          <w:rPr>
            <w:rStyle w:val="Hyperlink"/>
            <w:b/>
            <w:bCs/>
          </w:rPr>
          <w:t>http://dx.doi.org/10.2139/ssrn.334304</w:t>
        </w:r>
      </w:hyperlink>
    </w:p>
    <w:p w14:paraId="3511CD0A" w14:textId="728F31A7" w:rsidR="001B7AD2" w:rsidRPr="007C1124" w:rsidRDefault="001B7AD2" w:rsidP="007C1124">
      <w:pPr>
        <w:rPr>
          <w:b/>
          <w:bCs/>
        </w:rPr>
      </w:pPr>
      <w:r w:rsidRPr="001B7AD2">
        <w:rPr>
          <w:b/>
          <w:bCs/>
        </w:rPr>
        <w:t>Introduction to Statistical Methods for Financial Models</w:t>
      </w:r>
      <w:r>
        <w:rPr>
          <w:b/>
          <w:bCs/>
        </w:rPr>
        <w:t>-Thomas A. Severini</w:t>
      </w:r>
    </w:p>
    <w:p w14:paraId="5036752F" w14:textId="77777777" w:rsidR="007C1124" w:rsidRDefault="007C1124">
      <w:pPr>
        <w:rPr>
          <w:b/>
          <w:bCs/>
        </w:rPr>
      </w:pPr>
    </w:p>
    <w:p w14:paraId="109DC21B" w14:textId="77777777" w:rsidR="00083667" w:rsidRDefault="00083667">
      <w:pPr>
        <w:rPr>
          <w:b/>
          <w:bCs/>
        </w:rPr>
      </w:pPr>
    </w:p>
    <w:p w14:paraId="2E4DFAD0" w14:textId="77777777" w:rsidR="00083667" w:rsidRDefault="00083667"/>
    <w:p w14:paraId="3F8F4A9C" w14:textId="77777777" w:rsidR="00083667" w:rsidRDefault="00083667"/>
    <w:sectPr w:rsidR="000836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15774"/>
    <w:multiLevelType w:val="multilevel"/>
    <w:tmpl w:val="A976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82250"/>
    <w:multiLevelType w:val="multilevel"/>
    <w:tmpl w:val="048A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74D45"/>
    <w:multiLevelType w:val="multilevel"/>
    <w:tmpl w:val="270E9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72714"/>
    <w:multiLevelType w:val="multilevel"/>
    <w:tmpl w:val="BB124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AF5DF3"/>
    <w:multiLevelType w:val="multilevel"/>
    <w:tmpl w:val="A976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815B9"/>
    <w:multiLevelType w:val="multilevel"/>
    <w:tmpl w:val="A976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E2DEF"/>
    <w:multiLevelType w:val="multilevel"/>
    <w:tmpl w:val="A976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A34FB"/>
    <w:multiLevelType w:val="multilevel"/>
    <w:tmpl w:val="A976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40249"/>
    <w:multiLevelType w:val="multilevel"/>
    <w:tmpl w:val="A976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C174EB"/>
    <w:multiLevelType w:val="multilevel"/>
    <w:tmpl w:val="4FE47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DB70B5"/>
    <w:multiLevelType w:val="multilevel"/>
    <w:tmpl w:val="A976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90636F"/>
    <w:multiLevelType w:val="multilevel"/>
    <w:tmpl w:val="A976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2D4CA8"/>
    <w:multiLevelType w:val="multilevel"/>
    <w:tmpl w:val="26B6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F11849"/>
    <w:multiLevelType w:val="hybridMultilevel"/>
    <w:tmpl w:val="BF48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91500"/>
    <w:multiLevelType w:val="multilevel"/>
    <w:tmpl w:val="A976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701669">
    <w:abstractNumId w:val="3"/>
  </w:num>
  <w:num w:numId="2" w16cid:durableId="1599679861">
    <w:abstractNumId w:val="12"/>
  </w:num>
  <w:num w:numId="3" w16cid:durableId="1292786973">
    <w:abstractNumId w:val="13"/>
  </w:num>
  <w:num w:numId="4" w16cid:durableId="1612931928">
    <w:abstractNumId w:val="2"/>
  </w:num>
  <w:num w:numId="5" w16cid:durableId="706182533">
    <w:abstractNumId w:val="9"/>
  </w:num>
  <w:num w:numId="6" w16cid:durableId="1326666103">
    <w:abstractNumId w:val="1"/>
  </w:num>
  <w:num w:numId="7" w16cid:durableId="1303464152">
    <w:abstractNumId w:val="14"/>
  </w:num>
  <w:num w:numId="8" w16cid:durableId="1928613754">
    <w:abstractNumId w:val="7"/>
  </w:num>
  <w:num w:numId="9" w16cid:durableId="94399099">
    <w:abstractNumId w:val="6"/>
  </w:num>
  <w:num w:numId="10" w16cid:durableId="98919722">
    <w:abstractNumId w:val="5"/>
  </w:num>
  <w:num w:numId="11" w16cid:durableId="1958221263">
    <w:abstractNumId w:val="4"/>
  </w:num>
  <w:num w:numId="12" w16cid:durableId="1629505865">
    <w:abstractNumId w:val="8"/>
  </w:num>
  <w:num w:numId="13" w16cid:durableId="791631013">
    <w:abstractNumId w:val="0"/>
  </w:num>
  <w:num w:numId="14" w16cid:durableId="1124152878">
    <w:abstractNumId w:val="10"/>
  </w:num>
  <w:num w:numId="15" w16cid:durableId="18458518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67"/>
    <w:rsid w:val="00083667"/>
    <w:rsid w:val="0012028F"/>
    <w:rsid w:val="001B7AD2"/>
    <w:rsid w:val="001F2112"/>
    <w:rsid w:val="0029333E"/>
    <w:rsid w:val="00313A75"/>
    <w:rsid w:val="00367A29"/>
    <w:rsid w:val="00443E31"/>
    <w:rsid w:val="004A3464"/>
    <w:rsid w:val="00537B2F"/>
    <w:rsid w:val="00631292"/>
    <w:rsid w:val="007127BA"/>
    <w:rsid w:val="007C1124"/>
    <w:rsid w:val="007D54BB"/>
    <w:rsid w:val="008248E5"/>
    <w:rsid w:val="00877425"/>
    <w:rsid w:val="00931BB7"/>
    <w:rsid w:val="00C419F3"/>
    <w:rsid w:val="00C464DD"/>
    <w:rsid w:val="00CB6149"/>
    <w:rsid w:val="00D9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3FCC"/>
  <w15:chartTrackingRefBased/>
  <w15:docId w15:val="{996E0E9B-8F4E-402C-9C4B-6672F1B9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6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6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6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3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6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6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6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6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6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6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66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7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A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8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6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03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0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7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5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3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7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5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6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34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2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dx.doi.org/10.2139/ssrn.33430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Aradhya Kaushik</dc:creator>
  <cp:keywords/>
  <dc:description/>
  <cp:lastModifiedBy>Aradhya Kaushik</cp:lastModifiedBy>
  <cp:revision>8</cp:revision>
  <dcterms:created xsi:type="dcterms:W3CDTF">2025-06-10T06:57:00Z</dcterms:created>
  <dcterms:modified xsi:type="dcterms:W3CDTF">2025-06-10T22:03:00Z</dcterms:modified>
</cp:coreProperties>
</file>