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EA9E" w14:textId="77777777" w:rsidR="00BF0076" w:rsidRPr="00BF0076" w:rsidRDefault="00BF0076" w:rsidP="00BF0076">
      <w:r w:rsidRPr="00BF0076">
        <w:rPr>
          <w:b/>
          <w:bCs/>
        </w:rPr>
        <w:t>Comprehensive Paper Structure: "Structural Inefficiencies and Liquidity Regimes in Emerging Markets: A Cross-Market Analysis"</w:t>
      </w:r>
    </w:p>
    <w:p w14:paraId="33557B3A" w14:textId="77777777" w:rsidR="00BF0076" w:rsidRPr="00BF0076" w:rsidRDefault="00BF0076" w:rsidP="00BF0076">
      <w:r w:rsidRPr="00BF0076">
        <w:t xml:space="preserve">To publish this seamlessly, you must transition from a series of individual experiments into a single, cohesive academic narrative. The core thesis of your paper should be the </w:t>
      </w:r>
      <w:r w:rsidRPr="00BF0076">
        <w:rPr>
          <w:b/>
          <w:bCs/>
        </w:rPr>
        <w:t>Unified Theory of the Liquidity Vacuum Mechanism</w:t>
      </w:r>
      <w:r w:rsidRPr="00BF0076">
        <w:t>. You will use the S&amp;P 500 (SPY) as the baseline for a highly efficient, continuous market and the NIFTY 500 as the laboratory for emerging market microstructure frictions.</w:t>
      </w:r>
    </w:p>
    <w:p w14:paraId="71653303" w14:textId="77777777" w:rsidR="00BF0076" w:rsidRPr="00BF0076" w:rsidRDefault="00BF0076" w:rsidP="00BF0076">
      <w:r w:rsidRPr="00BF0076">
        <w:t>Here is the detailed, section-by-section structure you should follow to synthesize your documents into a final manuscript:</w:t>
      </w:r>
    </w:p>
    <w:p w14:paraId="5262FD37" w14:textId="77777777" w:rsidR="00BF0076" w:rsidRPr="00BF0076" w:rsidRDefault="00BF0076" w:rsidP="00BF0076">
      <w:r w:rsidRPr="00BF0076">
        <w:rPr>
          <w:b/>
          <w:bCs/>
        </w:rPr>
        <w:t>1. Abstract &amp; Introduction</w:t>
      </w:r>
    </w:p>
    <w:p w14:paraId="3A98FC06" w14:textId="77777777" w:rsidR="00BF0076" w:rsidRPr="00BF0076" w:rsidRDefault="00BF0076" w:rsidP="00BF0076">
      <w:pPr>
        <w:numPr>
          <w:ilvl w:val="0"/>
          <w:numId w:val="1"/>
        </w:numPr>
      </w:pPr>
      <w:r w:rsidRPr="00BF0076">
        <w:rPr>
          <w:b/>
          <w:bCs/>
        </w:rPr>
        <w:t>The Hook:</w:t>
      </w:r>
      <w:r w:rsidRPr="00BF0076">
        <w:t xml:space="preserve"> Start with the Efficient Market Hypothesis (EMH) and how microstructure frictions (like bid-ask bounce and inventory control) create short-horizon anomalies even in developed markets.</w:t>
      </w:r>
    </w:p>
    <w:p w14:paraId="1A09523E" w14:textId="77777777" w:rsidR="00BF0076" w:rsidRPr="00BF0076" w:rsidRDefault="00BF0076" w:rsidP="00BF0076">
      <w:pPr>
        <w:numPr>
          <w:ilvl w:val="0"/>
          <w:numId w:val="1"/>
        </w:numPr>
      </w:pPr>
      <w:r w:rsidRPr="00BF0076">
        <w:rPr>
          <w:b/>
          <w:bCs/>
        </w:rPr>
        <w:t>The Gap:</w:t>
      </w:r>
      <w:r w:rsidRPr="00BF0076">
        <w:t xml:space="preserve"> Explain that while developed markets like the US exhibit efficient, continuous execution, emerging markets like India operate under fundamentally different intraday liquidity constraints.</w:t>
      </w:r>
    </w:p>
    <w:p w14:paraId="72A4C2C0" w14:textId="77777777" w:rsidR="00BF0076" w:rsidRPr="00BF0076" w:rsidRDefault="00BF0076" w:rsidP="00BF0076">
      <w:pPr>
        <w:numPr>
          <w:ilvl w:val="0"/>
          <w:numId w:val="1"/>
        </w:numPr>
      </w:pPr>
      <w:r w:rsidRPr="00BF0076">
        <w:rPr>
          <w:b/>
          <w:bCs/>
        </w:rPr>
        <w:t>The Thesis:</w:t>
      </w:r>
      <w:r w:rsidRPr="00BF0076">
        <w:t xml:space="preserve"> Introduce your unified finding: the inefficiency in Indian equities is not a behavioral anomaly or crisis artifact, but a physical market constraint driven by shallow order books and discrete liquidity jumps.</w:t>
      </w:r>
    </w:p>
    <w:p w14:paraId="35D042BA" w14:textId="77777777" w:rsidR="00BF0076" w:rsidRPr="00BF0076" w:rsidRDefault="00BF0076" w:rsidP="00BF0076">
      <w:pPr>
        <w:numPr>
          <w:ilvl w:val="0"/>
          <w:numId w:val="1"/>
        </w:numPr>
      </w:pPr>
      <w:r w:rsidRPr="00BF0076">
        <w:rPr>
          <w:b/>
          <w:bCs/>
        </w:rPr>
        <w:t>Outline of Contributions:</w:t>
      </w:r>
      <w:r w:rsidRPr="00BF0076">
        <w:t xml:space="preserve"> Briefly outline the four angles of your methodology: the push-response framework, volume time normalization, regime invariance testing, and Z-gap analysis.</w:t>
      </w:r>
    </w:p>
    <w:p w14:paraId="119CA088" w14:textId="77777777" w:rsidR="00BF0076" w:rsidRPr="00BF0076" w:rsidRDefault="00BF0076" w:rsidP="00BF0076">
      <w:r w:rsidRPr="00BF0076">
        <w:rPr>
          <w:b/>
          <w:bCs/>
        </w:rPr>
        <w:t>2. Data and Preprocessing</w:t>
      </w:r>
    </w:p>
    <w:p w14:paraId="40C73568" w14:textId="77777777" w:rsidR="00BF0076" w:rsidRPr="00BF0076" w:rsidRDefault="00BF0076" w:rsidP="00BF0076">
      <w:pPr>
        <w:numPr>
          <w:ilvl w:val="0"/>
          <w:numId w:val="2"/>
        </w:numPr>
      </w:pPr>
      <w:r w:rsidRPr="00BF0076">
        <w:rPr>
          <w:b/>
          <w:bCs/>
        </w:rPr>
        <w:t>S&amp;P 500 (Control Group):</w:t>
      </w:r>
      <w:r w:rsidRPr="00BF0076">
        <w:t xml:space="preserve"> Describe the NBBO quote data, winsorization process, and the filtering of abnormal jumps to represent a deep, continuous order book.</w:t>
      </w:r>
    </w:p>
    <w:p w14:paraId="3558B2DE" w14:textId="77777777" w:rsidR="00BF0076" w:rsidRPr="00BF0076" w:rsidRDefault="00BF0076" w:rsidP="00BF0076">
      <w:pPr>
        <w:numPr>
          <w:ilvl w:val="0"/>
          <w:numId w:val="2"/>
        </w:numPr>
      </w:pPr>
      <w:r w:rsidRPr="00BF0076">
        <w:rPr>
          <w:b/>
          <w:bCs/>
        </w:rPr>
        <w:t>NIFTY 500 (Primary Group):</w:t>
      </w:r>
      <w:r w:rsidRPr="00BF0076">
        <w:t xml:space="preserve"> Detail the 10 years of 5-minute OHLCV data from 2015-2025, capturing over 300 million observations.</w:t>
      </w:r>
    </w:p>
    <w:p w14:paraId="26D2D18E" w14:textId="77777777" w:rsidR="00BF0076" w:rsidRPr="00BF0076" w:rsidRDefault="00BF0076" w:rsidP="00BF0076">
      <w:pPr>
        <w:numPr>
          <w:ilvl w:val="0"/>
          <w:numId w:val="2"/>
        </w:numPr>
      </w:pPr>
      <w:r w:rsidRPr="00BF0076">
        <w:rPr>
          <w:b/>
          <w:bCs/>
        </w:rPr>
        <w:t>Cross-Market Setup:</w:t>
      </w:r>
      <w:r w:rsidRPr="00BF0076">
        <w:t xml:space="preserve"> Emphasize that the massive liquidity differential (e.g., S&amp;P 500 Minnows having 67x the liquidity of Nifty 500 Minnows) serves as the primary independent variable for your experiments.</w:t>
      </w:r>
    </w:p>
    <w:p w14:paraId="00BE0570" w14:textId="77777777" w:rsidR="00BF0076" w:rsidRPr="00BF0076" w:rsidRDefault="00BF0076" w:rsidP="00BF0076">
      <w:r w:rsidRPr="00BF0076">
        <w:rPr>
          <w:b/>
          <w:bCs/>
        </w:rPr>
        <w:t>3. Baseline Methodology: The Push-Response Framework</w:t>
      </w:r>
    </w:p>
    <w:p w14:paraId="14E34CCB" w14:textId="77777777" w:rsidR="00BF0076" w:rsidRPr="00BF0076" w:rsidRDefault="00BF0076" w:rsidP="00BF0076">
      <w:pPr>
        <w:numPr>
          <w:ilvl w:val="0"/>
          <w:numId w:val="3"/>
        </w:numPr>
      </w:pPr>
      <w:r w:rsidRPr="00BF0076">
        <w:lastRenderedPageBreak/>
        <w:t>Introduce the mathematical foundation from the base paper. Define the backward price increment ("push") and forward price increment ("response") standardized by volatility.</w:t>
      </w:r>
    </w:p>
    <w:p w14:paraId="6F05B693" w14:textId="77777777" w:rsidR="00BF0076" w:rsidRPr="00BF0076" w:rsidRDefault="00BF0076" w:rsidP="00BF0076">
      <w:pPr>
        <w:numPr>
          <w:ilvl w:val="0"/>
          <w:numId w:val="3"/>
        </w:numPr>
      </w:pPr>
      <w:r w:rsidRPr="00BF0076">
        <w:t>Explain how this lag-resolved 3D surface maps the conditional expectation of forward returns, allowing you to isolate structural predictability, symmetry, and antisymmetry.</w:t>
      </w:r>
    </w:p>
    <w:p w14:paraId="493A1EE6" w14:textId="77777777" w:rsidR="00BF0076" w:rsidRPr="00BF0076" w:rsidRDefault="00BF0076" w:rsidP="00BF0076">
      <w:pPr>
        <w:numPr>
          <w:ilvl w:val="0"/>
          <w:numId w:val="3"/>
        </w:numPr>
      </w:pPr>
      <w:r w:rsidRPr="00BF0076">
        <w:t>Establish the baseline finding: In the S&amp;P 500, responses to pushes generally level off and show regime-invariant efficiency, acting as your control.</w:t>
      </w:r>
    </w:p>
    <w:p w14:paraId="55C03897" w14:textId="77777777" w:rsidR="00BF0076" w:rsidRPr="00BF0076" w:rsidRDefault="00BF0076" w:rsidP="00BF0076">
      <w:r w:rsidRPr="00BF0076">
        <w:rPr>
          <w:b/>
          <w:bCs/>
        </w:rPr>
        <w:t>4. Empirical Results: The Four Dimensions of Inefficiency</w:t>
      </w:r>
    </w:p>
    <w:p w14:paraId="4A47ED4B" w14:textId="77777777" w:rsidR="00BF0076" w:rsidRPr="00BF0076" w:rsidRDefault="00BF0076" w:rsidP="00BF0076">
      <w:r w:rsidRPr="00BF0076">
        <w:rPr>
          <w:i/>
          <w:iCs/>
        </w:rPr>
        <w:t>This is the core of your paper. Group your four experiments into subsections that logically build upon one another.</w:t>
      </w:r>
    </w:p>
    <w:p w14:paraId="44673A6D" w14:textId="77777777" w:rsidR="00BF0076" w:rsidRPr="00BF0076" w:rsidRDefault="00BF0076" w:rsidP="00BF0076">
      <w:pPr>
        <w:numPr>
          <w:ilvl w:val="0"/>
          <w:numId w:val="4"/>
        </w:numPr>
      </w:pPr>
      <w:r w:rsidRPr="00BF0076">
        <w:rPr>
          <w:b/>
          <w:bCs/>
        </w:rPr>
        <w:t>4.1. The Structural Evolution of Liquidity Regimes (Context Setting)</w:t>
      </w:r>
    </w:p>
    <w:p w14:paraId="47393BD1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Use the clustering data to show that Indian markets do not follow a standard U-shaped volume curve.</w:t>
      </w:r>
    </w:p>
    <w:p w14:paraId="79B8A10E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Detail the three identified regimes: Open-dominated, Flat, and Close-dominated.</w:t>
      </w:r>
    </w:p>
    <w:p w14:paraId="3B079803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Show the structural shift since 2019, where close-dominated trading sharply declined in favor of continuous (flat) and front-loaded (open-dominated) execution.</w:t>
      </w:r>
    </w:p>
    <w:p w14:paraId="2D5F83BB" w14:textId="77777777" w:rsidR="00BF0076" w:rsidRPr="00BF0076" w:rsidRDefault="00BF0076" w:rsidP="00BF0076">
      <w:pPr>
        <w:numPr>
          <w:ilvl w:val="0"/>
          <w:numId w:val="4"/>
        </w:numPr>
      </w:pPr>
      <w:r w:rsidRPr="00BF0076">
        <w:rPr>
          <w:b/>
          <w:bCs/>
        </w:rPr>
        <w:t>4.2. The Failure of Volume Time (The Continuity Violation)</w:t>
      </w:r>
    </w:p>
    <w:p w14:paraId="444D7234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Introduce the hypothesis that Volume Time should normalize return distributions (reduce kurtosis) if prices are driven by continuous information flow.</w:t>
      </w:r>
    </w:p>
    <w:p w14:paraId="6A23037D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 xml:space="preserve">Show the cross-market divergence: Volume Time reduces kurtosis by 77.5% in the S&amp;P 500 (theory holds) but </w:t>
      </w:r>
      <w:r w:rsidRPr="00BF0076">
        <w:rPr>
          <w:i/>
          <w:iCs/>
        </w:rPr>
        <w:t>increases</w:t>
      </w:r>
      <w:r w:rsidRPr="00BF0076">
        <w:t xml:space="preserve"> max kurtosis by 14.5% in the NIFTY 500.</w:t>
      </w:r>
    </w:p>
    <w:p w14:paraId="5C49C101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rPr>
          <w:b/>
          <w:bCs/>
        </w:rPr>
        <w:t>Key Insight to Highlight:</w:t>
      </w:r>
      <w:r w:rsidRPr="00BF0076">
        <w:t xml:space="preserve"> Explain that Indian markets suffer from "discrete liquidity jumps" and air pockets in the order book, which Volume Time cannot absorb.</w:t>
      </w:r>
    </w:p>
    <w:p w14:paraId="147E211A" w14:textId="77777777" w:rsidR="00BF0076" w:rsidRPr="00BF0076" w:rsidRDefault="00BF0076" w:rsidP="00BF0076">
      <w:pPr>
        <w:numPr>
          <w:ilvl w:val="0"/>
          <w:numId w:val="4"/>
        </w:numPr>
      </w:pPr>
      <w:r w:rsidRPr="00BF0076">
        <w:rPr>
          <w:b/>
          <w:bCs/>
        </w:rPr>
        <w:t>4.3. Regime and Time-of-Day Invariance (The Structural Proof)</w:t>
      </w:r>
    </w:p>
    <w:p w14:paraId="45C89ED6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Address the academic critique that anomalies only happen during panics or market opens.</w:t>
      </w:r>
    </w:p>
    <w:p w14:paraId="3C826104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Present the "Killer Test": Show that Nifty Minnows exhibit a +0.38% inefficiency in CALM markets and +0.41% in STRESS markets, a negligible difference.</w:t>
      </w:r>
    </w:p>
    <w:p w14:paraId="70D0B828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lastRenderedPageBreak/>
        <w:t>Show that even during the quiet midday session (11:00–14:00), 81% of the inefficiency persists.</w:t>
      </w:r>
    </w:p>
    <w:p w14:paraId="1235D158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Contrast this with the S&amp;P 500, proving the methodology works and the Indian inefficiency is a physical order-book constraint, not a behavioral panic.</w:t>
      </w:r>
    </w:p>
    <w:p w14:paraId="35ACC55B" w14:textId="77777777" w:rsidR="00BF0076" w:rsidRPr="00BF0076" w:rsidRDefault="00BF0076" w:rsidP="00BF0076">
      <w:pPr>
        <w:numPr>
          <w:ilvl w:val="0"/>
          <w:numId w:val="4"/>
        </w:numPr>
      </w:pPr>
      <w:r w:rsidRPr="00BF0076">
        <w:rPr>
          <w:b/>
          <w:bCs/>
        </w:rPr>
        <w:t>4.4. Z-Gap Analysis and the "Liquidity Vacuum" (The Mechanism)</w:t>
      </w:r>
    </w:p>
    <w:p w14:paraId="401C0A3A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Define overnight gaps and the "Fade vs. Follow" hypothesis.</w:t>
      </w:r>
    </w:p>
    <w:p w14:paraId="0EC12891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t>Present the staggering comparative metric: Nifty 500 Minnows fade 50% of their extreme up-gaps, while S&amp;P 500 Minnows fade only 13.7%.</w:t>
      </w:r>
    </w:p>
    <w:p w14:paraId="233DFFD2" w14:textId="77777777" w:rsidR="00BF0076" w:rsidRPr="00BF0076" w:rsidRDefault="00BF0076" w:rsidP="00BF0076">
      <w:pPr>
        <w:numPr>
          <w:ilvl w:val="1"/>
          <w:numId w:val="4"/>
        </w:numPr>
      </w:pPr>
      <w:r w:rsidRPr="00BF0076">
        <w:rPr>
          <w:b/>
          <w:bCs/>
        </w:rPr>
        <w:t>Introduce the Unified Mechanism:</w:t>
      </w:r>
      <w:r w:rsidRPr="00BF0076">
        <w:t xml:space="preserve"> Formalize the "Liquidity Vacuum Mechanism." Explain how opening prices in Indian Minnows teleport past absent limit orders (overshoot), only to be mechanically walked back 50% as arbitrageurs and market makers enter to fill the vacuum.</w:t>
      </w:r>
    </w:p>
    <w:p w14:paraId="1C8BD729" w14:textId="77777777" w:rsidR="00BF0076" w:rsidRPr="00BF0076" w:rsidRDefault="00BF0076" w:rsidP="00BF0076">
      <w:r w:rsidRPr="00BF0076">
        <w:rPr>
          <w:b/>
          <w:bCs/>
        </w:rPr>
        <w:t>5. Synthesis: The Unified Theory of Emerging Market Microstructure</w:t>
      </w:r>
    </w:p>
    <w:p w14:paraId="3BC9F864" w14:textId="77777777" w:rsidR="00BF0076" w:rsidRPr="00BF0076" w:rsidRDefault="00BF0076" w:rsidP="00BF0076">
      <w:pPr>
        <w:numPr>
          <w:ilvl w:val="0"/>
          <w:numId w:val="5"/>
        </w:numPr>
      </w:pPr>
      <w:r w:rsidRPr="00BF0076">
        <w:t>Create a synthesis section that links all four angles.</w:t>
      </w:r>
    </w:p>
    <w:p w14:paraId="4E4AEC85" w14:textId="77777777" w:rsidR="00BF0076" w:rsidRPr="00BF0076" w:rsidRDefault="00BF0076" w:rsidP="00BF0076">
      <w:pPr>
        <w:numPr>
          <w:ilvl w:val="0"/>
          <w:numId w:val="5"/>
        </w:numPr>
      </w:pPr>
      <w:r w:rsidRPr="00BF0076">
        <w:t xml:space="preserve">Explain how the </w:t>
      </w:r>
      <w:r w:rsidRPr="00BF0076">
        <w:rPr>
          <w:i/>
          <w:iCs/>
        </w:rPr>
        <w:t>Liquidity Vacuum</w:t>
      </w:r>
      <w:r w:rsidRPr="00BF0076">
        <w:t xml:space="preserve"> (Experiment 4) causes the </w:t>
      </w:r>
      <w:r w:rsidRPr="00BF0076">
        <w:rPr>
          <w:i/>
          <w:iCs/>
        </w:rPr>
        <w:t>Discrete Jumps</w:t>
      </w:r>
      <w:r w:rsidRPr="00BF0076">
        <w:t xml:space="preserve"> that break Volume Time (Experiment 2), resulting in the </w:t>
      </w:r>
      <w:r w:rsidRPr="00BF0076">
        <w:rPr>
          <w:i/>
          <w:iCs/>
        </w:rPr>
        <w:t>Ridge of Inefficiency</w:t>
      </w:r>
      <w:r w:rsidRPr="00BF0076">
        <w:t xml:space="preserve"> (Base Paper/Angle 1) that persists </w:t>
      </w:r>
      <w:r w:rsidRPr="00BF0076">
        <w:rPr>
          <w:i/>
          <w:iCs/>
        </w:rPr>
        <w:t>Across all Market Regimes</w:t>
      </w:r>
      <w:r w:rsidRPr="00BF0076">
        <w:t xml:space="preserve"> (Experiment 3).</w:t>
      </w:r>
    </w:p>
    <w:p w14:paraId="2B607C24" w14:textId="77777777" w:rsidR="00BF0076" w:rsidRPr="00BF0076" w:rsidRDefault="00BF0076" w:rsidP="00BF0076">
      <w:pPr>
        <w:numPr>
          <w:ilvl w:val="0"/>
          <w:numId w:val="5"/>
        </w:numPr>
      </w:pPr>
      <w:r w:rsidRPr="00BF0076">
        <w:t>Highlight the final metric summary table comparing the S&amp;P 500 and Nifty 500 across all four angles to provide a decisive quantitative conclusion.</w:t>
      </w:r>
    </w:p>
    <w:p w14:paraId="2F87320B" w14:textId="77777777" w:rsidR="00BF0076" w:rsidRPr="00BF0076" w:rsidRDefault="00BF0076" w:rsidP="00BF0076">
      <w:r w:rsidRPr="00BF0076">
        <w:rPr>
          <w:b/>
          <w:bCs/>
        </w:rPr>
        <w:t>6. Practical and Trading Implications</w:t>
      </w:r>
    </w:p>
    <w:p w14:paraId="709795FA" w14:textId="77777777" w:rsidR="00BF0076" w:rsidRPr="00BF0076" w:rsidRDefault="00BF0076" w:rsidP="00BF0076">
      <w:pPr>
        <w:numPr>
          <w:ilvl w:val="0"/>
          <w:numId w:val="6"/>
        </w:numPr>
      </w:pPr>
      <w:r w:rsidRPr="00BF0076">
        <w:rPr>
          <w:b/>
          <w:bCs/>
        </w:rPr>
        <w:t>Execution Costs:</w:t>
      </w:r>
      <w:r w:rsidRPr="00BF0076">
        <w:t xml:space="preserve"> Use the VWAP simulation results to explain how Flat liquidity regimes are optimal for execution, while Close-dominated regimes render VWAP strategies infeasible due to extreme end-of-day risk.</w:t>
      </w:r>
    </w:p>
    <w:p w14:paraId="02618AB1" w14:textId="77777777" w:rsidR="00BF0076" w:rsidRPr="00BF0076" w:rsidRDefault="00BF0076" w:rsidP="00BF0076">
      <w:pPr>
        <w:numPr>
          <w:ilvl w:val="0"/>
          <w:numId w:val="6"/>
        </w:numPr>
      </w:pPr>
      <w:r w:rsidRPr="00BF0076">
        <w:rPr>
          <w:b/>
          <w:bCs/>
        </w:rPr>
        <w:t>Alpha Strategies:</w:t>
      </w:r>
      <w:r w:rsidRPr="00BF0076">
        <w:t xml:space="preserve"> Propose the actionable Gap Fade strategy for Nifty 500 Minnows (targeting the ~2.1% expected return per trade) and contrast it with the lack of alpha in the S&amp;P 500.</w:t>
      </w:r>
    </w:p>
    <w:p w14:paraId="731246F2" w14:textId="77777777" w:rsidR="00BF0076" w:rsidRPr="00BF0076" w:rsidRDefault="00BF0076" w:rsidP="00BF0076">
      <w:pPr>
        <w:numPr>
          <w:ilvl w:val="0"/>
          <w:numId w:val="6"/>
        </w:numPr>
      </w:pPr>
      <w:r w:rsidRPr="00BF0076">
        <w:rPr>
          <w:b/>
          <w:bCs/>
        </w:rPr>
        <w:t>Risk Management (VaR):</w:t>
      </w:r>
      <w:r w:rsidRPr="00BF0076">
        <w:t xml:space="preserve"> Explicitly warn risk managers that while Volume Time works for 99.9% of flow, Indian equities require explicit gap-risk hedging because traditional models assume efficiency restoration.</w:t>
      </w:r>
    </w:p>
    <w:p w14:paraId="1F3896EC" w14:textId="77777777" w:rsidR="00BF0076" w:rsidRPr="00BF0076" w:rsidRDefault="00BF0076" w:rsidP="00BF0076">
      <w:r w:rsidRPr="00BF0076">
        <w:rPr>
          <w:b/>
          <w:bCs/>
        </w:rPr>
        <w:t>7. Conclusion</w:t>
      </w:r>
    </w:p>
    <w:p w14:paraId="5902A098" w14:textId="77777777" w:rsidR="00BF0076" w:rsidRPr="00BF0076" w:rsidRDefault="00BF0076" w:rsidP="00BF0076">
      <w:pPr>
        <w:numPr>
          <w:ilvl w:val="0"/>
          <w:numId w:val="7"/>
        </w:numPr>
      </w:pPr>
      <w:r w:rsidRPr="00BF0076">
        <w:lastRenderedPageBreak/>
        <w:t>Summarize that moving away from aggregate autocorrelation to lag-resolved, cross-market analysis reveals the true mechanics of price formation.</w:t>
      </w:r>
    </w:p>
    <w:p w14:paraId="54D7BE49" w14:textId="77777777" w:rsidR="00BF0076" w:rsidRPr="00BF0076" w:rsidRDefault="00BF0076" w:rsidP="00BF0076">
      <w:pPr>
        <w:numPr>
          <w:ilvl w:val="0"/>
          <w:numId w:val="7"/>
        </w:numPr>
      </w:pPr>
      <w:r w:rsidRPr="00BF0076">
        <w:t>Reiterate that the path to equilibrium in emerging markets is heavily structured, delayed, and constrained by physical liquidity depth.</w:t>
      </w:r>
    </w:p>
    <w:p w14:paraId="73ABD2E7" w14:textId="77777777" w:rsidR="00BF0076" w:rsidRPr="00BF0076" w:rsidRDefault="00BF0076" w:rsidP="00BF0076">
      <w:pPr>
        <w:numPr>
          <w:ilvl w:val="0"/>
          <w:numId w:val="7"/>
        </w:numPr>
      </w:pPr>
      <w:r w:rsidRPr="00BF0076">
        <w:t>Suggest future research directions, such as integrating Level-2 order book data or using deep learning to map the liquidity vacuums</w:t>
      </w:r>
    </w:p>
    <w:p w14:paraId="54BCA9F6" w14:textId="77777777" w:rsidR="00BF0076" w:rsidRDefault="00BF0076"/>
    <w:sectPr w:rsidR="00BF0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7F79"/>
    <w:multiLevelType w:val="multilevel"/>
    <w:tmpl w:val="516C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2344C"/>
    <w:multiLevelType w:val="multilevel"/>
    <w:tmpl w:val="0BB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C3DFD"/>
    <w:multiLevelType w:val="multilevel"/>
    <w:tmpl w:val="B62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6BC8"/>
    <w:multiLevelType w:val="multilevel"/>
    <w:tmpl w:val="4E0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D0AE4"/>
    <w:multiLevelType w:val="multilevel"/>
    <w:tmpl w:val="F246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77707"/>
    <w:multiLevelType w:val="multilevel"/>
    <w:tmpl w:val="360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D17B7"/>
    <w:multiLevelType w:val="multilevel"/>
    <w:tmpl w:val="18F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576858">
    <w:abstractNumId w:val="1"/>
  </w:num>
  <w:num w:numId="2" w16cid:durableId="284969989">
    <w:abstractNumId w:val="5"/>
  </w:num>
  <w:num w:numId="3" w16cid:durableId="401102981">
    <w:abstractNumId w:val="3"/>
  </w:num>
  <w:num w:numId="4" w16cid:durableId="1526291807">
    <w:abstractNumId w:val="2"/>
  </w:num>
  <w:num w:numId="5" w16cid:durableId="688877014">
    <w:abstractNumId w:val="4"/>
  </w:num>
  <w:num w:numId="6" w16cid:durableId="113670996">
    <w:abstractNumId w:val="6"/>
  </w:num>
  <w:num w:numId="7" w16cid:durableId="213628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76"/>
    <w:rsid w:val="007D4397"/>
    <w:rsid w:val="00BF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59E6D"/>
  <w15:chartTrackingRefBased/>
  <w15:docId w15:val="{AB5F0510-CE26-4E36-AFCF-33442110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Aradhya Kaushik</dc:creator>
  <cp:keywords/>
  <dc:description/>
  <cp:lastModifiedBy>Aradhya Kaushik</cp:lastModifiedBy>
  <cp:revision>1</cp:revision>
  <dcterms:created xsi:type="dcterms:W3CDTF">2026-06-05T09:43:00Z</dcterms:created>
  <dcterms:modified xsi:type="dcterms:W3CDTF">2026-06-05T09:43:00Z</dcterms:modified>
</cp:coreProperties>
</file>