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JAI KISHAN PAL</w:t>
      </w:r>
    </w:p>
    <w:p>
      <w:pPr>
        <w:spacing w:before="0" w:after="3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Nottingham, UK  ·  +44 (0) 7768 252 157  ·  jaikishanpal844@gmail.com  ·  </w:t>
      </w:r>
      <w:hyperlink w:history="1" r:id="rId5tei4jax8ntnctueu0iyh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hyperlink w:history="1" r:id="rIdfbuuwpsxcg-afqnqrchhs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Portfolio</w:t>
        </w:r>
      </w:hyperlink>
    </w:p>
    <w:p>
      <w:pPr>
        <w:spacing w:before="0" w:after="1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MSc Finance · Financial Modelling &amp; Valuation · FP&amp;A · Risk Management · Right to Work in the UK · Open to Relocate</w:t>
      </w:r>
    </w:p>
    <w:p>
      <w:pPr>
        <w:pBdr>
          <w:bottom w:val="single" w:color="2E4057" w:sz="6" w:space="1"/>
        </w:pBdr>
        <w:spacing w:before="80" w:after="80"/>
      </w:pPr>
    </w:p>
    <w:p>
      <w:pPr>
        <w:pBdr>
          <w:bottom w:val="single" w:color="2E4057" w:sz="4" w:space="2"/>
        </w:pBdr>
        <w:spacing w:before="220" w:after="60"/>
      </w:pPr>
      <w:r>
        <w:rPr>
          <w:rFonts w:ascii="Arial" w:cs="Arial" w:eastAsia="Arial" w:hAnsi="Arial"/>
          <w:b/>
          <w:bCs/>
          <w:color w:val="2E4057"/>
          <w:spacing w:val="40"/>
          <w:sz w:val="22"/>
          <w:szCs w:val="22"/>
        </w:rPr>
        <w:t xml:space="preserve">PERSONAL STATEMENT</w:t>
      </w:r>
    </w:p>
    <w:p>
      <w:pPr>
        <w:spacing w:before="80" w:after="60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MSc Finance graduate (Nottingham Trent University, Passed with Commendation) with a quantitative foundation from a BSc in Mathematics, seeking Finance Analyst and Finance Internship roles across the UK. I have hands-on experience in financial modelling, DCF valuation, equity research, financial statement analysis, risk management, and FP&amp;A — built through a real client project and four self-directed finance projects using real-world data. Highly analytical with strong attention to detail and organisational skills, I take a proactive approach to work and take full ownership of deliverables. I am comfortable working with Excel, Python, Power BI, and Bloomberg, and I communicate complex financial data clearly to both finance and non-finance stakeholders. Available immediately, with full right to work in the UK and open to relocate anywhere.</w:t>
      </w:r>
    </w:p>
    <w:p>
      <w:pPr>
        <w:pBdr>
          <w:bottom w:val="single" w:color="2E4057" w:sz="4" w:space="2"/>
        </w:pBdr>
        <w:spacing w:before="220" w:after="60"/>
      </w:pPr>
      <w:r>
        <w:rPr>
          <w:rFonts w:ascii="Arial" w:cs="Arial" w:eastAsia="Arial" w:hAnsi="Arial"/>
          <w:b/>
          <w:bCs/>
          <w:color w:val="2E4057"/>
          <w:spacing w:val="40"/>
          <w:sz w:val="22"/>
          <w:szCs w:val="22"/>
        </w:rPr>
        <w:t xml:space="preserve">EDUCATION</w:t>
      </w:r>
    </w:p>
    <w:p>
      <w:pPr>
        <w:tabs>
          <w:tab w:val="right" w:pos="9746"/>
        </w:tabs>
        <w:spacing w:before="160" w:after="3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MSc Finance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|  </w:t>
      </w:r>
      <w:r>
        <w:rPr>
          <w:rFonts w:ascii="Arial" w:cs="Arial" w:eastAsia="Arial" w:hAnsi="Arial"/>
          <w:i/>
          <w:iCs/>
          <w:color w:val="2E4057"/>
          <w:sz w:val="21"/>
          <w:szCs w:val="21"/>
        </w:rPr>
        <w:t xml:space="preserve">Nottingham Trent University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Sep 2024 – Jun 2025  ·  Nottingham, UK</w:t>
      </w:r>
    </w:p>
    <w:p>
      <w:pPr>
        <w:spacing w:before="20" w:after="30"/>
      </w:pPr>
      <w:r>
        <w:rPr>
          <w:rFonts w:ascii="Arial" w:cs="Arial" w:eastAsia="Arial" w:hAnsi="Arial"/>
          <w:b/>
          <w:bCs/>
          <w:color w:val="2E4057"/>
          <w:sz w:val="19"/>
          <w:szCs w:val="19"/>
        </w:rPr>
        <w:t xml:space="preserve">Award: Passed with Commendation</w:t>
      </w:r>
    </w:p>
    <w:p>
      <w:pPr>
        <w:spacing w:before="20" w:after="3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Modules: Financial Modelling · Financial Statement Analysis · Risk Management · Corporate Finance · Global Financial Markets · Corporate Restructuring</w:t>
      </w:r>
    </w:p>
    <w:p>
      <w:pPr>
        <w:tabs>
          <w:tab w:val="right" w:pos="9746"/>
        </w:tabs>
        <w:spacing w:before="160" w:after="3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BSc Mathematics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|  </w:t>
      </w:r>
      <w:r>
        <w:rPr>
          <w:rFonts w:ascii="Arial" w:cs="Arial" w:eastAsia="Arial" w:hAnsi="Arial"/>
          <w:i/>
          <w:iCs/>
          <w:color w:val="2E4057"/>
          <w:sz w:val="21"/>
          <w:szCs w:val="21"/>
        </w:rPr>
        <w:t xml:space="preserve">Shyam Lal Pandaviya Government College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Completed  ·  India</w:t>
      </w:r>
    </w:p>
    <w:p>
      <w:pPr>
        <w:spacing w:before="20" w:after="3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Modules: Statistics · Probability Theory · Linear Algebra · Mathematical Modelling</w:t>
      </w:r>
    </w:p>
    <w:p>
      <w:pPr>
        <w:pBdr>
          <w:bottom w:val="single" w:color="2E4057" w:sz="4" w:space="2"/>
        </w:pBdr>
        <w:spacing w:before="220" w:after="60"/>
      </w:pPr>
      <w:r>
        <w:rPr>
          <w:rFonts w:ascii="Arial" w:cs="Arial" w:eastAsia="Arial" w:hAnsi="Arial"/>
          <w:b/>
          <w:bCs/>
          <w:color w:val="2E4057"/>
          <w:spacing w:val="40"/>
          <w:sz w:val="22"/>
          <w:szCs w:val="22"/>
        </w:rPr>
        <w:t xml:space="preserve">EXPERIENCE</w:t>
      </w:r>
    </w:p>
    <w:p>
      <w:pPr>
        <w:tabs>
          <w:tab w:val="right" w:pos="9746"/>
        </w:tabs>
        <w:spacing w:before="160" w:after="3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Financial Modelling Consultant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|  </w:t>
      </w:r>
      <w:r>
        <w:rPr>
          <w:rFonts w:ascii="Arial" w:cs="Arial" w:eastAsia="Arial" w:hAnsi="Arial"/>
          <w:i/>
          <w:iCs/>
          <w:color w:val="2E4057"/>
          <w:sz w:val="21"/>
          <w:szCs w:val="21"/>
        </w:rPr>
        <w:t xml:space="preserve">The Negotiation Club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Sep 2024 – May 2025  ·  Nottingham, UK</w:t>
      </w:r>
    </w:p>
    <w:p>
      <w:pPr>
        <w:spacing w:before="20" w:after="4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MSc Finance Applied Project — Real Client Engagement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and built a bespoke financial forecasting model in Excel for a professional negotiation training organisation, taking full ownership of the model from initial scoping through to final client delivery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Conducted P&amp;L and break-even analysis across multiple revenue and cost scenarios, using financial data and evidence to support the client's strategic planning and decision-making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Compiled and validated financial data from multiple business inputs, ensuring accuracy and consistency of all model assumptions before presenting outputs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Produced weekly and monthly financial summaries and delivered a structured management report translating quantitative findings into clear, actionable recommendations for a non-finance stakeholder</w:t>
      </w:r>
    </w:p>
    <w:p>
      <w:pPr>
        <w:pBdr>
          <w:bottom w:val="single" w:color="2E4057" w:sz="4" w:space="2"/>
        </w:pBdr>
        <w:spacing w:before="220" w:after="60"/>
      </w:pPr>
      <w:r>
        <w:rPr>
          <w:rFonts w:ascii="Arial" w:cs="Arial" w:eastAsia="Arial" w:hAnsi="Arial"/>
          <w:b/>
          <w:bCs/>
          <w:color w:val="2E4057"/>
          <w:spacing w:val="40"/>
          <w:sz w:val="22"/>
          <w:szCs w:val="22"/>
        </w:rPr>
        <w:t xml:space="preserve">FINANCE PROJECTS</w:t>
      </w:r>
    </w:p>
    <w:p>
      <w:pPr>
        <w:tabs>
          <w:tab w:val="right" w:pos="9746"/>
        </w:tabs>
        <w:spacing w:before="160" w:after="3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DCF Valuation Model — Diageo plc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|  </w:t>
      </w:r>
      <w:r>
        <w:rPr>
          <w:rFonts w:ascii="Arial" w:cs="Arial" w:eastAsia="Arial" w:hAnsi="Arial"/>
          <w:i/>
          <w:iCs/>
          <w:color w:val="2E4057"/>
          <w:sz w:val="21"/>
          <w:szCs w:val="21"/>
        </w:rPr>
        <w:t xml:space="preserve">Self-Directed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2025</w:t>
      </w:r>
    </w:p>
    <w:p>
      <w:pPr>
        <w:spacing w:before="20" w:after="4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FTSE 100  ·  Excel  ·  Completed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 fully integrated 3-statement financial model (Income Statement, Balance Sheet, Cash Flow Statement) for Diageo plc in Excel, using 5 years of annual report data as source inputs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Calculated WACC using CAPM, modelled a two-stage DCF with Gordon Growth Model terminal value, and produced a sensitivity analysis table varying key assumptions across upside, base, and downside scenarios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Produced a football field valuation chart benchmarking DCF intrinsic value against EV/EBITDA and P/E trading comparables, culminating in a documented investment recommendation</w:t>
      </w:r>
    </w:p>
    <w:p>
      <w:pPr>
        <w:tabs>
          <w:tab w:val="right" w:pos="9746"/>
        </w:tabs>
        <w:spacing w:before="160" w:after="3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FTSE 250 Financial Health Dashboard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|  </w:t>
      </w:r>
      <w:r>
        <w:rPr>
          <w:rFonts w:ascii="Arial" w:cs="Arial" w:eastAsia="Arial" w:hAnsi="Arial"/>
          <w:i/>
          <w:iCs/>
          <w:color w:val="2E4057"/>
          <w:sz w:val="21"/>
          <w:szCs w:val="21"/>
        </w:rPr>
        <w:t xml:space="preserve">Self-Directed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2025</w:t>
      </w:r>
    </w:p>
    <w:p>
      <w:pPr>
        <w:spacing w:before="20" w:after="4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10 Companies  ·  Excel &amp; Power BI  ·  Completed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Conducted comprehensive ratio analysis across 10 FTSE 250 companies — Greggs, Jet2, Watches of Switzerland, Dunelm, Bytes Technology, Bellway, Mitchells &amp; Butlers, Cranswick, Savills, and Capita — spanning food retail, travel, housebuilding, technology, and business services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Calculated profitability (gross margin, EBIT margin, ROCE), liquidity (current ratio, quick ratio), efficiency (asset turnover, debtor days), and solvency (net debt/EBITDA, interest cover) ratios using 3 years of financial statement data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an interactive Power BI KPI dashboard to visualise financial health trends and cross-sector performance, producing repeatable management reporting from a standardised dataset</w:t>
      </w:r>
    </w:p>
    <w:p>
      <w:pPr>
        <w:tabs>
          <w:tab w:val="right" w:pos="9746"/>
        </w:tabs>
        <w:spacing w:before="160" w:after="3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Portfolio Risk Analysis — Python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|  </w:t>
      </w:r>
      <w:r>
        <w:rPr>
          <w:rFonts w:ascii="Arial" w:cs="Arial" w:eastAsia="Arial" w:hAnsi="Arial"/>
          <w:i/>
          <w:iCs/>
          <w:color w:val="2E4057"/>
          <w:sz w:val="21"/>
          <w:szCs w:val="21"/>
        </w:rPr>
        <w:t xml:space="preserve">Self-Directed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2025</w:t>
      </w:r>
    </w:p>
    <w:p>
      <w:pPr>
        <w:spacing w:before="20" w:after="4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FTSE 100 &amp; S&amp;P 500  ·  Python  ·  Completed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 portfolio risk model in Python (NumPy, Pandas) for a diversified portfolio of FTSE 100 equities, S&amp;P 500 stocks, UK gilts, gold, and crude oil — calculating Value at Risk (VaR) and Conditional VaR (CVaR) using historical simulation and Monte Carlo methods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Constructed the efficient frontier and calculated Sharpe ratio analysis to identify the optimal risk-return portfolio allocation, applying quantitative methods directly relevant to risk management and investment analysis roles</w:t>
      </w:r>
    </w:p>
    <w:p>
      <w:pPr>
        <w:tabs>
          <w:tab w:val="right" w:pos="9746"/>
        </w:tabs>
        <w:spacing w:before="160" w:after="3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Equity Research Report — Rolls-Royce Holdings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|  </w:t>
      </w:r>
      <w:r>
        <w:rPr>
          <w:rFonts w:ascii="Arial" w:cs="Arial" w:eastAsia="Arial" w:hAnsi="Arial"/>
          <w:i/>
          <w:iCs/>
          <w:color w:val="2E4057"/>
          <w:sz w:val="21"/>
          <w:szCs w:val="21"/>
        </w:rPr>
        <w:t xml:space="preserve">Self-Directed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2025</w:t>
      </w:r>
    </w:p>
    <w:p>
      <w:pPr>
        <w:spacing w:before="20" w:after="4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FTSE 100  ·  DCF + Comparables  ·  In Progress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Producing a full sell-side style equity research report on Rolls-Royce Holdings plc — covering industry overview, competitive positioning, financial statement analysis, DCF and comparable company valuation, and a final buy/hold/sell recommendation</w:t>
      </w:r>
    </w:p>
    <w:p>
      <w:pPr>
        <w:pBdr>
          <w:bottom w:val="single" w:color="2E4057" w:sz="4" w:space="2"/>
        </w:pBdr>
        <w:spacing w:before="220" w:after="60"/>
      </w:pPr>
      <w:r>
        <w:rPr>
          <w:rFonts w:ascii="Arial" w:cs="Arial" w:eastAsia="Arial" w:hAnsi="Arial"/>
          <w:b/>
          <w:bCs/>
          <w:color w:val="2E4057"/>
          <w:spacing w:val="40"/>
          <w:sz w:val="22"/>
          <w:szCs w:val="22"/>
        </w:rPr>
        <w:t xml:space="preserve">SKILLS &amp; TOOLS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Financial Modelling: 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DCF, 3-Statement, LBO concepts, Break-Even, Sensitivity Analysis</w:t>
            </w:r>
          </w:p>
        </w:tc>
        <w:tc>
          <w:tcPr>
            <w:tcW w:type="dxa" w:w="487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Financial Analysis: 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FSA, ratio analysis, variance analysis, P&amp;L, FP&amp;A, forecasting</w:t>
            </w:r>
          </w:p>
        </w:tc>
      </w:tr>
      <w:tr>
        <w:tc>
          <w:tcPr>
            <w:tcW w:type="dxa" w:w="487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Microsoft Excel: 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Advanced — financial models, pivot tables, macros, data validation</w:t>
            </w:r>
          </w:p>
        </w:tc>
        <w:tc>
          <w:tcPr>
            <w:tcW w:type="dxa" w:w="487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Python: 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Pandas, NumPy — quantitative modelling, VaR, Monte Carlo simulation</w:t>
            </w:r>
          </w:p>
        </w:tc>
      </w:tr>
      <w:tr>
        <w:tc>
          <w:tcPr>
            <w:tcW w:type="dxa" w:w="487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Power BI: 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KPI dashboards, management reporting, data visualisation</w:t>
            </w:r>
          </w:p>
        </w:tc>
        <w:tc>
          <w:tcPr>
            <w:tcW w:type="dxa" w:w="487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Bloomberg Terminal: 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Bloomberg Market Concepts certified — market data, financial analysis</w:t>
            </w:r>
          </w:p>
        </w:tc>
      </w:tr>
      <w:tr>
        <w:tc>
          <w:tcPr>
            <w:tcW w:type="dxa" w:w="487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SQL: 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Data querying and management for financial reporting workflows</w:t>
            </w:r>
          </w:p>
        </w:tc>
        <w:tc>
          <w:tcPr>
            <w:tcW w:type="dxa" w:w="487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Communication: 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Management reports, stakeholder briefings, written financial analysis</w:t>
            </w:r>
          </w:p>
        </w:tc>
      </w:tr>
    </w:tbl>
    <w:p>
      <w:pPr>
        <w:pBdr>
          <w:bottom w:val="single" w:color="2E4057" w:sz="4" w:space="2"/>
        </w:pBdr>
        <w:spacing w:before="220" w:after="60"/>
      </w:pPr>
      <w:r>
        <w:rPr>
          <w:rFonts w:ascii="Arial" w:cs="Arial" w:eastAsia="Arial" w:hAnsi="Arial"/>
          <w:b/>
          <w:bCs/>
          <w:color w:val="2E4057"/>
          <w:spacing w:val="40"/>
          <w:sz w:val="22"/>
          <w:szCs w:val="22"/>
        </w:rPr>
        <w:t xml:space="preserve">CERTIFICATIONS &amp; PROFESSIONAL DEVELOPMENT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Bloomberg Market Concepts (BMC) — Bloomberg LP  [Completed]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Bloomberg Finance Fundamentals — Bloomberg LP  [Completed]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Bloomberg ESG (Environmental, Social &amp; Governance) — Bloomberg LP  [Completed]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Bloomberg Spreadsheet Analysis — Bloomberg LP  [Completed]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Financial Analysis Fundamentals — Corporate Finance Institute  [Completed]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Financial Modelling &amp; Valuation Analyst (FMVA) — Corporate Finance Institute  [In Progress]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CFA Level I — CFA Institute  [Planned 2026]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MOS Excel Expert &amp; Power BI (PL-300) — Microsoft  [Planned 2026]</w:t>
      </w:r>
    </w:p>
    <w:p>
      <w:pPr>
        <w:pBdr>
          <w:bottom w:val="single" w:color="2E4057" w:sz="4" w:space="2"/>
        </w:pBdr>
        <w:spacing w:before="220" w:after="60"/>
      </w:pPr>
      <w:r>
        <w:rPr>
          <w:rFonts w:ascii="Arial" w:cs="Arial" w:eastAsia="Arial" w:hAnsi="Arial"/>
          <w:b/>
          <w:bCs/>
          <w:color w:val="2E4057"/>
          <w:spacing w:val="40"/>
          <w:sz w:val="22"/>
          <w:szCs w:val="22"/>
        </w:rPr>
        <w:t xml:space="preserve">ADDITIONAL INFORMATION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Right to Work: Full unrestricted right to work in the United Kingdom for any role or programme duration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Availability: Available immediately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Location: Nottingham — open to relocate anywhere in the UK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Portfolio: jaikishanpar844.github.io/portfolio — live projects, certifications, and contact details</w:t>
      </w:r>
    </w:p>
    <w:p>
      <w:pPr>
        <w:spacing w:before="60" w:after="0"/>
      </w:pP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5tei4jax8ntnctueu0iyh" Type="http://schemas.openxmlformats.org/officeDocument/2006/relationships/hyperlink" Target="https://www.linkedin.com/in/jaik-pal/" TargetMode="External"/><Relationship Id="rIdfbuuwpsxcg-afqnqrchhs" Type="http://schemas.openxmlformats.org/officeDocument/2006/relationships/hyperlink" Target="https://jaikishanpar844.github.io/portfolio/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2026-03-21T18:07:46.815Z</dcterms:created>
  <dcterms:modified xsi:type="dcterms:W3CDTF">2026-03-21T18:07:46.816Z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