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Requerimientos técnicos Suite Caja Notarial</w:t>
      </w:r>
    </w:p>
    <w:p>
      <w:pPr>
        <w:pStyle w:val="Subtitle"/>
      </w:pPr>
      <w:r>
        <w:t>Base funcional, arquitectura candidata y decisiones para validar antes de construir</w:t>
      </w:r>
    </w:p>
    <w:p>
      <w:r>
        <w:t>Versión 0.3  |  25 de octubre de 2026  |  Alcance, FastAPI, React framework y auditoría confirmados</w:t>
      </w:r>
    </w:p>
    <w:p>
      <w:pPr>
        <w:spacing w:after="0"/>
      </w:pPr>
      <w:r>
        <w:t>Decisiones confirmadas: suite completa; FastAPI; React con framework; auditoría de datos antes de decidir la migración.</w:t>
      </w:r>
    </w:p>
    <w:p>
      <w:pPr>
        <w:pStyle w:val="Heading1"/>
      </w:pPr>
      <w:r>
        <w:t>Propósito y alcance de este borrador</w:t>
      </w:r>
    </w:p>
    <w:p>
      <w:r>
        <w:t>Este documento organiza los requerimientos para una nueva Suite Caja Notarial en Python y PostgreSQL, con FastAPI y React con framework confirmados. La primera versión abarcará el panel interno, el portal de escribanos y el sitio público con CMS. La migración comenzará auditando estructura y volumen; después se decidirá qué datos trasladar. Falta elegir el framework React concreto según el alojamiento y las necesidades del sitio público. La meta es reemplazar y mejorar la suite observada, no copiar sus pantallas ni sus errores.</w:t>
      </w:r>
    </w:p>
    <w:p>
      <w:r>
        <w:t>La inspección disponible fue de pantallas administrativas y públicas. No se accedió al código fuente ni a la base de datos; por eso no afirmamos conocer todas las reglas de cálculo, tablas, integraciones, permisos ni volúmenes reales. No se descargó información de afiliados, declaraciones ni comprobantes para elaborar este borrador.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88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Marca</w:t>
            </w:r>
          </w:p>
        </w:tc>
        <w:tc>
          <w:tcPr>
            <w:tcW w:type="dxa" w:w="8496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Significado en el documento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Observado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Apareció en una vista inspeccionada; no implica que el proceso completo esté validado.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Requisito preliminar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Capacidad necesaria para la nueva suite, sujeta a reglas de negocio aprobadas.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Propuesta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Mejora sugerida para revisión; todavía no está aprobada.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Dato o decisión que debe confirmar la Caja antes de especificar o construir.</w:t>
            </w:r>
          </w:p>
        </w:tc>
      </w:tr>
    </w:tbl>
    <w:p>
      <w:pPr>
        <w:spacing w:after="20"/>
      </w:pPr>
    </w:p>
    <w:p>
      <w:pPr>
        <w:pStyle w:val="Heading1"/>
      </w:pPr>
      <w:r>
        <w:t>1. Base observada en la suite actual</w:t>
      </w:r>
    </w:p>
    <w:p>
      <w:r>
        <w:t>Las siguientes áreas se observaron durante la auditoría de la interfaz. Se usan como inventario inicial para no omitir funciones existentes.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232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8352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Hechos observados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Panel administrativo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Accesos a Afiliados, Usuarios, DDJJ, Reportes, Administración del Sitio Web, Estados Contables y Manual de Usuario.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Parámetros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Pantallas separadas para aportes previsionales y médico-asistenciales, registros notariales y datos/instrucciones de cuenta bancaria.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Usuarios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Listado con matrícula, datos de identidad/contacto, tipo de usuario y acciones de edición y eliminación/desactivación. No se observó botón de restablecimiento de contraseña.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DDJJ y boletas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Boletas con período, registros y protocolos, total, estado y acciones como ver boleta, imprimir, ver comprobante adjunto y confirmar. Se vieron estados como deuda y comprobante adjunto.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Reportes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Vista por fecha con datos de escrituras y aportes; vista histórica con años y totales. La tabla histórica requiere desplazamiento horizontal amplio.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Administración pública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Secciones editables de Quiénes Somos, Autoridades, Estados Contables, Ley de Creación, Reglamentación, Aportes y Noticias.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Estados contables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La vista mostraba documentos 2021–2024. El enlace rotulado EECC 2023 devolvió una página HTML de error en vez de mostrar el PDF. También se observaron recursos de imagen que no cargaban y etiquetas impropias.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Recuperación de acceso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En una prueba anterior, el correo de recuperación incluyó un enlace a localhost:8080, que no sirve como enlace público para el destinatario.</w:t>
            </w:r>
          </w:p>
        </w:tc>
      </w:tr>
    </w:tbl>
    <w:p>
      <w:pPr>
        <w:spacing w:after="20"/>
      </w:pPr>
    </w:p>
    <w:p>
      <w:r>
        <w:t>Estos hallazgos son defectos a evitar en el producto nuevo: enlaces públicos deben usar el dominio real; documentos deben validarse antes de publicarse; las etiquetas deben revisarse; las tablas deben adaptarse a pantallas pequeñas; y las operaciones de usuarios deben ser auditables.</w:t>
      </w:r>
    </w:p>
    <w:p>
      <w:pPr>
        <w:pStyle w:val="Heading1"/>
      </w:pPr>
      <w:r>
        <w:t>2. Objetivos del sistema nuevo</w:t>
      </w:r>
    </w:p>
    <w:p>
      <w:pPr>
        <w:pStyle w:val="ListBullet"/>
      </w:pPr>
      <w:r>
        <w:t>Reunir en un único sistema las operaciones de Caja que hoy están dispersas en módulos administrativos y páginas públicas, si el alcance final así lo confirma.</w:t>
      </w:r>
    </w:p>
    <w:p>
      <w:pPr>
        <w:pStyle w:val="ListBullet"/>
      </w:pPr>
      <w:r>
        <w:t>Conservar el historial necesario de afiliados, registros, DDJJ, boletas, comprobantes, aportes, estados contables y contenidos institucionales, sujeto a una política de migración aprobada.</w:t>
      </w:r>
    </w:p>
    <w:p>
      <w:pPr>
        <w:pStyle w:val="ListBullet"/>
      </w:pPr>
      <w:r>
        <w:t>Aplicar reglas de negocio explícitas, versionadas y probadas; no recalcular aportes con fórmulas deducidas de una pantalla.</w:t>
      </w:r>
    </w:p>
    <w:p>
      <w:pPr>
        <w:pStyle w:val="ListBullet"/>
      </w:pPr>
      <w:r>
        <w:t>Reducir errores operativos mediante validaciones, permisos por función, confirmaciones para acciones críticas y trazabilidad de cambios.</w:t>
      </w:r>
    </w:p>
    <w:p>
      <w:pPr>
        <w:pStyle w:val="ListBullet"/>
      </w:pPr>
      <w:r>
        <w:t>Permitir que agentes de programación trabajen por módulos con límites claros, pruebas y revisión humana; ningún agente puede inventar reglas financieras o modificar datos reales.</w:t>
      </w:r>
    </w:p>
    <w:p>
      <w:pPr>
        <w:pStyle w:val="Heading1"/>
      </w:pPr>
      <w:r>
        <w:t>3. Usuarios y permisos preliminares</w:t>
      </w:r>
    </w:p>
    <w:p>
      <w:r>
        <w:t>Los perfiles de abajo son candidatos para conversar, no una decisión de roles. La matriz exacta se debe derivar de quién realiza cada tarea y de quién puede aprobarla.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448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Perfil candidato</w:t>
            </w:r>
          </w:p>
        </w:tc>
        <w:tc>
          <w:tcPr>
            <w:tcW w:type="dxa" w:w="8136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Acceso que habría que definir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Administrador del sistema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Gestión de usuarios, roles, configuración técnica y auditoría.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Administración de Caja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Afiliados, DDJJ, boletas, comprobantes, parámetros y contenidos según autorización.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Tesorería/Contabilidad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Consulta o verificación de pagos, informes y estados contables; edición solo si se aprueba.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Escribano/Notario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Consulta y presentación de DDJJ, descarga de boletas, carga de comprobantes y seguimiento, si se incluye el portal externo.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Auditor/Consulta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Lectura de información autorizada, sin editar ni eliminar.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Público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Consulta de contenidos institucionales y documentos publicados, sin acceso administrativo.</w:t>
            </w:r>
          </w:p>
        </w:tc>
      </w:tr>
    </w:tbl>
    <w:p>
      <w:pPr>
        <w:spacing w:after="20"/>
      </w:pPr>
    </w:p>
    <w:p>
      <w:pPr>
        <w:spacing w:after="80"/>
        <w:ind w:left="173"/>
      </w:pPr>
      <w:r>
        <w:rPr>
          <w:b/>
          <w:color w:val="1D5B82"/>
        </w:rPr>
        <w:t xml:space="preserve">SEC-01 [Obligatorio propuesto] </w:t>
      </w:r>
      <w:r>
        <w:t>Cada pantalla y operación debe verificar permisos en el servidor; ocultar el botón en React no constituye control de acceso.</w:t>
      </w:r>
    </w:p>
    <w:p>
      <w:pPr>
        <w:spacing w:after="80"/>
        <w:ind w:left="173"/>
      </w:pPr>
      <w:r>
        <w:rPr>
          <w:b/>
          <w:color w:val="1D5B82"/>
        </w:rPr>
        <w:t xml:space="preserve">SEC-02 [Obligatorio propuesto] </w:t>
      </w:r>
      <w:r>
        <w:t>Permitir asignar permisos por rol y usuario, bloquear/desactivar cuentas y revisar sesiones activas.</w:t>
      </w:r>
    </w:p>
    <w:p>
      <w:pPr>
        <w:spacing w:after="80"/>
        <w:ind w:left="173"/>
      </w:pPr>
      <w:r>
        <w:rPr>
          <w:b/>
          <w:color w:val="1D5B82"/>
        </w:rPr>
        <w:t xml:space="preserve">SEC-03 [Obligatorio propuesto] </w:t>
      </w:r>
      <w:r>
        <w:t>Registrar quién creó, editó, confirmó, publicó, desactivó o exportó información y cuándo; conservar el antes y el después en cambios críticos.</w:t>
      </w:r>
    </w:p>
    <w:p>
      <w:pPr>
        <w:spacing w:after="80"/>
        <w:ind w:left="173"/>
      </w:pPr>
      <w:r>
        <w:rPr>
          <w:b/>
          <w:color w:val="1D5B82"/>
        </w:rPr>
        <w:t xml:space="preserve">SEC-04 [Obligatorio propuesto] </w:t>
      </w:r>
      <w:r>
        <w:t>La recuperación de contraseña debe emitir un enlace bajo el dominio público, con token individual, de un solo uso y vencimiento; la respuesta no debe revelar si una cuenta existe.</w:t>
      </w:r>
    </w:p>
    <w:p>
      <w:pPr>
        <w:pStyle w:val="Heading1"/>
      </w:pPr>
      <w:r>
        <w:t>4. Requerimientos funcionales por módulo</w:t>
      </w:r>
    </w:p>
    <w:p>
      <w:pPr>
        <w:pStyle w:val="Heading2"/>
      </w:pPr>
      <w:r>
        <w:t>4.1 Afiliados y registros notariales</w:t>
      </w:r>
    </w:p>
    <w:p>
      <w:pPr>
        <w:spacing w:after="80"/>
        <w:ind w:left="173"/>
      </w:pPr>
      <w:r>
        <w:rPr>
          <w:b/>
          <w:color w:val="1D5B82"/>
        </w:rPr>
        <w:t xml:space="preserve">DIR-01 [Por acordar] </w:t>
      </w:r>
      <w:r>
        <w:t>Buscar y consultar afiliados y registros mediante filtros aprobados (por ejemplo, matrícula, nombre, estado y registro).</w:t>
      </w:r>
    </w:p>
    <w:p>
      <w:pPr>
        <w:spacing w:after="80"/>
        <w:ind w:left="173"/>
      </w:pPr>
      <w:r>
        <w:rPr>
          <w:b/>
          <w:color w:val="1D5B82"/>
        </w:rPr>
        <w:t xml:space="preserve">DIR-02 [Propuesta] </w:t>
      </w:r>
      <w:r>
        <w:t>Mantener datos de contacto y estado activo/inactivo con validación en servidor, historial de cambios y motivo para cambios sensibles.</w:t>
      </w:r>
    </w:p>
    <w:p>
      <w:pPr>
        <w:spacing w:after="80"/>
        <w:ind w:left="173"/>
      </w:pPr>
      <w:r>
        <w:rPr>
          <w:b/>
          <w:color w:val="1D5B82"/>
        </w:rPr>
        <w:t xml:space="preserve">DIR-03 [Pendiente] </w:t>
      </w:r>
      <w:r>
        <w:t>Evitar duplicados según claves que la Caja confirme (matrícula, CUIT u otra); definir tratamiento de correcciones y bajas.</w:t>
      </w:r>
    </w:p>
    <w:p>
      <w:pPr>
        <w:spacing w:after="80"/>
        <w:ind w:left="173"/>
      </w:pPr>
      <w:r>
        <w:rPr>
          <w:b/>
          <w:color w:val="1D5B82"/>
        </w:rPr>
        <w:t xml:space="preserve">DIR-04 [Propuesta] </w:t>
      </w:r>
      <w:r>
        <w:t>Permitir alta, edición, activación/desactivación y consulta de detalle según permisos; desactivar no debe borrar el historial relacionado.</w:t>
      </w:r>
    </w:p>
    <w:p>
      <w:pPr>
        <w:pStyle w:val="Heading2"/>
      </w:pPr>
      <w:r>
        <w:t>4.2 Usuarios y acceso</w:t>
      </w:r>
    </w:p>
    <w:p>
      <w:pPr>
        <w:spacing w:after="80"/>
        <w:ind w:left="173"/>
      </w:pPr>
      <w:r>
        <w:rPr>
          <w:b/>
          <w:color w:val="1D5B82"/>
        </w:rPr>
        <w:t xml:space="preserve">USR-01 [Propuesta] </w:t>
      </w:r>
      <w:r>
        <w:t>Crear y mantener usuarios vinculados a una persona/registro sin duplicar datos identificatorios en varias tablas.</w:t>
      </w:r>
    </w:p>
    <w:p>
      <w:pPr>
        <w:spacing w:after="80"/>
        <w:ind w:left="173"/>
      </w:pPr>
      <w:r>
        <w:rPr>
          <w:b/>
          <w:color w:val="1D5B82"/>
        </w:rPr>
        <w:t xml:space="preserve">USR-02 [Propuesta] </w:t>
      </w:r>
      <w:r>
        <w:t>Mostrar estado de cuenta y rol; permitir suspender/reactivar con registro de motivo, usuario operador y fecha.</w:t>
      </w:r>
    </w:p>
    <w:p>
      <w:pPr>
        <w:spacing w:after="80"/>
        <w:ind w:left="173"/>
      </w:pPr>
      <w:r>
        <w:rPr>
          <w:b/>
          <w:color w:val="1D5B82"/>
        </w:rPr>
        <w:t xml:space="preserve">USR-03 [Obligatorio propuesto] </w:t>
      </w:r>
      <w:r>
        <w:t>Restablecer credenciales mediante flujo público válido, con expiración, invalidación de sesiones según decisión y confirmación de resultado sin exponer la contraseña.</w:t>
      </w:r>
    </w:p>
    <w:p>
      <w:pPr>
        <w:spacing w:after="80"/>
        <w:ind w:left="173"/>
      </w:pPr>
      <w:r>
        <w:rPr>
          <w:b/>
          <w:color w:val="1D5B82"/>
        </w:rPr>
        <w:t xml:space="preserve">USR-04 [Pendiente] </w:t>
      </w:r>
      <w:r>
        <w:t>Definir método de inicio de sesión (CUIT, email, matrícula u otro), segundo factor para administradores y política de bloqueo.</w:t>
      </w:r>
    </w:p>
    <w:p>
      <w:pPr>
        <w:pStyle w:val="Heading2"/>
      </w:pPr>
      <w:r>
        <w:t>4.3 DDJJ, boletas y comprobantes</w:t>
      </w:r>
    </w:p>
    <w:p>
      <w:pPr>
        <w:spacing w:after="80"/>
        <w:ind w:left="173"/>
      </w:pPr>
      <w:r>
        <w:rPr>
          <w:b/>
          <w:color w:val="1D5B82"/>
        </w:rPr>
        <w:t xml:space="preserve">DDJJ-01 [Por acordar] </w:t>
      </w:r>
      <w:r>
        <w:t>Crear, guardar, presentar y consultar declaraciones juradas por período y escribano, con los estados y permisos que defina la Caja.</w:t>
      </w:r>
    </w:p>
    <w:p>
      <w:pPr>
        <w:spacing w:after="80"/>
        <w:ind w:left="173"/>
      </w:pPr>
      <w:r>
        <w:rPr>
          <w:b/>
          <w:color w:val="1D5B82"/>
        </w:rPr>
        <w:t xml:space="preserve">DDJJ-02 [Pendiente] </w:t>
      </w:r>
      <w:r>
        <w:t>Calcular aportes solo con una tabla de reglas aprobada: porcentajes, mínimos, máximos, aportes fijos, interés, vencimientos, redondeos y vigencias. Cada versión de regla debe quedar identificada en el cálculo.</w:t>
      </w:r>
    </w:p>
    <w:p>
      <w:pPr>
        <w:spacing w:after="80"/>
        <w:ind w:left="173"/>
      </w:pPr>
      <w:r>
        <w:rPr>
          <w:b/>
          <w:color w:val="1D5B82"/>
        </w:rPr>
        <w:t xml:space="preserve">DDJJ-03 [Propuesta] </w:t>
      </w:r>
      <w:r>
        <w:t>Generar boleta con identificador único, período, desglose, total, vencimiento y estado; permitir visualizar e imprimir un PDF verificable.</w:t>
      </w:r>
    </w:p>
    <w:p>
      <w:pPr>
        <w:spacing w:after="80"/>
        <w:ind w:left="173"/>
      </w:pPr>
      <w:r>
        <w:rPr>
          <w:b/>
          <w:color w:val="1D5B82"/>
        </w:rPr>
        <w:t xml:space="preserve">DDJJ-04 [Obligatorio propuesto] </w:t>
      </w:r>
      <w:r>
        <w:t>Permitir adjuntar comprobantes con validación de extensión, MIME real, tamaño, nombre seguro, análisis antimalware y almacenamiento fuera de rutas ejecutables.</w:t>
      </w:r>
    </w:p>
    <w:p>
      <w:pPr>
        <w:spacing w:after="80"/>
        <w:ind w:left="173"/>
      </w:pPr>
      <w:r>
        <w:rPr>
          <w:b/>
          <w:color w:val="1D5B82"/>
        </w:rPr>
        <w:t xml:space="preserve">DDJJ-05 [Propuesta] </w:t>
      </w:r>
      <w:r>
        <w:t>Separar estados de declaración, boleta y pago para evitar que “comprobante adjunto” se interprete como “pago confirmado”. La Caja debe aprobar el catálogo de estados.</w:t>
      </w:r>
    </w:p>
    <w:p>
      <w:pPr>
        <w:spacing w:after="80"/>
        <w:ind w:left="173"/>
      </w:pPr>
      <w:r>
        <w:rPr>
          <w:b/>
          <w:color w:val="1D5B82"/>
        </w:rPr>
        <w:t xml:space="preserve">DDJJ-06 [Por acordar] </w:t>
      </w:r>
      <w:r>
        <w:t>Permitir al personal revisar un comprobante y confirmar/rechazar con motivo; conservar evidencia, fecha y operador.</w:t>
      </w:r>
    </w:p>
    <w:p>
      <w:pPr>
        <w:spacing w:after="80"/>
        <w:ind w:left="173"/>
      </w:pPr>
      <w:r>
        <w:rPr>
          <w:b/>
          <w:color w:val="1D5B82"/>
        </w:rPr>
        <w:t xml:space="preserve">DDJJ-07 [Pendiente] </w:t>
      </w:r>
      <w:r>
        <w:t>No integrar pagos electrónicos ni bancos hasta confirmar proveedor, cuentas, conciliación y autorizaciones.</w:t>
      </w:r>
    </w:p>
    <w:p>
      <w:pPr>
        <w:pStyle w:val="Heading2"/>
      </w:pPr>
      <w:r>
        <w:t>4.4 Parámetros de aportes</w:t>
      </w:r>
    </w:p>
    <w:p>
      <w:pPr>
        <w:spacing w:after="80"/>
        <w:ind w:left="173"/>
      </w:pPr>
      <w:r>
        <w:rPr>
          <w:b/>
          <w:color w:val="1D5B82"/>
        </w:rPr>
        <w:t xml:space="preserve">PAR-01 [Propuesta] </w:t>
      </w:r>
      <w:r>
        <w:t>Registrar parámetros por período y vigencia: fechas de vencimiento, porcentaje, mínimos/máximos, aportes fijos, aporte mensual e interés, conforme al catálogo aprobado.</w:t>
      </w:r>
    </w:p>
    <w:p>
      <w:pPr>
        <w:spacing w:after="80"/>
        <w:ind w:left="173"/>
      </w:pPr>
      <w:r>
        <w:rPr>
          <w:b/>
          <w:color w:val="1D5B82"/>
        </w:rPr>
        <w:t xml:space="preserve">PAR-02 [Obligatorio propuesto] </w:t>
      </w:r>
      <w:r>
        <w:t>Validar tipo, escala decimal, signo, rango, moneda y coherencia entre mínimo y máximo en servidor y base de datos.</w:t>
      </w:r>
    </w:p>
    <w:p>
      <w:pPr>
        <w:spacing w:after="80"/>
        <w:ind w:left="173"/>
      </w:pPr>
      <w:r>
        <w:rPr>
          <w:b/>
          <w:color w:val="1D5B82"/>
        </w:rPr>
        <w:t xml:space="preserve">PAR-03 [Pendiente] </w:t>
      </w:r>
      <w:r>
        <w:t>Una modificación no debe cambiar silenciosamente boletas ya emitidas; definir si se preserva la regla aplicada o si existe un proceso formal de recálculo.</w:t>
      </w:r>
    </w:p>
    <w:p>
      <w:pPr>
        <w:spacing w:after="80"/>
        <w:ind w:left="173"/>
      </w:pPr>
      <w:r>
        <w:rPr>
          <w:b/>
          <w:color w:val="1D5B82"/>
        </w:rPr>
        <w:t xml:space="preserve">PAR-04 [Pendiente] </w:t>
      </w:r>
      <w:r>
        <w:t>Guardar autor, fecha, motivo y valores anteriores/nuevos; definir si las modificaciones requieren una segunda aprobación.</w:t>
      </w:r>
    </w:p>
    <w:p>
      <w:pPr>
        <w:pStyle w:val="Heading2"/>
      </w:pPr>
      <w:r>
        <w:t>4.5 Reportes e historial</w:t>
      </w:r>
    </w:p>
    <w:p>
      <w:pPr>
        <w:spacing w:after="80"/>
        <w:ind w:left="173"/>
      </w:pPr>
      <w:r>
        <w:rPr>
          <w:b/>
          <w:color w:val="1D5B82"/>
        </w:rPr>
        <w:t xml:space="preserve">REP-01 [Propuesta] </w:t>
      </w:r>
      <w:r>
        <w:t>Filtrar reportes por período y campos autorizados; mostrar los filtros aplicados y el total de resultados.</w:t>
      </w:r>
    </w:p>
    <w:p>
      <w:pPr>
        <w:spacing w:after="80"/>
        <w:ind w:left="173"/>
      </w:pPr>
      <w:r>
        <w:rPr>
          <w:b/>
          <w:color w:val="1D5B82"/>
        </w:rPr>
        <w:t xml:space="preserve">REP-02 [Por acordar] </w:t>
      </w:r>
      <w:r>
        <w:t>Exportar XLSX/CSV con el mismo filtro, zona horaria y criterios que la pantalla; registrar exportaciones con datos sensibles.</w:t>
      </w:r>
    </w:p>
    <w:p>
      <w:pPr>
        <w:spacing w:after="80"/>
        <w:ind w:left="173"/>
      </w:pPr>
      <w:r>
        <w:rPr>
          <w:b/>
          <w:color w:val="1D5B82"/>
        </w:rPr>
        <w:t xml:space="preserve">REP-03 [Obligatorio propuesto] </w:t>
      </w:r>
      <w:r>
        <w:t>Diseñar tablas responsivas, con columnas configurables, encabezados fijos, paginación y vista de detalle; no exigir scroll horizontal de varios miles de píxeles.</w:t>
      </w:r>
    </w:p>
    <w:p>
      <w:pPr>
        <w:spacing w:after="80"/>
        <w:ind w:left="173"/>
      </w:pPr>
      <w:r>
        <w:rPr>
          <w:b/>
          <w:color w:val="1D5B82"/>
        </w:rPr>
        <w:t xml:space="preserve">REP-04 [Pendiente] </w:t>
      </w:r>
      <w:r>
        <w:t>Definir informes históricos obligatorios, sus totales y quién puede ver datos financieros o identificatorios.</w:t>
      </w:r>
    </w:p>
    <w:p>
      <w:pPr>
        <w:pStyle w:val="Heading2"/>
      </w:pPr>
      <w:r>
        <w:t>4.6 Sitio institucional y estados contables</w:t>
      </w:r>
    </w:p>
    <w:p>
      <w:pPr>
        <w:spacing w:after="80"/>
        <w:ind w:left="173"/>
      </w:pPr>
      <w:r>
        <w:rPr>
          <w:b/>
          <w:color w:val="1D5B82"/>
        </w:rPr>
        <w:t xml:space="preserve">WEB-01 [Por acordar] </w:t>
      </w:r>
      <w:r>
        <w:t>Editar páginas institucionales, autoridades, normativa, aportes, noticias y estados contables con borrador, vista previa, publicación y registro de versión.</w:t>
      </w:r>
    </w:p>
    <w:p>
      <w:pPr>
        <w:spacing w:after="80"/>
        <w:ind w:left="173"/>
      </w:pPr>
      <w:r>
        <w:rPr>
          <w:b/>
          <w:color w:val="1D5B82"/>
        </w:rPr>
        <w:t xml:space="preserve">WEB-02 [Obligatorio propuesto] </w:t>
      </w:r>
      <w:r>
        <w:t>Publicar PDF con verificación de que el archivo abre, título/descripción, año, fecha de publicación, tipo MIME correcto y enlace HTTPS bajo el dominio real.</w:t>
      </w:r>
    </w:p>
    <w:p>
      <w:pPr>
        <w:spacing w:after="80"/>
        <w:ind w:left="173"/>
      </w:pPr>
      <w:r>
        <w:rPr>
          <w:b/>
          <w:color w:val="1D5B82"/>
        </w:rPr>
        <w:t xml:space="preserve">WEB-03 [Pendiente] </w:t>
      </w:r>
      <w:r>
        <w:t>Reemplazar o retirar documentos con historial y sin romper enlaces publicados, según política aprobada.</w:t>
      </w:r>
    </w:p>
    <w:p>
      <w:pPr>
        <w:spacing w:after="80"/>
        <w:ind w:left="173"/>
      </w:pPr>
      <w:r>
        <w:rPr>
          <w:b/>
          <w:color w:val="1D5B82"/>
        </w:rPr>
        <w:t xml:space="preserve">WEB-04 [Pendiente] </w:t>
      </w:r>
      <w:r>
        <w:t>Definir cuáles páginas y documentos son públicos y cuáles requieren autenticación.</w:t>
      </w:r>
    </w:p>
    <w:p>
      <w:pPr>
        <w:pStyle w:val="Heading1"/>
      </w:pPr>
      <w:r>
        <w:t>5. Datos y modelo de información candidato</w:t>
      </w:r>
    </w:p>
    <w:p>
      <w:r>
        <w:t>Las entidades siguientes se deducen de las funciones vistas y sirven para iniciar el relevamiento. No son todavía un esquema de base aprobado; claves, relaciones, cardinalidades y campos se deben confirmar con responsables y datos reales.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448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Entidad candidata</w:t>
            </w:r>
          </w:p>
        </w:tc>
        <w:tc>
          <w:tcPr>
            <w:tcW w:type="dxa" w:w="8136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Propósito / datos por relevar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Persona y usuario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Identidad, datos de contacto, estado de cuenta y relación con roles.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Rol y permiso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Acciones permitidas y alcance de datos.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Afiliado / escribano / registro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Matrículas, registros, domicilios, contactos, estados e historial.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DDJJ y renglón declarado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Período, actos/escrituras y bases de cálculo aprobadas.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Regla de aporte y vigencia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Importes, porcentajes, mínimos/máximos, vencimientos y fuente normativa.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Boleta / pago / comprobante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Importe y desglose, estado, adjunto, revisión y conciliación si aplica.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Contenido web y documento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Tipo, año, título, archivo, versión, estado de publicación y metadatos.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Evento de auditoría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Actor, acción, fecha, objeto, valores anteriores/nuevos y resultado.</w:t>
            </w:r>
          </w:p>
        </w:tc>
      </w:tr>
    </w:tbl>
    <w:p>
      <w:pPr>
        <w:spacing w:after="20"/>
      </w:pPr>
    </w:p>
    <w:p>
      <w:r>
        <w:t>PostgreSQL debe almacenar dinero en tipos decimales exactos (no coma flotante), fechas y horas con zona horaria acordada, claves foráneas y restricciones de integridad. La estructura definitiva se diseña después de recibir un diccionario de datos o un esquema de solo estructura y validar las muestras con los dueños funcionales.</w:t>
      </w:r>
    </w:p>
    <w:p>
      <w:pPr>
        <w:pStyle w:val="Heading1"/>
      </w:pPr>
      <w:r>
        <w:t>6. Arquitectura tecnológica candidata</w:t>
      </w:r>
    </w:p>
    <w:p>
      <w:r>
        <w:t>Python, PostgreSQL, FastAPI y React con framework están confirmados. Falta elegir el framework React concreto. Para una suite con API, formularios, roles, reportes y sitio público, se mantiene una alternativa SPA para comparar durante el diseño de despliegue: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512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2592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Opción A</w:t>
            </w:r>
          </w:p>
        </w:tc>
        <w:tc>
          <w:tcPr>
            <w:tcW w:type="dxa" w:w="2664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Opción B</w:t>
            </w:r>
          </w:p>
        </w:tc>
        <w:tc>
          <w:tcPr>
            <w:tcW w:type="dxa" w:w="3816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Consideración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Backend Python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FastAPI + SQLAlchemy/Alembic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Django + Django REST Framework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FastAPI se orienta a API y genera contrato OpenAPI; Django trae un conjunto integrado de autenticación, administración y ORM. En ambos casos deben implementarse permisos y reglas del dominio con pruebas.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React + TypeScript con framework React que soporte SSR/SSG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React + TypeScript como SPA con Vite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Un framework facilita rutas y renderizado para páginas públicas; Vite resulta liviano para una consola privada de una sola página. El sitio público puede tener necesidades de buscadores distintas del panel.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Versión estable y soportada que esté vigente al inicio del desarrollo; fijar versión y política de actualización tras elegir el entorno.</w:t>
            </w:r>
          </w:p>
        </w:tc>
      </w:tr>
    </w:tbl>
    <w:p>
      <w:pPr>
        <w:spacing w:after="20"/>
      </w:pPr>
    </w:p>
    <w:p>
      <w:r>
        <w:t>Decisión confirmada: FastAPI para el backend, PostgreSQL como base de datos y React con TypeScript usando un framework para el sitio público y el panel. Falta elegir el framework React concreto y su modalidad de publicación según SEO y alojamiento. React recomienda un framework para aplicaciones completas nuevas; una SPA con Vite sigue como alternativa si se separan el panel y el sitio público. FastAPI ofrece documentación OpenAPI y una guía oficial para agentes de codificación. PostgreSQL mantiene cada versión mayor durante cinco años.</w:t>
      </w:r>
    </w:p>
    <w:p>
      <w:pPr>
        <w:pStyle w:val="Heading1"/>
      </w:pPr>
      <w:r>
        <w:t>7. Seguridad, privacidad y continuidad</w:t>
      </w:r>
    </w:p>
    <w:p>
      <w:pPr>
        <w:spacing w:after="80"/>
        <w:ind w:left="173"/>
      </w:pPr>
      <w:r>
        <w:rPr>
          <w:b/>
          <w:color w:val="1D5B82"/>
        </w:rPr>
        <w:t xml:space="preserve">SEC-05 [Obligatorio propuesto] </w:t>
      </w:r>
      <w:r>
        <w:t>HTTPS obligatorio, cookies seguras, protección CSRF si se usan sesiones, límites a intentos de acceso y secretos fuera del repositorio.</w:t>
      </w:r>
    </w:p>
    <w:p>
      <w:pPr>
        <w:spacing w:after="80"/>
        <w:ind w:left="173"/>
      </w:pPr>
      <w:r>
        <w:rPr>
          <w:b/>
          <w:color w:val="1D5B82"/>
        </w:rPr>
        <w:t xml:space="preserve">SEC-06 [Obligatorio propuesto] </w:t>
      </w:r>
      <w:r>
        <w:t>Cifrar respaldos y definir permisos mínimos para operadores, agentes de desarrollo y servicios. No usar datos reales en ambientes de desarrollo sin anonimización y autorización.</w:t>
      </w:r>
    </w:p>
    <w:p>
      <w:pPr>
        <w:spacing w:after="80"/>
        <w:ind w:left="173"/>
      </w:pPr>
      <w:r>
        <w:rPr>
          <w:b/>
          <w:color w:val="1D5B82"/>
        </w:rPr>
        <w:t xml:space="preserve">SEC-07 [Obligatorio propuesto] </w:t>
      </w:r>
      <w:r>
        <w:t>Validar y sanear en servidor toda entrada; parametrizar consultas; limitar carga de archivos; impedir ejecución de archivos aportados por usuarios.</w:t>
      </w:r>
    </w:p>
    <w:p>
      <w:pPr>
        <w:spacing w:after="80"/>
        <w:ind w:left="173"/>
      </w:pPr>
      <w:r>
        <w:rPr>
          <w:b/>
          <w:color w:val="1D5B82"/>
        </w:rPr>
        <w:t xml:space="preserve">OPS-01 [Pendiente] </w:t>
      </w:r>
      <w:r>
        <w:t>Respaldos automáticos, retención, copia independiente y simulacros documentados de restauración. Frecuencia y RPO/RTO quedan por acordar según operación.</w:t>
      </w:r>
    </w:p>
    <w:p>
      <w:pPr>
        <w:spacing w:after="80"/>
        <w:ind w:left="173"/>
      </w:pPr>
      <w:r>
        <w:rPr>
          <w:b/>
          <w:color w:val="1D5B82"/>
        </w:rPr>
        <w:t xml:space="preserve">OPS-02 [Propuesta] </w:t>
      </w:r>
      <w:r>
        <w:t>Registros de aplicación con datos sensibles ocultos; monitoreo de errores, disponibilidad y tareas programadas.</w:t>
      </w:r>
    </w:p>
    <w:p>
      <w:pPr>
        <w:spacing w:after="80"/>
        <w:ind w:left="173"/>
      </w:pPr>
      <w:r>
        <w:rPr>
          <w:b/>
          <w:color w:val="1D5B82"/>
        </w:rPr>
        <w:t xml:space="preserve">OPS-03 [Obligatorio propuesto] </w:t>
      </w:r>
      <w:r>
        <w:t>Ambientes separados de desarrollo, prueba y producción; despliegues revisables y posibilidad de volver a una versión anterior.</w:t>
      </w:r>
    </w:p>
    <w:p>
      <w:pPr>
        <w:pStyle w:val="Heading1"/>
      </w:pPr>
      <w:r>
        <w:t>8. Migración desde la suite actual</w:t>
      </w:r>
    </w:p>
    <w:p>
      <w:pPr/>
      <w:r>
        <w:t>1. Inventariar origen de datos, motor y versión, tablas, archivos, codificaciones, claves y relaciones; identificar quién puede autorizar acceso y exportación.</w:t>
      </w:r>
    </w:p>
    <w:p>
      <w:pPr/>
      <w:r>
        <w:t>2. Obtener primero esquema/diccionario y muestras anonimizadas. No descargar comprobantes, datos personales ni base completa hasta aprobar alcance, custodia y destino.</w:t>
      </w:r>
    </w:p>
    <w:p>
      <w:pPr/>
      <w:r>
        <w:t>3. Definir correspondencia entre campos viejos y nuevos, reglas de limpieza, duplicados, catálogos, estados, archivos y años históricos.</w:t>
      </w:r>
    </w:p>
    <w:p>
      <w:pPr/>
      <w:r>
        <w:t>4. Probar migración sobre copia controlada; comparar conteos y totales por período; documentar excepciones sin corregirlas en silencio.</w:t>
      </w:r>
    </w:p>
    <w:p>
      <w:pPr/>
      <w:r>
        <w:t>5. Hacer ensayo de corte, congelamiento de escrituras, migración final, verificación por Caja y plan de reversa.</w:t>
      </w:r>
    </w:p>
    <w:p>
      <w:r>
        <w:t>Decisión confirmada: primero auditar motor, estructura, volúmenes y calidad de datos. Después de ese relevamiento se decidirá si se migran todos los datos y adjuntos, solo los activos/recientes o si el sistema viejo queda disponible en consulta. No se diseñará una carga masiva antes de conocer formato y volumen reales.</w:t>
      </w:r>
    </w:p>
    <w:p>
      <w:pPr>
        <w:pStyle w:val="Heading1"/>
      </w:pPr>
      <w:r>
        <w:t>9. Desarrollo con agentes de IA</w:t>
      </w:r>
    </w:p>
    <w:p>
      <w:r>
        <w:t>Los agentes se tratarán como colaboradores de programación bajo instrucciones del repositorio. La aprobación funcional y la revisión de cambios de riesgo siguen en manos humanas.</w:t>
      </w:r>
    </w:p>
    <w:p>
      <w:pPr>
        <w:pStyle w:val="ListBullet"/>
      </w:pPr>
      <w:r>
        <w:t>Mantener un AGENTS.md raíz con arquitectura, comandos, estructura, reglas de seguridad, pruebas obligatorias y lista explícita de decisiones de negocio no aprobadas.</w:t>
      </w:r>
    </w:p>
    <w:p>
      <w:pPr>
        <w:pStyle w:val="ListBullet"/>
      </w:pPr>
      <w:r>
        <w:t>Dividir tareas por módulo y contrato de API; asignar un agente responsable por archivo o conjunto acotado. No permitir que dos agentes modifiquen al mismo tiempo el mismo modelo, migración o regla financiera.</w:t>
      </w:r>
    </w:p>
    <w:p>
      <w:pPr>
        <w:pStyle w:val="ListBullet"/>
      </w:pPr>
      <w:r>
        <w:t>Cada tarea del agente debe indicar objetivo, contexto, archivos permitidos, criterios de aceptación, pruebas a ejecutar y datos que no debe tocar.</w:t>
      </w:r>
    </w:p>
    <w:p>
      <w:pPr>
        <w:pStyle w:val="ListBullet"/>
      </w:pPr>
      <w:r>
        <w:t>Prohibir uso de producción, secretos, exportaciones con datos personales o envío real de correos por los agentes. Usar fixtures sintéticos y servicios simulados.</w:t>
      </w:r>
    </w:p>
    <w:p>
      <w:pPr>
        <w:pStyle w:val="ListBullet"/>
      </w:pPr>
      <w:r>
        <w:t>Para operaciones financieras, permisos, migración, recuperación de contraseña y publicación pública, exigir revisión humana y pruebas negativas de autorización.</w:t>
      </w:r>
    </w:p>
    <w:p>
      <w:pPr>
        <w:pStyle w:val="ListBullet"/>
      </w:pPr>
      <w:r>
        <w:t>Cada entrega incluye pruebas, migraciones reversibles cuando sea viable, documentación OpenAPI actualizada y smoke test del flujo afectado.</w:t>
      </w:r>
    </w:p>
    <w:p>
      <w:pPr>
        <w:pStyle w:val="Heading1"/>
      </w:pPr>
      <w:r>
        <w:t>10. Criterios de aceptación transversales</w:t>
      </w:r>
    </w:p>
    <w:p>
      <w:pPr/>
      <w:r>
        <w:t>1. Un usuario sin permiso no puede consultar ni ejecutar la operación llamando directamente a la API, aunque conozca la dirección.</w:t>
      </w:r>
    </w:p>
    <w:p>
      <w:pPr/>
      <w:r>
        <w:t>2. El restablecimiento de contraseña llega al dominio público, identifica la cuenta mediante token individual, caduca y no revela si existe el usuario.</w:t>
      </w:r>
    </w:p>
    <w:p>
      <w:pPr/>
      <w:r>
        <w:t>3. Los cálculos de aportes coinciden con casos de referencia aprobados por Caja para mínimos, máximos, porcentajes, vigencias, redondeos y mora.</w:t>
      </w:r>
    </w:p>
    <w:p>
      <w:pPr/>
      <w:r>
        <w:t>4. Una boleta ya emitida conserva evidencia de la regla utilizada; modificar parámetros no altera silenciosamente su importe.</w:t>
      </w:r>
    </w:p>
    <w:p>
      <w:pPr/>
      <w:r>
        <w:t>5. Un adjunto inválido, ejecutable, sobredimensionado o con contenido distinto de su extensión se rechaza y se registra.</w:t>
      </w:r>
    </w:p>
    <w:p>
      <w:pPr/>
      <w:r>
        <w:t>6. Un PDF público abre, coincide con su título/año y no muestra una página HTML de error bajo un enlace terminado en .pdf.</w:t>
      </w:r>
    </w:p>
    <w:p>
      <w:pPr/>
      <w:r>
        <w:t>7. Los reportes de pantalla y exportación producen los mismos registros y totales con idénticos filtros.</w:t>
      </w:r>
    </w:p>
    <w:p>
      <w:pPr/>
      <w:r>
        <w:t>8. La migración de prueba concilia conteos y totales aprobados; cada diferencia tiene registro y resolución explícita.</w:t>
      </w:r>
    </w:p>
    <w:p>
      <w:pPr/>
      <w:r>
        <w:t>9. La interfaz permite completar tareas principales con teclado y tiene etiquetas comprensibles, estados visibles y diseño adaptable.</w:t>
      </w:r>
    </w:p>
    <w:p>
      <w:r>
        <w:t>Umbrales de rendimiento, navegadores, accesibilidad, retención de auditoría, capacidad de carga, RPO/RTO y tiempos de respuesta deben definirse después de conocer usuarios simultáneos, volumen y operación real. No se fijan cifras sin esa base.</w:t>
      </w:r>
    </w:p>
    <w:p>
      <w:pPr>
        <w:pStyle w:val="Heading1"/>
      </w:pPr>
      <w:r>
        <w:t>11. Fases candidatas de trabajo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00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5112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Salida esperada</w:t>
            </w:r>
          </w:p>
        </w:tc>
        <w:tc>
          <w:tcPr>
            <w:tcW w:type="dxa" w:w="3312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Dependencia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0. Descubrimiento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Flujos, actores, reglas de cálculo, mapa de datos, catálogo de permisos y decisiones cerradas.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Responsables de Caja y acceso autorizado a documentación.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1. Base técnica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Repositorio, ambientes, login/roles, auditoría, CI, PostgreSQL y contrato API.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Framework y despliegue aprobados.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2. Maestros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Afiliados, escribanos/registros, usuarios y configuración controlada.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Modelo y reglas de identidad.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3. DDJJ y boletas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Declaración, cálculo aprobado, emisión, adjuntos y revisión de comprobantes.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Ejemplos de cálculo y estados aprobados.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4. Reportes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Informes de fecha e historial con exportación y conciliación.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Definiciones de reportes y permisos.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5. Sitio público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Contenido, documentos, estados contables y publicación segura.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Decisión SEO/renderizado y responsable editorial.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6. Migración/UAT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Ensayos, conciliación, capacitación, corte y reversa.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Formato/volumen de datos y aceptación formal.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12. Decisiones confirmadas y pendientes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  <w:tblHeader w:val="true"/>
        </w:trPr>
        <w:tc>
          <w:tcPr>
            <w:tcW w:type="dxa" w:w="792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20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5112"/>
            <w:vAlign w:val="center"/>
            <w:shd w:fill="123B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Alternativas iniciales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r>
              <w:t>D-01</w:t>
            </w:r>
          </w:p>
        </w:tc>
        <w:tc>
          <w:tcPr>
            <w:tcW w:type="dxa" w:w="4320"/>
            <w:vAlign w:val="center"/>
          </w:tcPr>
          <w:p>
            <w:r>
              <w:t>¿La IA será solo para desarrollo o también estará dentro de la suite?</w:t>
            </w:r>
          </w:p>
        </w:tc>
        <w:tc>
          <w:tcPr>
            <w:tcW w:type="dxa" w:w="5112"/>
            <w:vAlign w:val="center"/>
          </w:tcPr>
          <w:p>
            <w:r>
              <w:t>Pendiente: confirmar.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r>
              <w:t>D-02</w:t>
            </w:r>
          </w:p>
        </w:tc>
        <w:tc>
          <w:tcPr>
            <w:tcW w:type="dxa" w:w="4320"/>
            <w:vAlign w:val="center"/>
          </w:tcPr>
          <w:p>
            <w:r>
              <w:t>Alcance de la primera versión</w:t>
            </w:r>
          </w:p>
        </w:tc>
        <w:tc>
          <w:tcPr>
            <w:tcW w:type="dxa" w:w="5112"/>
            <w:vAlign w:val="center"/>
          </w:tcPr>
          <w:p>
            <w:r>
              <w:t>Confirmado: panel interno, portal de escribanos y sitio público/CMS.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r>
              <w:t>D-03</w:t>
            </w:r>
          </w:p>
        </w:tc>
        <w:tc>
          <w:tcPr>
            <w:tcW w:type="dxa" w:w="4320"/>
            <w:vAlign w:val="center"/>
          </w:tcPr>
          <w:p>
            <w:r>
              <w:t>Política de migración</w:t>
            </w:r>
          </w:p>
        </w:tc>
        <w:tc>
          <w:tcPr>
            <w:tcW w:type="dxa" w:w="5112"/>
            <w:vAlign w:val="center"/>
          </w:tcPr>
          <w:p>
            <w:r>
              <w:t>Confirmado: auditar estructura y volumen; decidir el contenido a migrar después.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r>
              <w:t>D-04</w:t>
            </w:r>
          </w:p>
        </w:tc>
        <w:tc>
          <w:tcPr>
            <w:tcW w:type="dxa" w:w="4320"/>
            <w:vAlign w:val="center"/>
          </w:tcPr>
          <w:p>
            <w:r>
              <w:t>Enfoque de frontend</w:t>
            </w:r>
          </w:p>
        </w:tc>
        <w:tc>
          <w:tcPr>
            <w:tcW w:type="dxa" w:w="5112"/>
            <w:vAlign w:val="center"/>
          </w:tcPr>
          <w:p>
            <w:r>
              <w:t>Confirmado: React + TypeScript con framework para sitio público y panel; framework concreto pendiente.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>
              <w:t>D-05</w:t>
            </w:r>
          </w:p>
        </w:tc>
        <w:tc>
          <w:tcPr>
            <w:tcW w:type="dxa" w:w="3389"/>
            <w:vAlign w:val="center"/>
          </w:tcPr>
          <w:p>
            <w:r>
              <w:t>Framework de Python</w:t>
            </w:r>
          </w:p>
        </w:tc>
        <w:tc>
          <w:tcPr>
            <w:tcW w:type="dxa" w:w="3389"/>
            <w:vAlign w:val="center"/>
          </w:tcPr>
          <w:p>
            <w:r>
              <w:t>Confirmado: FastAPI.</w:t>
            </w:r>
          </w:p>
        </w:tc>
      </w:tr>
    </w:tbl>
    <w:p>
      <w:pPr>
        <w:spacing w:after="20"/>
      </w:pPr>
    </w:p>
    <w:p>
      <w:r>
        <w:t>Queda pendiente confirmar si la IA se usará solo para desarrollar el sistema o también dentro del producto, y seleccionar el framework React concreto. La elección debe considerar buscadores, alojamiento y operación del sitio público.</w:t>
      </w:r>
    </w:p>
    <w:p>
      <w:pPr>
        <w:pStyle w:val="Heading1"/>
      </w:pPr>
      <w:r>
        <w:t>13. Referencias técnicas oficiales consultadas</w:t>
      </w:r>
    </w:p>
    <w:p>
      <w:pPr>
        <w:pStyle w:val="ListBullet"/>
      </w:pPr>
      <w:r>
        <w:t xml:space="preserve">React: creación de una aplicación nueva: </w:t>
      </w:r>
      <w:r>
        <w:rPr>
          <w:color w:val="1D5B82"/>
        </w:rPr>
        <w:t>https://react.dev/learn/creating-a-react-app</w:t>
      </w:r>
    </w:p>
    <w:p>
      <w:pPr>
        <w:pStyle w:val="ListBullet"/>
      </w:pPr>
      <w:r>
        <w:t xml:space="preserve">React: construir una aplicación desde cero: </w:t>
      </w:r>
      <w:r>
        <w:rPr>
          <w:color w:val="1D5B82"/>
        </w:rPr>
        <w:t>https://react.dev/learn/build-a-react-app-from-scratch</w:t>
      </w:r>
    </w:p>
    <w:p>
      <w:pPr>
        <w:pStyle w:val="ListBullet"/>
      </w:pPr>
      <w:r>
        <w:t xml:space="preserve">FastAPI: funcionalidades, OpenAPI y validación: </w:t>
      </w:r>
      <w:r>
        <w:rPr>
          <w:color w:val="1D5B82"/>
        </w:rPr>
        <w:t>https://fastapi.tiangolo.com/features/</w:t>
      </w:r>
    </w:p>
    <w:p>
      <w:pPr>
        <w:pStyle w:val="ListBullet"/>
      </w:pPr>
      <w:r>
        <w:t xml:space="preserve">FastAPI: guía oficial para agentes de codificación: </w:t>
      </w:r>
      <w:r>
        <w:rPr>
          <w:color w:val="1D5B82"/>
        </w:rPr>
        <w:t>https://fastapi.tiangolo.com/tutorial/</w:t>
      </w:r>
    </w:p>
    <w:p>
      <w:pPr>
        <w:pStyle w:val="ListBullet"/>
      </w:pPr>
      <w:r>
        <w:t xml:space="preserve">PostgreSQL: política de soporte de versiones: </w:t>
      </w:r>
      <w:r>
        <w:rPr>
          <w:color w:val="1D5B82"/>
        </w:rPr>
        <w:t>https://www.postgresql.org/support/versioning/</w:t>
      </w:r>
    </w:p>
    <w:p>
      <w:pPr>
        <w:pStyle w:val="ListBullet"/>
      </w:pPr>
      <w:r>
        <w:t xml:space="preserve">Django: política de versiones y soporte: </w:t>
      </w:r>
      <w:r>
        <w:rPr>
          <w:color w:val="1D5B82"/>
        </w:rPr>
        <w:t>https://docs.djangoproject.com/en/stable/faq/install/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E7E"/>
        <w:sz w:val="16"/>
      </w:rPr>
      <w:t>Borrador para revisión  •  25 de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C6E7E"/>
        <w:sz w:val="16"/>
      </w:rPr>
      <w:t>SUITE CAJA NOTARIAL  |  REQUERIMIENTOS TÉCNICOS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B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5B8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B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B64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técnicos Suite Caja Notarial</dc:title>
  <dc:subject>Versión 0.3; alcance completo, FastAPI y React con framework confirmados</dc:subject>
  <dc:creator>OpenAI</dc:creator>
  <cp:keywords>Suite Caja Notarial, Python, PostgreSQL, React, requerimientos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