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780242D7" w14:textId="3CE894AA" w:rsidR="00F542B7" w:rsidRPr="00F542B7" w:rsidRDefault="00C26F61">
          <w:pPr>
            <w:pStyle w:val="TDC1"/>
            <w:rPr>
              <w:rFonts w:eastAsiaTheme="minorEastAsia"/>
              <w:noProof/>
              <w:kern w:val="0"/>
              <w:lang w:eastAsia="es-ES"/>
              <w14:ligatures w14:val="none"/>
            </w:rPr>
          </w:pPr>
          <w:r w:rsidRPr="00F542B7">
            <w:rPr>
              <w:rFonts w:ascii="Arial" w:hAnsi="Arial" w:cs="Arial"/>
            </w:rPr>
            <w:fldChar w:fldCharType="begin"/>
          </w:r>
          <w:r w:rsidRPr="00F542B7">
            <w:rPr>
              <w:rFonts w:ascii="Arial" w:hAnsi="Arial" w:cs="Arial"/>
            </w:rPr>
            <w:instrText xml:space="preserve"> TOC \o "1-3" \h \z \u </w:instrText>
          </w:r>
          <w:r w:rsidRPr="00F542B7">
            <w:rPr>
              <w:rFonts w:ascii="Arial" w:hAnsi="Arial" w:cs="Arial"/>
            </w:rPr>
            <w:fldChar w:fldCharType="separate"/>
          </w:r>
          <w:hyperlink w:anchor="_Toc128579692" w:history="1">
            <w:r w:rsidR="00F542B7" w:rsidRPr="00F542B7">
              <w:rPr>
                <w:rStyle w:val="Hipervnculo"/>
                <w:rFonts w:ascii="Arial" w:hAnsi="Arial" w:cs="Arial"/>
                <w:noProof/>
                <w:spacing w:val="20"/>
              </w:rPr>
              <w:t>1. Introducción</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_Toc128579692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09CB32C3" w14:textId="40AF9F1D" w:rsidR="00F542B7" w:rsidRPr="00F542B7" w:rsidRDefault="00000000">
          <w:pPr>
            <w:pStyle w:val="TDC2"/>
            <w:rPr>
              <w:rFonts w:cstheme="minorBidi"/>
              <w:noProof/>
            </w:rPr>
          </w:pPr>
          <w:hyperlink w:anchor="_Toc128579693" w:history="1">
            <w:r w:rsidR="00F542B7" w:rsidRPr="00F542B7">
              <w:rPr>
                <w:rStyle w:val="Hipervnculo"/>
                <w:rFonts w:ascii="Arial" w:hAnsi="Arial" w:cs="Arial"/>
                <w:noProof/>
              </w:rPr>
              <w:t>1.1 Contexto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_Toc128579693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536711AB" w14:textId="56C9E6BE" w:rsidR="00F542B7" w:rsidRPr="00F542B7" w:rsidRDefault="00000000">
          <w:pPr>
            <w:pStyle w:val="TDC2"/>
            <w:rPr>
              <w:rFonts w:cstheme="minorBidi"/>
              <w:noProof/>
            </w:rPr>
          </w:pPr>
          <w:hyperlink w:anchor="_Toc128579694" w:history="1">
            <w:r w:rsidR="00F542B7" w:rsidRPr="00F542B7">
              <w:rPr>
                <w:rStyle w:val="Hipervnculo"/>
                <w:rFonts w:ascii="Arial" w:hAnsi="Arial" w:cs="Arial"/>
                <w:noProof/>
              </w:rPr>
              <w:t>1.2 Objetivos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_Toc128579694 \h </w:instrText>
            </w:r>
            <w:r w:rsidR="00F542B7" w:rsidRPr="00F542B7">
              <w:rPr>
                <w:noProof/>
                <w:webHidden/>
              </w:rPr>
            </w:r>
            <w:r w:rsidR="00F542B7" w:rsidRPr="00F542B7">
              <w:rPr>
                <w:noProof/>
                <w:webHidden/>
              </w:rPr>
              <w:fldChar w:fldCharType="separate"/>
            </w:r>
            <w:r w:rsidR="00F542B7" w:rsidRPr="00F542B7">
              <w:rPr>
                <w:noProof/>
                <w:webHidden/>
              </w:rPr>
              <w:t>5</w:t>
            </w:r>
            <w:r w:rsidR="00F542B7" w:rsidRPr="00F542B7">
              <w:rPr>
                <w:noProof/>
                <w:webHidden/>
              </w:rPr>
              <w:fldChar w:fldCharType="end"/>
            </w:r>
          </w:hyperlink>
        </w:p>
        <w:p w14:paraId="341DBB1E" w14:textId="6957CEC5" w:rsidR="00F542B7" w:rsidRPr="00F542B7" w:rsidRDefault="00000000">
          <w:pPr>
            <w:pStyle w:val="TDC1"/>
            <w:rPr>
              <w:rFonts w:eastAsiaTheme="minorEastAsia"/>
              <w:noProof/>
              <w:kern w:val="0"/>
              <w:lang w:eastAsia="es-ES"/>
              <w14:ligatures w14:val="none"/>
            </w:rPr>
          </w:pPr>
          <w:hyperlink w:anchor="_Toc128579695" w:history="1">
            <w:r w:rsidR="00F542B7" w:rsidRPr="00F542B7">
              <w:rPr>
                <w:rStyle w:val="Hipervnculo"/>
                <w:rFonts w:ascii="Arial" w:hAnsi="Arial" w:cs="Arial"/>
                <w:noProof/>
                <w:spacing w:val="20"/>
              </w:rPr>
              <w:t xml:space="preserve">2. </w:t>
            </w:r>
            <w:r w:rsidR="00830E0A">
              <w:rPr>
                <w:rStyle w:val="Hipervnculo"/>
                <w:rFonts w:ascii="Arial" w:hAnsi="Arial" w:cs="Arial"/>
                <w:noProof/>
                <w:spacing w:val="20"/>
              </w:rPr>
              <w:t>Análisis</w:t>
            </w:r>
            <w:r w:rsidR="00830E0A" w:rsidRPr="00F542B7">
              <w:rPr>
                <w:rStyle w:val="Hipervnculo"/>
                <w:rFonts w:ascii="Arial" w:hAnsi="Arial" w:cs="Arial"/>
                <w:noProof/>
                <w:spacing w:val="20"/>
              </w:rPr>
              <w:t xml:space="preserve"> </w:t>
            </w:r>
            <w:r w:rsidR="00F542B7" w:rsidRPr="00F542B7">
              <w:rPr>
                <w:rStyle w:val="Hipervnculo"/>
                <w:rFonts w:ascii="Arial" w:hAnsi="Arial" w:cs="Arial"/>
                <w:noProof/>
                <w:spacing w:val="20"/>
              </w:rPr>
              <w:t>de requisitos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_Toc128579695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3A03A3F" w14:textId="68A454CC" w:rsidR="00F542B7" w:rsidRPr="00F542B7" w:rsidRDefault="00000000">
          <w:pPr>
            <w:pStyle w:val="TDC2"/>
            <w:rPr>
              <w:rFonts w:cstheme="minorBidi"/>
              <w:noProof/>
            </w:rPr>
          </w:pPr>
          <w:hyperlink w:anchor="_Toc128579696" w:history="1">
            <w:r w:rsidR="00F542B7" w:rsidRPr="00F542B7">
              <w:rPr>
                <w:rStyle w:val="Hipervnculo"/>
                <w:rFonts w:ascii="Arial" w:hAnsi="Arial" w:cs="Arial"/>
                <w:noProof/>
              </w:rPr>
              <w:t xml:space="preserve">2.1 </w:t>
            </w:r>
            <w:r w:rsidR="00901720">
              <w:rPr>
                <w:rStyle w:val="Hipervnculo"/>
                <w:rFonts w:ascii="Arial" w:hAnsi="Arial" w:cs="Arial"/>
                <w:noProof/>
              </w:rPr>
              <w:t>Modelo de dominio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_Toc128579696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64E7869C" w14:textId="26F69777" w:rsidR="00F542B7" w:rsidRPr="00F542B7" w:rsidRDefault="00000000">
          <w:pPr>
            <w:pStyle w:val="TDC2"/>
            <w:rPr>
              <w:rFonts w:cstheme="minorBidi"/>
              <w:noProof/>
            </w:rPr>
          </w:pPr>
          <w:hyperlink w:anchor="_Toc128579697" w:history="1">
            <w:r w:rsidR="00F542B7" w:rsidRPr="00F542B7">
              <w:rPr>
                <w:rStyle w:val="Hipervnculo"/>
                <w:rFonts w:ascii="Arial" w:hAnsi="Arial" w:cs="Arial"/>
                <w:noProof/>
              </w:rPr>
              <w:t>2.2 Requisitos funcionales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_Toc128579697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29D840E" w14:textId="2123F51A" w:rsidR="00C26F61" w:rsidRDefault="00C26F61">
          <w:r w:rsidRPr="00F542B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28579692"/>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28579693"/>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28579694"/>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131EF2">
        <w:rPr>
          <w:rFonts w:ascii="Arial" w:hAnsi="Arial" w:cs="Arial"/>
          <w:i/>
          <w:iCs/>
        </w:rPr>
        <w:t>frontend</w:t>
      </w:r>
      <w:proofErr w:type="spellEnd"/>
      <w:r>
        <w:rPr>
          <w:rFonts w:ascii="Arial" w:hAnsi="Arial" w:cs="Arial"/>
        </w:rPr>
        <w:t xml:space="preserve">, tales como </w:t>
      </w:r>
      <w:r w:rsidRPr="00033F78">
        <w:rPr>
          <w:rFonts w:ascii="Arial" w:hAnsi="Arial" w:cs="Arial"/>
          <w:i/>
          <w:iCs/>
        </w:rPr>
        <w:t>Angular</w:t>
      </w:r>
      <w:r>
        <w:rPr>
          <w:rFonts w:ascii="Arial" w:hAnsi="Arial" w:cs="Arial"/>
        </w:rPr>
        <w:t xml:space="preserve"> o </w:t>
      </w:r>
      <w:proofErr w:type="spellStart"/>
      <w:r w:rsidRPr="00033F78">
        <w:rPr>
          <w:rFonts w:ascii="Arial" w:hAnsi="Arial" w:cs="Arial"/>
          <w:i/>
          <w:iCs/>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28579695"/>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 xml:space="preserve">Para 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28579696"/>
      <w:r w:rsidRPr="00EA0FED">
        <w:rPr>
          <w:rFonts w:ascii="Arial" w:hAnsi="Arial" w:cs="Arial"/>
          <w:b/>
          <w:bCs/>
          <w:color w:val="auto"/>
          <w:sz w:val="24"/>
          <w:szCs w:val="24"/>
        </w:rPr>
        <w:t xml:space="preserve">2.1 </w:t>
      </w:r>
      <w:bookmarkEnd w:id="6"/>
      <w:bookmarkEnd w:id="7"/>
      <w:r w:rsidR="00901720">
        <w:rPr>
          <w:rFonts w:ascii="Arial" w:hAnsi="Arial" w:cs="Arial"/>
          <w:b/>
          <w:bCs/>
          <w:color w:val="auto"/>
          <w:sz w:val="24"/>
          <w:szCs w:val="24"/>
        </w:rPr>
        <w:t>Modelo de dominio</w:t>
      </w:r>
    </w:p>
    <w:p w14:paraId="67DC832B" w14:textId="77777777" w:rsidR="003C7878" w:rsidRDefault="003C7878" w:rsidP="003C7878">
      <w:pPr>
        <w:jc w:val="both"/>
        <w:rPr>
          <w:rFonts w:ascii="Arial" w:hAnsi="Arial" w:cs="Arial"/>
        </w:rPr>
      </w:pPr>
    </w:p>
    <w:p w14:paraId="6D542140" w14:textId="555A7F90" w:rsidR="003C7878" w:rsidRDefault="00901720" w:rsidP="003C7878">
      <w:pPr>
        <w:jc w:val="both"/>
        <w:rPr>
          <w:rFonts w:ascii="Arial" w:hAnsi="Arial" w:cs="Arial"/>
        </w:rPr>
      </w:pPr>
      <w:r>
        <w:rPr>
          <w:rFonts w:ascii="Arial" w:hAnsi="Arial" w:cs="Arial"/>
        </w:rPr>
        <w:t>A continuación, se expone e</w:t>
      </w:r>
      <w:r w:rsidR="003C7878">
        <w:rPr>
          <w:rFonts w:ascii="Arial" w:hAnsi="Arial" w:cs="Arial"/>
        </w:rPr>
        <w:t xml:space="preserve">l </w:t>
      </w:r>
      <w:r>
        <w:rPr>
          <w:rFonts w:ascii="Arial" w:hAnsi="Arial" w:cs="Arial"/>
        </w:rPr>
        <w:t>modelo de dominio</w:t>
      </w:r>
      <w:r w:rsidR="003C7878">
        <w:rPr>
          <w:rFonts w:ascii="Arial" w:hAnsi="Arial" w:cs="Arial"/>
        </w:rPr>
        <w:t xml:space="preserve"> del sistema a desarrollar</w:t>
      </w:r>
      <w:r>
        <w:rPr>
          <w:rFonts w:ascii="Arial" w:hAnsi="Arial" w:cs="Arial"/>
        </w:rPr>
        <w:t>, como una técnica para un mejor entendimiento y especificación de los requisitos</w:t>
      </w:r>
      <w:r w:rsidR="003C7878">
        <w:rPr>
          <w:rFonts w:ascii="Arial" w:hAnsi="Arial" w:cs="Arial"/>
        </w:rPr>
        <w:t>:</w:t>
      </w:r>
    </w:p>
    <w:p w14:paraId="0344C4FA" w14:textId="5A63C549" w:rsidR="003C7878" w:rsidRDefault="006B0BFC" w:rsidP="00315C1B">
      <w:pPr>
        <w:jc w:val="both"/>
        <w:rPr>
          <w:rFonts w:ascii="Arial" w:hAnsi="Arial" w:cs="Arial"/>
        </w:rPr>
      </w:pPr>
      <w:r>
        <w:rPr>
          <w:noProof/>
        </w:rPr>
        <w:drawing>
          <wp:inline distT="0" distB="0" distL="0" distR="0" wp14:anchorId="335FCDF6" wp14:editId="4C26C763">
            <wp:extent cx="6109854" cy="3637252"/>
            <wp:effectExtent l="0" t="0" r="5715" b="1905"/>
            <wp:docPr id="1791563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4911" cy="3646215"/>
                    </a:xfrm>
                    <a:prstGeom prst="rect">
                      <a:avLst/>
                    </a:prstGeom>
                    <a:noFill/>
                    <a:ln>
                      <a:noFill/>
                    </a:ln>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w:t>
      </w:r>
      <w:commentRangeStart w:id="9"/>
      <w:commentRangeStart w:id="10"/>
      <w:r w:rsidRPr="003C7878">
        <w:rPr>
          <w:rFonts w:ascii="Arial" w:hAnsi="Arial" w:cs="Arial"/>
          <w:i/>
          <w:iCs/>
          <w:color w:val="595959" w:themeColor="text1" w:themeTint="A6"/>
        </w:rPr>
        <w:t>aplicación</w:t>
      </w:r>
      <w:bookmarkEnd w:id="8"/>
      <w:commentRangeEnd w:id="9"/>
      <w:r w:rsidR="00FC19A4">
        <w:rPr>
          <w:rStyle w:val="Refdecomentario"/>
        </w:rPr>
        <w:commentReference w:id="9"/>
      </w:r>
      <w:commentRangeEnd w:id="10"/>
      <w:r w:rsidR="004A7E0D">
        <w:rPr>
          <w:rStyle w:val="Refdecomentario"/>
        </w:rPr>
        <w:commentReference w:id="10"/>
      </w:r>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11" w:name="_Toc128579697"/>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11"/>
    </w:p>
    <w:p w14:paraId="22FCDF8C" w14:textId="5A18CE55" w:rsidR="00CE2421" w:rsidRDefault="00CE2421" w:rsidP="00315C1B">
      <w:pPr>
        <w:jc w:val="both"/>
        <w:rPr>
          <w:rFonts w:ascii="Arial" w:hAnsi="Arial" w:cs="Arial"/>
        </w:rPr>
      </w:pPr>
    </w:p>
    <w:p w14:paraId="04B06FDE" w14:textId="7CE0BFAB"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ara una mejor organización, se ha decidido dividir los requisitos funcionales en tres subapartados o gestiones:</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lastRenderedPageBreak/>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34D0902E" w14:textId="52C08186" w:rsidR="00626A33" w:rsidRDefault="00AB71CA" w:rsidP="00D555B7">
      <w:pPr>
        <w:jc w:val="center"/>
        <w:rPr>
          <w:rFonts w:ascii="Arial" w:hAnsi="Arial" w:cs="Arial"/>
        </w:rPr>
      </w:pPr>
      <w:r>
        <w:rPr>
          <w:rFonts w:ascii="Arial" w:hAnsi="Arial" w:cs="Arial"/>
          <w:noProof/>
        </w:rPr>
        <w:drawing>
          <wp:inline distT="0" distB="0" distL="0" distR="0" wp14:anchorId="75122E5B" wp14:editId="4694BA6B">
            <wp:extent cx="5391150" cy="2000250"/>
            <wp:effectExtent l="0" t="0" r="0" b="0"/>
            <wp:docPr id="30164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2"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2"/>
    </w:p>
    <w:p w14:paraId="1E590B70" w14:textId="77777777" w:rsidR="00626A33" w:rsidRPr="00626A33" w:rsidRDefault="00626A33" w:rsidP="00626A33">
      <w:pPr>
        <w:jc w:val="center"/>
        <w:rPr>
          <w:rFonts w:ascii="Arial" w:hAnsi="Arial" w:cs="Arial"/>
          <w:i/>
          <w:iCs/>
          <w:color w:val="595959" w:themeColor="text1" w:themeTint="A6"/>
        </w:rPr>
      </w:pPr>
    </w:p>
    <w:p w14:paraId="52EFA2FE" w14:textId="3731CFCF" w:rsidR="00EA0FED" w:rsidRDefault="0066752B" w:rsidP="00D555B7">
      <w:pPr>
        <w:jc w:val="center"/>
        <w:rPr>
          <w:rFonts w:ascii="Arial" w:hAnsi="Arial" w:cs="Arial"/>
        </w:rPr>
      </w:pPr>
      <w:r w:rsidRPr="0066752B">
        <w:rPr>
          <w:rFonts w:ascii="Arial" w:hAnsi="Arial" w:cs="Arial"/>
          <w:noProof/>
        </w:rPr>
        <w:drawing>
          <wp:inline distT="0" distB="0" distL="0" distR="0" wp14:anchorId="0CFE08D4" wp14:editId="707FC2B9">
            <wp:extent cx="5400040" cy="3088640"/>
            <wp:effectExtent l="0" t="0" r="0" b="0"/>
            <wp:docPr id="196945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58824" name=""/>
                    <pic:cNvPicPr/>
                  </pic:nvPicPr>
                  <pic:blipFill>
                    <a:blip r:embed="rId17"/>
                    <a:stretch>
                      <a:fillRect/>
                    </a:stretch>
                  </pic:blipFill>
                  <pic:spPr>
                    <a:xfrm>
                      <a:off x="0" y="0"/>
                      <a:ext cx="5400040" cy="3088640"/>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3"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Inventario</w:t>
      </w:r>
      <w:bookmarkEnd w:id="13"/>
    </w:p>
    <w:p w14:paraId="672C84A6" w14:textId="77777777" w:rsidR="00C51284" w:rsidRPr="00637C7C" w:rsidRDefault="00C51284" w:rsidP="00637C7C">
      <w:pPr>
        <w:jc w:val="center"/>
        <w:rPr>
          <w:rFonts w:ascii="Arial" w:hAnsi="Arial" w:cs="Arial"/>
          <w:i/>
          <w:iCs/>
          <w:color w:val="595959" w:themeColor="text1" w:themeTint="A6"/>
        </w:rPr>
      </w:pPr>
    </w:p>
    <w:p w14:paraId="718F549D" w14:textId="49687EB1" w:rsidR="00EA0FED" w:rsidRDefault="0066752B" w:rsidP="00D555B7">
      <w:pPr>
        <w:jc w:val="center"/>
        <w:rPr>
          <w:rFonts w:ascii="Arial" w:hAnsi="Arial" w:cs="Arial"/>
        </w:rPr>
      </w:pPr>
      <w:r w:rsidRPr="0066752B">
        <w:rPr>
          <w:rFonts w:ascii="Arial" w:hAnsi="Arial" w:cs="Arial"/>
          <w:noProof/>
        </w:rPr>
        <w:lastRenderedPageBreak/>
        <w:drawing>
          <wp:inline distT="0" distB="0" distL="0" distR="0" wp14:anchorId="48D12CBC" wp14:editId="3736F690">
            <wp:extent cx="5400040" cy="3080385"/>
            <wp:effectExtent l="0" t="0" r="0" b="5715"/>
            <wp:docPr id="455097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97701" name=""/>
                    <pic:cNvPicPr/>
                  </pic:nvPicPr>
                  <pic:blipFill>
                    <a:blip r:embed="rId18"/>
                    <a:stretch>
                      <a:fillRect/>
                    </a:stretch>
                  </pic:blipFill>
                  <pic:spPr>
                    <a:xfrm>
                      <a:off x="0" y="0"/>
                      <a:ext cx="5400040" cy="3080385"/>
                    </a:xfrm>
                    <a:prstGeom prst="rect">
                      <a:avLst/>
                    </a:prstGeom>
                  </pic:spPr>
                </pic:pic>
              </a:graphicData>
            </a:graphic>
          </wp:inline>
        </w:drawing>
      </w:r>
    </w:p>
    <w:p w14:paraId="544F8F9D" w14:textId="3D9BB100" w:rsidR="00EA0FED" w:rsidRDefault="00637C7C" w:rsidP="00D555B7">
      <w:pPr>
        <w:jc w:val="center"/>
        <w:rPr>
          <w:rFonts w:ascii="Arial" w:hAnsi="Arial" w:cs="Arial"/>
        </w:rPr>
      </w:pPr>
      <w:bookmarkStart w:id="14"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5"/>
      <w:commentRangeStart w:id="16"/>
      <w:r>
        <w:rPr>
          <w:rFonts w:ascii="Arial" w:hAnsi="Arial" w:cs="Arial"/>
          <w:i/>
          <w:iCs/>
          <w:color w:val="595959" w:themeColor="text1" w:themeTint="A6"/>
        </w:rPr>
        <w:t>TPV</w:t>
      </w:r>
      <w:bookmarkEnd w:id="14"/>
      <w:commentRangeEnd w:id="15"/>
      <w:r w:rsidR="00CE294A">
        <w:rPr>
          <w:rStyle w:val="Refdecomentario"/>
        </w:rPr>
        <w:commentReference w:id="15"/>
      </w:r>
      <w:commentRangeEnd w:id="16"/>
      <w:r w:rsidR="00114821">
        <w:rPr>
          <w:rStyle w:val="Refdecomentario"/>
        </w:rPr>
        <w:commentReference w:id="16"/>
      </w: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9"/>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17"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17"/>
    </w:p>
    <w:p w14:paraId="3458C31A" w14:textId="77777777" w:rsidR="00EA0FED" w:rsidRPr="00715FE1" w:rsidRDefault="00EA0FED" w:rsidP="00715FE1">
      <w:pPr>
        <w:jc w:val="both"/>
        <w:rPr>
          <w:rFonts w:ascii="Arial" w:hAnsi="Arial" w:cs="Arial"/>
        </w:rPr>
      </w:pPr>
    </w:p>
    <w:p w14:paraId="3847652E" w14:textId="77777777" w:rsidR="00672062" w:rsidRDefault="00672062"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w:t>
      </w:r>
      <w:proofErr w:type="spellStart"/>
      <w:r w:rsidRPr="006C5E33">
        <w:rPr>
          <w:rFonts w:ascii="Arial" w:hAnsi="Arial" w:cs="Arial"/>
          <w:lang w:val="en-GB"/>
        </w:rPr>
        <w:t>Kark</w:t>
      </w:r>
      <w:proofErr w:type="spellEnd"/>
      <w:r w:rsidRPr="006C5E33">
        <w:rPr>
          <w:rFonts w:ascii="Arial" w:hAnsi="Arial" w:cs="Arial"/>
          <w:lang w:val="en-GB"/>
        </w:rPr>
        <w:t xml:space="preserve">, Anjali Shaikh, Caroline Brown | [Deloitte Insights]. </w:t>
      </w:r>
      <w:r w:rsidRPr="00BC4BE1">
        <w:rPr>
          <w:rFonts w:ascii="Arial" w:hAnsi="Arial" w:cs="Arial"/>
        </w:rPr>
        <w:t xml:space="preserve">[Citado 8 de febrero de 2023]. Disponible en: </w:t>
      </w:r>
      <w:hyperlink r:id="rId20"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21"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opez Martinez, Patricia" w:date="2023-05-10T10:50:00Z" w:initials="LMP">
    <w:p w14:paraId="383A706A" w14:textId="77777777" w:rsidR="00FC19A4" w:rsidRDefault="00FC19A4">
      <w:pPr>
        <w:pStyle w:val="Textocomentario"/>
      </w:pPr>
      <w:r>
        <w:rPr>
          <w:rStyle w:val="Refdecomentario"/>
        </w:rPr>
        <w:annotationRef/>
      </w:r>
      <w:r>
        <w:t xml:space="preserve">El IVA quizá se podría modelar como un enumerado, porque al fin y al cabo no puede tener cualquier valor </w:t>
      </w:r>
      <w:proofErr w:type="spellStart"/>
      <w:r>
        <w:t>double</w:t>
      </w:r>
      <w:proofErr w:type="spellEnd"/>
      <w:r>
        <w:t>.</w:t>
      </w:r>
    </w:p>
    <w:p w14:paraId="2EC1475D" w14:textId="6E2A1EEF" w:rsidR="00FC19A4" w:rsidRDefault="00FC19A4">
      <w:pPr>
        <w:pStyle w:val="Textocomentario"/>
      </w:pPr>
      <w:r>
        <w:t xml:space="preserve">Lo del precio y el descuento en </w:t>
      </w:r>
      <w:proofErr w:type="spellStart"/>
      <w:r>
        <w:t>LineaFactura</w:t>
      </w:r>
      <w:proofErr w:type="spellEnd"/>
      <w:r>
        <w:t xml:space="preserve"> es verdad, no lo había pensado, que hay que almacenarlo porque más adelante el precio del artículo podría cambiar. Pero en ese caso ya no son derivados.</w:t>
      </w:r>
    </w:p>
  </w:comment>
  <w:comment w:id="10" w:author="Jaime Eduardo Baires Escalante" w:date="2023-05-23T23:44:00Z" w:initials="JEBE">
    <w:p w14:paraId="0C289150" w14:textId="50ACE823" w:rsidR="004A7E0D" w:rsidRDefault="004A7E0D">
      <w:pPr>
        <w:pStyle w:val="Textocomentario"/>
      </w:pPr>
      <w:r>
        <w:rPr>
          <w:rStyle w:val="Refdecomentario"/>
        </w:rPr>
        <w:annotationRef/>
      </w:r>
      <w:r>
        <w:t xml:space="preserve">Tienes razón, he puesto el IVA como un enumerado, y he quitado los campos derivados de </w:t>
      </w:r>
      <w:proofErr w:type="spellStart"/>
      <w:r>
        <w:t>LineaFactura</w:t>
      </w:r>
      <w:proofErr w:type="spellEnd"/>
      <w:r>
        <w:t>.</w:t>
      </w:r>
    </w:p>
  </w:comment>
  <w:comment w:id="15" w:author="Lopez Martinez, Patricia" w:date="2023-05-10T10:55:00Z" w:initials="LMP">
    <w:p w14:paraId="0585DBA8" w14:textId="77777777" w:rsidR="00CE294A" w:rsidRDefault="00CE294A">
      <w:pPr>
        <w:pStyle w:val="Textocomentario"/>
      </w:pPr>
      <w:r>
        <w:rPr>
          <w:rStyle w:val="Refdecomentario"/>
        </w:rPr>
        <w:annotationRef/>
      </w:r>
      <w:r>
        <w:t>Me surgió la duda antes, en el diagrama de dominio, pero te lo pongo aquí que igual es más clara la duda. Cuando se hace un reembolso, ¿hay líneas de factura también? (Sería lo coherente con el diagrama de clases). Entiendo serían las líneas correspondientes a cada producto que se retorna, ¿no?</w:t>
      </w:r>
    </w:p>
    <w:p w14:paraId="2599F803" w14:textId="77777777" w:rsidR="00CE294A" w:rsidRDefault="00CE294A">
      <w:pPr>
        <w:pStyle w:val="Textocomentario"/>
      </w:pPr>
    </w:p>
    <w:p w14:paraId="2A1C3C37" w14:textId="354BE70D" w:rsidR="00CE294A" w:rsidRDefault="00CE294A">
      <w:pPr>
        <w:pStyle w:val="Textocomentario"/>
      </w:pPr>
      <w:r>
        <w:t>Luego, por otra parte, tengo dudas con lo de Generar Compra. Te refieres a las compras que hace el administrador para abastecer su propia tienda</w:t>
      </w:r>
      <w:r w:rsidR="007B3604">
        <w:t xml:space="preserve">, ¿no? ¿Ahí no  haría falta más información? Por ejemplo, el proveedor al que se compra. Y ahí, por ejemplo, el campo resultado de </w:t>
      </w:r>
      <w:proofErr w:type="spellStart"/>
      <w:r w:rsidR="007B3604">
        <w:t>LineaFactura</w:t>
      </w:r>
      <w:proofErr w:type="spellEnd"/>
      <w:r w:rsidR="007B3604">
        <w:t xml:space="preserve"> no me parece que tenga mucho sentido. </w:t>
      </w:r>
    </w:p>
  </w:comment>
  <w:comment w:id="16" w:author="Jaime Eduardo Baires Escalante" w:date="2023-05-23T23:19:00Z" w:initials="JEBE">
    <w:p w14:paraId="7B671698" w14:textId="77777777" w:rsidR="00114821" w:rsidRDefault="00114821">
      <w:pPr>
        <w:pStyle w:val="Textocomentario"/>
      </w:pPr>
      <w:r>
        <w:rPr>
          <w:rStyle w:val="Refdecomentario"/>
        </w:rPr>
        <w:annotationRef/>
      </w:r>
      <w:r>
        <w:t>En el reembolso, las líneas de factura, efectivamente, son las líneas correspondientes a los productos que se devuelven.</w:t>
      </w:r>
    </w:p>
    <w:p w14:paraId="2C7358FC" w14:textId="77777777" w:rsidR="00114821" w:rsidRDefault="00114821">
      <w:pPr>
        <w:pStyle w:val="Textocomentario"/>
      </w:pPr>
    </w:p>
    <w:p w14:paraId="11117B52" w14:textId="77777777" w:rsidR="00EE49CE" w:rsidRDefault="00114821">
      <w:pPr>
        <w:pStyle w:val="Textocomentario"/>
      </w:pPr>
      <w:r>
        <w:t xml:space="preserve">Con respecto a las compras, sí me refiero al abastecimiento de la tienda. Pero ¿qué campo resultado de </w:t>
      </w:r>
      <w:proofErr w:type="spellStart"/>
      <w:r>
        <w:t>LineaFactura</w:t>
      </w:r>
      <w:proofErr w:type="spellEnd"/>
      <w:r>
        <w:t xml:space="preserve"> no te parece que tenga sentido?</w:t>
      </w:r>
      <w:r w:rsidR="001F2D1E">
        <w:t xml:space="preserve"> La compra en sí es del mismo estilo que la venta (</w:t>
      </w:r>
      <w:proofErr w:type="gramStart"/>
      <w:r w:rsidR="001F2D1E">
        <w:t>y</w:t>
      </w:r>
      <w:proofErr w:type="gramEnd"/>
      <w:r w:rsidR="001F2D1E">
        <w:t xml:space="preserve"> por lo tanto, tiene los mismos campos), solo que en vez de restar stock de los productos, lo suma.</w:t>
      </w:r>
    </w:p>
    <w:p w14:paraId="3BA0859E" w14:textId="77777777" w:rsidR="00EE49CE" w:rsidRDefault="00EE49CE">
      <w:pPr>
        <w:pStyle w:val="Textocomentario"/>
      </w:pPr>
    </w:p>
    <w:p w14:paraId="4BB877EC" w14:textId="7CEA92B7" w:rsidR="00114821" w:rsidRDefault="001F2D1E">
      <w:pPr>
        <w:pStyle w:val="Textocomentario"/>
      </w:pPr>
      <w:r>
        <w:t xml:space="preserve">Y, por otra parte, </w:t>
      </w:r>
      <w:r w:rsidR="00B56514">
        <w:t xml:space="preserve">he </w:t>
      </w:r>
      <w:r>
        <w:t>añadi</w:t>
      </w:r>
      <w:r w:rsidR="00B56514">
        <w:t>do</w:t>
      </w:r>
      <w:r w:rsidR="009D0560">
        <w:t xml:space="preserve"> la clase</w:t>
      </w:r>
      <w:r>
        <w:t xml:space="preserve"> proveedor relacionad</w:t>
      </w:r>
      <w:r w:rsidR="009D0560">
        <w:t>a</w:t>
      </w:r>
      <w:r>
        <w:t xml:space="preserve"> a la factura, que obviamente solo </w:t>
      </w:r>
      <w:r w:rsidR="006D1939">
        <w:t xml:space="preserve">se va a </w:t>
      </w:r>
      <w:r>
        <w:t>introducir en el caso de tratarse de una compra.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1475D" w15:done="0"/>
  <w15:commentEx w15:paraId="0C289150" w15:paraIdParent="2EC1475D" w15:done="0"/>
  <w15:commentEx w15:paraId="2A1C3C37" w15:done="0"/>
  <w15:commentEx w15:paraId="4BB877EC" w15:paraIdParent="2A1C3C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CE5E" w16cex:dateUtc="2023-05-23T21:44:00Z"/>
  <w16cex:commentExtensible w16cex:durableId="2817C87F" w16cex:dateUtc="2023-05-2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1475D" w16cid:durableId="2805F592"/>
  <w16cid:commentId w16cid:paraId="0C289150" w16cid:durableId="2817CE5E"/>
  <w16cid:commentId w16cid:paraId="2A1C3C37" w16cid:durableId="2805F698"/>
  <w16cid:commentId w16cid:paraId="4BB877EC" w16cid:durableId="2817C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E57E" w14:textId="77777777" w:rsidR="00F66566" w:rsidRDefault="00F66566" w:rsidP="00AB6398">
      <w:pPr>
        <w:spacing w:after="0" w:line="240" w:lineRule="auto"/>
      </w:pPr>
      <w:r>
        <w:separator/>
      </w:r>
    </w:p>
  </w:endnote>
  <w:endnote w:type="continuationSeparator" w:id="0">
    <w:p w14:paraId="43CF84B8" w14:textId="77777777" w:rsidR="00F66566" w:rsidRDefault="00F66566"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8342" w14:textId="77777777" w:rsidR="00F66566" w:rsidRDefault="00F66566" w:rsidP="00AB6398">
      <w:pPr>
        <w:spacing w:after="0" w:line="240" w:lineRule="auto"/>
      </w:pPr>
      <w:r>
        <w:separator/>
      </w:r>
    </w:p>
  </w:footnote>
  <w:footnote w:type="continuationSeparator" w:id="0">
    <w:p w14:paraId="0A63D002" w14:textId="77777777" w:rsidR="00F66566" w:rsidRDefault="00F66566"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6489511">
    <w:abstractNumId w:val="2"/>
  </w:num>
  <w:num w:numId="2" w16cid:durableId="963927847">
    <w:abstractNumId w:val="0"/>
  </w:num>
  <w:num w:numId="3" w16cid:durableId="16730288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F78"/>
    <w:rsid w:val="000441D4"/>
    <w:rsid w:val="00057749"/>
    <w:rsid w:val="00082306"/>
    <w:rsid w:val="000D74BD"/>
    <w:rsid w:val="00114821"/>
    <w:rsid w:val="00117E4A"/>
    <w:rsid w:val="00123D0F"/>
    <w:rsid w:val="00130584"/>
    <w:rsid w:val="00131EF2"/>
    <w:rsid w:val="00142F24"/>
    <w:rsid w:val="00177840"/>
    <w:rsid w:val="001873BA"/>
    <w:rsid w:val="001A061D"/>
    <w:rsid w:val="001B427E"/>
    <w:rsid w:val="001D5738"/>
    <w:rsid w:val="001F2D1E"/>
    <w:rsid w:val="00200415"/>
    <w:rsid w:val="00207262"/>
    <w:rsid w:val="00234F55"/>
    <w:rsid w:val="00250B8D"/>
    <w:rsid w:val="002569A8"/>
    <w:rsid w:val="00260959"/>
    <w:rsid w:val="00263492"/>
    <w:rsid w:val="00271AD0"/>
    <w:rsid w:val="002A009E"/>
    <w:rsid w:val="002A36B5"/>
    <w:rsid w:val="002B2247"/>
    <w:rsid w:val="00300B3B"/>
    <w:rsid w:val="00315C1B"/>
    <w:rsid w:val="00342C88"/>
    <w:rsid w:val="003447AA"/>
    <w:rsid w:val="00345AEC"/>
    <w:rsid w:val="0035275E"/>
    <w:rsid w:val="00367017"/>
    <w:rsid w:val="003826E1"/>
    <w:rsid w:val="003A22A4"/>
    <w:rsid w:val="003A46A9"/>
    <w:rsid w:val="003C7878"/>
    <w:rsid w:val="003D27E1"/>
    <w:rsid w:val="003F192A"/>
    <w:rsid w:val="003F1A4C"/>
    <w:rsid w:val="004107A0"/>
    <w:rsid w:val="00412C9A"/>
    <w:rsid w:val="00431ADD"/>
    <w:rsid w:val="00455828"/>
    <w:rsid w:val="00457B63"/>
    <w:rsid w:val="0046341A"/>
    <w:rsid w:val="00465F87"/>
    <w:rsid w:val="004805C8"/>
    <w:rsid w:val="00493F21"/>
    <w:rsid w:val="004A5A03"/>
    <w:rsid w:val="004A5E96"/>
    <w:rsid w:val="004A7E0D"/>
    <w:rsid w:val="004E3443"/>
    <w:rsid w:val="004F3AD6"/>
    <w:rsid w:val="00585A61"/>
    <w:rsid w:val="00590106"/>
    <w:rsid w:val="005B07C6"/>
    <w:rsid w:val="005B0F08"/>
    <w:rsid w:val="005C1EC0"/>
    <w:rsid w:val="00615FD1"/>
    <w:rsid w:val="00623F3F"/>
    <w:rsid w:val="00626A33"/>
    <w:rsid w:val="00634342"/>
    <w:rsid w:val="00636EFC"/>
    <w:rsid w:val="00637C7C"/>
    <w:rsid w:val="00656B8A"/>
    <w:rsid w:val="006628FA"/>
    <w:rsid w:val="0066752B"/>
    <w:rsid w:val="00672062"/>
    <w:rsid w:val="00697E60"/>
    <w:rsid w:val="006B0BFC"/>
    <w:rsid w:val="006C5E33"/>
    <w:rsid w:val="006D1939"/>
    <w:rsid w:val="00712A0E"/>
    <w:rsid w:val="00715FE1"/>
    <w:rsid w:val="0074097B"/>
    <w:rsid w:val="0076611B"/>
    <w:rsid w:val="0077638C"/>
    <w:rsid w:val="0078030B"/>
    <w:rsid w:val="007A77D8"/>
    <w:rsid w:val="007B3604"/>
    <w:rsid w:val="007F64DF"/>
    <w:rsid w:val="008006F9"/>
    <w:rsid w:val="00802A2C"/>
    <w:rsid w:val="00804778"/>
    <w:rsid w:val="00806283"/>
    <w:rsid w:val="0081668B"/>
    <w:rsid w:val="00824591"/>
    <w:rsid w:val="00830E0A"/>
    <w:rsid w:val="008541E3"/>
    <w:rsid w:val="008731F8"/>
    <w:rsid w:val="008A73D2"/>
    <w:rsid w:val="008B57F7"/>
    <w:rsid w:val="008E0D0F"/>
    <w:rsid w:val="008E1534"/>
    <w:rsid w:val="00901720"/>
    <w:rsid w:val="0090199B"/>
    <w:rsid w:val="0093651B"/>
    <w:rsid w:val="009B4CD8"/>
    <w:rsid w:val="009D0560"/>
    <w:rsid w:val="00A86B16"/>
    <w:rsid w:val="00AB6398"/>
    <w:rsid w:val="00AB71CA"/>
    <w:rsid w:val="00AC3B26"/>
    <w:rsid w:val="00AC5454"/>
    <w:rsid w:val="00AC7D95"/>
    <w:rsid w:val="00AE3D22"/>
    <w:rsid w:val="00AE4B3B"/>
    <w:rsid w:val="00B4732B"/>
    <w:rsid w:val="00B56514"/>
    <w:rsid w:val="00B61E6B"/>
    <w:rsid w:val="00B807DC"/>
    <w:rsid w:val="00BC4BE1"/>
    <w:rsid w:val="00C26F61"/>
    <w:rsid w:val="00C4327E"/>
    <w:rsid w:val="00C51284"/>
    <w:rsid w:val="00C65500"/>
    <w:rsid w:val="00C662EA"/>
    <w:rsid w:val="00C71CD2"/>
    <w:rsid w:val="00CA6CF3"/>
    <w:rsid w:val="00CB78A9"/>
    <w:rsid w:val="00CC0EBA"/>
    <w:rsid w:val="00CE2421"/>
    <w:rsid w:val="00CE294A"/>
    <w:rsid w:val="00D17D86"/>
    <w:rsid w:val="00D47AA9"/>
    <w:rsid w:val="00D51B0F"/>
    <w:rsid w:val="00D555B7"/>
    <w:rsid w:val="00D56A60"/>
    <w:rsid w:val="00D63AB9"/>
    <w:rsid w:val="00D74D10"/>
    <w:rsid w:val="00D7734E"/>
    <w:rsid w:val="00D81193"/>
    <w:rsid w:val="00DA0E04"/>
    <w:rsid w:val="00DA6DA8"/>
    <w:rsid w:val="00DB5665"/>
    <w:rsid w:val="00DE0B91"/>
    <w:rsid w:val="00DE147F"/>
    <w:rsid w:val="00DF01DB"/>
    <w:rsid w:val="00DF45A6"/>
    <w:rsid w:val="00E21675"/>
    <w:rsid w:val="00E31785"/>
    <w:rsid w:val="00E846C3"/>
    <w:rsid w:val="00E87D2A"/>
    <w:rsid w:val="00E917FD"/>
    <w:rsid w:val="00EA0FED"/>
    <w:rsid w:val="00EA4EF5"/>
    <w:rsid w:val="00EB673F"/>
    <w:rsid w:val="00EC6CFD"/>
    <w:rsid w:val="00EE49CE"/>
    <w:rsid w:val="00F351EB"/>
    <w:rsid w:val="00F542B7"/>
    <w:rsid w:val="00F57905"/>
    <w:rsid w:val="00F66566"/>
    <w:rsid w:val="00F96342"/>
    <w:rsid w:val="00FC19A4"/>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C7C"/>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loyverse.com/es/download-loyverse"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2.deloitte.com/us/en/insights/focus/cio-insider-business-insights/technology-investments-value-cre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EA57-36EE-4596-89AB-453846DF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10</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130</cp:revision>
  <dcterms:created xsi:type="dcterms:W3CDTF">2023-02-08T11:59:00Z</dcterms:created>
  <dcterms:modified xsi:type="dcterms:W3CDTF">2023-06-08T20:53:00Z</dcterms:modified>
</cp:coreProperties>
</file>