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nteproyecto-de-trabajo-fin-de-máster"/>
    <w:p>
      <w:pPr>
        <w:pStyle w:val="Heading1"/>
      </w:pPr>
      <w:r>
        <w:t xml:space="preserve">Anteproyecto de Trabajo Fin de Máster</w:t>
      </w:r>
    </w:p>
    <w:p>
      <w:pPr>
        <w:pStyle w:val="FirstParagraph"/>
      </w:pPr>
      <w:r>
        <w:rPr>
          <w:bCs/>
          <w:b/>
        </w:rPr>
        <w:t xml:space="preserve">Título:</w:t>
      </w:r>
      <w:r>
        <w:t xml:space="preserve"> </w:t>
      </w:r>
      <w:r>
        <w:t xml:space="preserve">SpotPriceIQ — Sistema end-to-end de predicción probabilística del precio spot del mercado eléctrico español (OMIE) con MLOps de producción</w:t>
      </w:r>
    </w:p>
    <w:p>
      <w:pPr>
        <w:pStyle w:val="BodyText"/>
      </w:pPr>
      <w:r>
        <w:rPr>
          <w:bCs/>
          <w:b/>
        </w:rPr>
        <w:t xml:space="preserve">Universidad:</w:t>
      </w:r>
      <w:r>
        <w:t xml:space="preserve"> </w:t>
      </w:r>
      <w:r>
        <w:t xml:space="preserve">IMF Smart Education — Máster en Data Science</w:t>
      </w:r>
      <w:r>
        <w:t xml:space="preserve"> </w:t>
      </w:r>
      <w:r>
        <w:rPr>
          <w:bCs/>
          <w:b/>
        </w:rPr>
        <w:t xml:space="preserve">Autores:</w:t>
      </w:r>
      <w:r>
        <w:t xml:space="preserve"> </w:t>
      </w:r>
      <w:r>
        <w:t xml:space="preserve">Jaime Llorca Martínez · Juan Prieto · José Menjívar</w:t>
      </w:r>
      <w:r>
        <w:t xml:space="preserve"> </w:t>
      </w:r>
      <w:r>
        <w:rPr>
          <w:bCs/>
          <w:b/>
        </w:rPr>
        <w:t xml:space="preserve">Tutor:</w:t>
      </w:r>
      <w:r>
        <w:t xml:space="preserve"> </w:t>
      </w:r>
      <w:r>
        <w:t xml:space="preserve">Juan Manuel Moreno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1. Resumen</w:t>
      </w:r>
    </w:p>
    <w:p>
      <w:pPr>
        <w:pStyle w:val="FirstParagraph"/>
      </w:pPr>
      <w:r>
        <w:t xml:space="preserve">Este Trabajo Fin de Máster propone el diseño, la construcción y la puesta en producción de un sistema completo de ciencia de datos para</w:t>
      </w:r>
      <w:r>
        <w:t xml:space="preserve"> </w:t>
      </w:r>
      <w:r>
        <w:rPr>
          <w:bCs/>
          <w:b/>
        </w:rPr>
        <w:t xml:space="preserve">predecir el precio marginal horario del mercado diario eléctrico español (OMIE)</w:t>
      </w:r>
      <w:r>
        <w:t xml:space="preserve"> </w:t>
      </w:r>
      <w:r>
        <w:t xml:space="preserve">para el día siguiente. El proyecto no se limita a entrenar un modelo predictivo: aborda el ciclo de vida completo de un sistema de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de producción (MLOps) —ingesta automatizada de datos públicos, validación con contratos de datos,</w:t>
      </w:r>
      <w:r>
        <w:t xml:space="preserve"> </w:t>
      </w:r>
      <w:r>
        <w:rPr>
          <w:iCs/>
          <w:i/>
        </w:rPr>
        <w:t xml:space="preserve">feature engineering</w:t>
      </w:r>
      <w:r>
        <w:t xml:space="preserve"> </w:t>
      </w:r>
      <w:r>
        <w:t xml:space="preserve">sin fuga de información, evaluación rigurosa con</w:t>
      </w:r>
      <w:r>
        <w:t xml:space="preserve"> </w:t>
      </w:r>
      <w:r>
        <w:rPr>
          <w:iCs/>
          <w:i/>
        </w:rPr>
        <w:t xml:space="preserve">backtesting</w:t>
      </w:r>
      <w:r>
        <w:t xml:space="preserve">, seguimiento de experimentos, servicio como API, orquestación, monitorización de deriva y contenerización—, replicando las prácticas que una empresa del sector energético espera de un sistema real.</w:t>
      </w:r>
    </w:p>
    <w:p>
      <w:pPr>
        <w:pStyle w:val="BodyText"/>
      </w:pPr>
      <w:r>
        <w:t xml:space="preserve">Se dispone ya de resultados preliminares que validan la viabilidad: un modelo XGBoost que mejora en ~14 % el mejor baseline (MAE 15,70 frente a 18,33 €/MWh en</w:t>
      </w:r>
      <w:r>
        <w:t xml:space="preserve"> </w:t>
      </w:r>
      <w:r>
        <w:rPr>
          <w:iCs/>
          <w:i/>
        </w:rPr>
        <w:t xml:space="preserve">walk-forward</w:t>
      </w:r>
      <w:r>
        <w:t xml:space="preserve">), un servicio de predicción operativo y una estimación de infraestructura en la nube de ~73 USD/mes. El TFM completará el sistema con las capas de orquestación, monitorización adaptativa al régimen de mercado y una capa de decisión económica.</w:t>
      </w:r>
    </w:p>
    <w:bookmarkEnd w:id="20"/>
    <w:bookmarkStart w:id="21" w:name="introducción-y-motivación"/>
    <w:p>
      <w:pPr>
        <w:pStyle w:val="Heading2"/>
      </w:pPr>
      <w:r>
        <w:t xml:space="preserve">2. Introducción y motivación</w:t>
      </w:r>
    </w:p>
    <w:p>
      <w:pPr>
        <w:pStyle w:val="FirstParagraph"/>
      </w:pPr>
      <w:r>
        <w:t xml:space="preserve">El mercado eléctrico mayorista español funciona como una subasta diaria: cada día, antes del mediodía, los agentes (comercializadoras, generadores, grandes consumidores y</w:t>
      </w:r>
      <w:r>
        <w:t xml:space="preserve"> </w:t>
      </w:r>
      <w:r>
        <w:rPr>
          <w:iCs/>
          <w:i/>
        </w:rPr>
        <w:t xml:space="preserve">traders</w:t>
      </w:r>
      <w:r>
        <w:t xml:space="preserve">) presentan sus ofertas de compra y venta para las 24 horas del día siguiente</w:t>
      </w:r>
      <w:r>
        <w:t xml:space="preserve"> </w:t>
      </w:r>
      <w:r>
        <w:rPr>
          <w:bCs/>
          <w:b/>
        </w:rPr>
        <w:t xml:space="preserve">sin conocer el precio que resultará de la casación</w:t>
      </w:r>
      <w:r>
        <w:t xml:space="preserve">. Anticipar ese precio es una necesidad operativa directa, y su relevancia económica es enorme: cada €/MWh de error de previsión evitado equivale, a escala de una gran cartera (~1 GW), a</w:t>
      </w:r>
      <w:r>
        <w:t xml:space="preserve"> </w:t>
      </w:r>
      <w:r>
        <w:rPr>
          <w:bCs/>
          <w:b/>
        </w:rPr>
        <w:t xml:space="preserve">millones de euros al año</w:t>
      </w:r>
      <w:r>
        <w:t xml:space="preserve">.</w:t>
      </w:r>
    </w:p>
    <w:p>
      <w:pPr>
        <w:pStyle w:val="BodyText"/>
      </w:pPr>
      <w:r>
        <w:t xml:space="preserve">La motivación del proyecto es doble. En lo técnico, el precio eléctrico es un problema de</w:t>
      </w:r>
      <w:r>
        <w:t xml:space="preserve"> </w:t>
      </w:r>
      <w:r>
        <w:rPr>
          <w:iCs/>
          <w:i/>
        </w:rPr>
        <w:t xml:space="preserve">forecasting</w:t>
      </w:r>
      <w:r>
        <w:t xml:space="preserve"> </w:t>
      </w:r>
      <w:r>
        <w:t xml:space="preserve">especialmente rico: series temporales multivariante, fuerte estacionalidad, no-estacionariedad marcada (la transición del régimen de crisis del gas de 2022-2023 al régimen renovable de 2025-2026), valores negativos y eventos extremos. En lo profesional, es un caso de uso de alto valor para el sector energético español (Repsol, Iberdrola, comercializadoras y mesas de</w:t>
      </w:r>
      <w:r>
        <w:t xml:space="preserve"> </w:t>
      </w:r>
      <w:r>
        <w:rPr>
          <w:iCs/>
          <w:i/>
        </w:rPr>
        <w:t xml:space="preserve">trading</w:t>
      </w:r>
      <w:r>
        <w:t xml:space="preserve">), lo que convierte el proyecto en una demostración de competencias directamente empleable.</w:t>
      </w:r>
    </w:p>
    <w:bookmarkEnd w:id="21"/>
    <w:bookmarkStart w:id="22" w:name="antecedentes-y-estado-del-arte"/>
    <w:p>
      <w:pPr>
        <w:pStyle w:val="Heading2"/>
      </w:pPr>
      <w:r>
        <w:t xml:space="preserve">3. Antecedentes y estado del arte</w:t>
      </w:r>
    </w:p>
    <w:p>
      <w:pPr>
        <w:pStyle w:val="FirstParagraph"/>
      </w:pPr>
      <w:r>
        <w:t xml:space="preserve">La predicción de precios eléctricos (</w:t>
      </w:r>
      <w:r>
        <w:rPr>
          <w:iCs/>
          <w:i/>
        </w:rPr>
        <w:t xml:space="preserve">Electricity Price Forecasting</w:t>
      </w:r>
      <w:r>
        <w:t xml:space="preserve">, EPF) es un campo consolidado. Las familias de métodos habituales abarcan modelos estadísticos clásicos (ARIMA, modelos de regresión con variables exógenas), modelos de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tabular (gradient boosting,</w:t>
      </w:r>
      <w:r>
        <w:t xml:space="preserve"> </w:t>
      </w:r>
      <w:r>
        <w:rPr>
          <w:iCs/>
          <w:i/>
        </w:rPr>
        <w:t xml:space="preserve">random forests</w:t>
      </w:r>
      <w:r>
        <w:t xml:space="preserve">) y modelos de aprendizaje profundo para secuencias (LSTM, redes convolucionales temporales,</w:t>
      </w:r>
      <w:r>
        <w:t xml:space="preserve"> </w:t>
      </w:r>
      <w:r>
        <w:rPr>
          <w:iCs/>
          <w:i/>
        </w:rPr>
        <w:t xml:space="preserve">transformers</w:t>
      </w:r>
      <w:r>
        <w:t xml:space="preserve">). La literatura reciente subraya tres tendencias relevantes para este trabajo: la superioridad frecuente de los modelos de</w:t>
      </w:r>
      <w:r>
        <w:t xml:space="preserve"> </w:t>
      </w:r>
      <w:r>
        <w:rPr>
          <w:iCs/>
          <w:i/>
        </w:rPr>
        <w:t xml:space="preserve">gradient boosting</w:t>
      </w:r>
      <w:r>
        <w:t xml:space="preserve"> </w:t>
      </w:r>
      <w:r>
        <w:t xml:space="preserve">sobre el</w:t>
      </w:r>
      <w:r>
        <w:t xml:space="preserve"> </w:t>
      </w:r>
      <w:r>
        <w:rPr>
          <w:iCs/>
          <w:i/>
        </w:rPr>
        <w:t xml:space="preserve">deep learning</w:t>
      </w:r>
      <w:r>
        <w:t xml:space="preserve"> </w:t>
      </w:r>
      <w:r>
        <w:t xml:space="preserve">en horizontes horarios con buen</w:t>
      </w:r>
      <w:r>
        <w:t xml:space="preserve"> </w:t>
      </w:r>
      <w:r>
        <w:rPr>
          <w:iCs/>
          <w:i/>
        </w:rPr>
        <w:t xml:space="preserve">feature engineering</w:t>
      </w:r>
      <w:r>
        <w:t xml:space="preserve">; la importancia del</w:t>
      </w:r>
      <w:r>
        <w:t xml:space="preserve"> </w:t>
      </w:r>
      <w:r>
        <w:rPr>
          <w:iCs/>
          <w:i/>
        </w:rPr>
        <w:t xml:space="preserve">forecasting</w:t>
      </w:r>
      <w:r>
        <w:t xml:space="preserve"> </w:t>
      </w:r>
      <w:r>
        <w:t xml:space="preserve">probabilístico (intervalos y cuantiles) frente a la predicción puntual, especialmente para decisiones de riesgo; y la necesidad de una evaluación temporal correcta (</w:t>
      </w:r>
      <w:r>
        <w:rPr>
          <w:iCs/>
          <w:i/>
        </w:rPr>
        <w:t xml:space="preserve">backtesting walk-forward</w:t>
      </w:r>
      <w:r>
        <w:t xml:space="preserve">) que evite la fuga de información.</w:t>
      </w:r>
    </w:p>
    <w:p>
      <w:pPr>
        <w:pStyle w:val="BodyText"/>
      </w:pPr>
      <w:r>
        <w:t xml:space="preserve">El diferencial de esta propuesta frente a un trabajo puramente académico es el</w:t>
      </w:r>
      <w:r>
        <w:t xml:space="preserve"> </w:t>
      </w:r>
      <w:r>
        <w:rPr>
          <w:bCs/>
          <w:b/>
        </w:rPr>
        <w:t xml:space="preserve">enfoque MLOps de producción</w:t>
      </w:r>
      <w:r>
        <w:t xml:space="preserve">: no solo qué modelo predice mejor, sino cómo se ingiere el dato de forma fiable, cómo se garantiza su calidad, cómo se versiona el experimento, cómo se sirve el modelo y cómo se detecta y corrige su degradación en el tiempo.</w:t>
      </w:r>
    </w:p>
    <w:bookmarkEnd w:id="22"/>
    <w:bookmarkStart w:id="23" w:name="objetivos"/>
    <w:p>
      <w:pPr>
        <w:pStyle w:val="Heading2"/>
      </w:pPr>
      <w:r>
        <w:t xml:space="preserve">4. Objetivos</w:t>
      </w:r>
    </w:p>
    <w:p>
      <w:pPr>
        <w:pStyle w:val="FirstParagraph"/>
      </w:pPr>
      <w:r>
        <w:rPr>
          <w:bCs/>
          <w:b/>
        </w:rPr>
        <w:t xml:space="preserve">Objetivo general:</w:t>
      </w:r>
      <w:r>
        <w:t xml:space="preserve"> </w:t>
      </w:r>
      <w:r>
        <w:t xml:space="preserve">construir un sistema end-to-end, reproducible y desplegable, que prediga el precio horario del mercado diario español para D+1 usando únicamente información disponible en el momento de la subasta, y que traduzca esa predicción en una métrica de valor económico.</w:t>
      </w:r>
    </w:p>
    <w:p>
      <w:pPr>
        <w:pStyle w:val="BodyText"/>
      </w:pPr>
      <w:r>
        <w:rPr>
          <w:bCs/>
          <w:b/>
        </w:rPr>
        <w:t xml:space="preserve">Objetivos específicos:</w:t>
      </w:r>
    </w:p>
    <w:p>
      <w:pPr>
        <w:numPr>
          <w:ilvl w:val="0"/>
          <w:numId w:val="1001"/>
        </w:numPr>
        <w:pStyle w:val="Compact"/>
      </w:pPr>
      <w:r>
        <w:t xml:space="preserve">Automatizar la ingesta de las fuentes públicas del mercado (OMIE, ESIOS/REE, AEMET) con clientes robustos frente a límites de tasa y formatos reales.</w:t>
      </w:r>
    </w:p>
    <w:p>
      <w:pPr>
        <w:numPr>
          <w:ilvl w:val="0"/>
          <w:numId w:val="1001"/>
        </w:numPr>
        <w:pStyle w:val="Compact"/>
      </w:pPr>
      <w:r>
        <w:t xml:space="preserve">Garantizar la calidad del dato mediante contratos de datos (Pandera), gestión de huecos horarios y del cambio de hora (días de 23 h y 25 h), y tests automáticos.</w:t>
      </w:r>
    </w:p>
    <w:p>
      <w:pPr>
        <w:numPr>
          <w:ilvl w:val="0"/>
          <w:numId w:val="1001"/>
        </w:numPr>
        <w:pStyle w:val="Compact"/>
      </w:pPr>
      <w:r>
        <w:t xml:space="preserve">Diseñar un conjunto de variables predictivas sin fuga de información temporal, basado en las previsiones publicadas a D-1 y en variables de calendario.</w:t>
      </w:r>
    </w:p>
    <w:p>
      <w:pPr>
        <w:numPr>
          <w:ilvl w:val="0"/>
          <w:numId w:val="1001"/>
        </w:numPr>
        <w:pStyle w:val="Compact"/>
      </w:pPr>
      <w:r>
        <w:t xml:space="preserve">Establecer un marco de evaluación honesto con</w:t>
      </w:r>
      <w:r>
        <w:t xml:space="preserve"> </w:t>
      </w:r>
      <w:r>
        <w:rPr>
          <w:iCs/>
          <w:i/>
        </w:rPr>
        <w:t xml:space="preserve">baselines</w:t>
      </w:r>
      <w:r>
        <w:t xml:space="preserve">,</w:t>
      </w:r>
      <w:r>
        <w:t xml:space="preserve"> </w:t>
      </w:r>
      <w:r>
        <w:rPr>
          <w:iCs/>
          <w:i/>
        </w:rPr>
        <w:t xml:space="preserve">backtesting walk-forward</w:t>
      </w:r>
      <w:r>
        <w:t xml:space="preserve"> </w:t>
      </w:r>
      <w:r>
        <w:t xml:space="preserve">y una métrica económica en €/año.</w:t>
      </w:r>
    </w:p>
    <w:p>
      <w:pPr>
        <w:numPr>
          <w:ilvl w:val="0"/>
          <w:numId w:val="1001"/>
        </w:numPr>
        <w:pStyle w:val="Compact"/>
      </w:pPr>
      <w:r>
        <w:t xml:space="preserve">Entrenar y comparar modelos (XGBoost, LSTM) y producir predicción probabilística por cuantiles con calibración.</w:t>
      </w:r>
    </w:p>
    <w:p>
      <w:pPr>
        <w:numPr>
          <w:ilvl w:val="0"/>
          <w:numId w:val="1001"/>
        </w:numPr>
        <w:pStyle w:val="Compact"/>
      </w:pPr>
      <w:r>
        <w:t xml:space="preserve">Implantar prácticas MLOps: seguimiento de experimentos y registro de modelos (MLflow), versionado de datos (DVC), servicio como API (FastAPI), orquestación (Prefect), monitorización de deriva (Evidently) y contenerización (Docker, CI/CD).</w:t>
      </w:r>
    </w:p>
    <w:p>
      <w:pPr>
        <w:numPr>
          <w:ilvl w:val="0"/>
          <w:numId w:val="1001"/>
        </w:numPr>
        <w:pStyle w:val="Compact"/>
      </w:pPr>
      <w:r>
        <w:t xml:space="preserve">Comunicar los resultados mediante un cuadro de mando y una documentación orientada a negocio.</w:t>
      </w:r>
    </w:p>
    <w:bookmarkEnd w:id="23"/>
    <w:bookmarkStart w:id="24" w:name="metodología-y-arquitectura-del-sistema"/>
    <w:p>
      <w:pPr>
        <w:pStyle w:val="Heading2"/>
      </w:pPr>
      <w:r>
        <w:t xml:space="preserve">5. Metodología y arquitectura del sistema</w:t>
      </w:r>
    </w:p>
    <w:p>
      <w:pPr>
        <w:pStyle w:val="FirstParagraph"/>
      </w:pPr>
      <w:r>
        <w:t xml:space="preserve">El proyecto sigue una metodología de</w:t>
      </w:r>
      <w:r>
        <w:t xml:space="preserve"> </w:t>
      </w:r>
      <w:r>
        <w:rPr>
          <w:bCs/>
          <w:b/>
        </w:rPr>
        <w:t xml:space="preserve">aprender construyendo</w:t>
      </w:r>
      <w:r>
        <w:t xml:space="preserve"> </w:t>
      </w:r>
      <w:r>
        <w:t xml:space="preserve">y de</w:t>
      </w:r>
      <w:r>
        <w:t xml:space="preserve"> </w:t>
      </w:r>
      <w:r>
        <w:rPr>
          <w:bCs/>
          <w:b/>
        </w:rPr>
        <w:t xml:space="preserve">corte vertical fino</w:t>
      </w:r>
      <w:r>
        <w:t xml:space="preserve">: primero un pipeline mínimo que funcione de punta a punta y, sobre él, profundización por retorno. La arquitectura de datos sigue un patrón</w:t>
      </w:r>
      <w:r>
        <w:t xml:space="preserve"> </w:t>
      </w:r>
      <w:r>
        <w:rPr>
          <w:iCs/>
          <w:i/>
        </w:rPr>
        <w:t xml:space="preserve">medallion</w:t>
      </w:r>
      <w:r>
        <w:t xml:space="preserve"> </w:t>
      </w:r>
      <w:r>
        <w:t xml:space="preserve">(bronze → silver → gold), y la del sistema separa exploración (notebooks) de código de producción (paquete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). El flujo, de dato crudo a decisión:</w:t>
      </w:r>
    </w:p>
    <w:p>
      <w:pPr>
        <w:pStyle w:val="SourceCode"/>
      </w:pPr>
      <w:r>
        <w:rPr>
          <w:rStyle w:val="VerbatimChar"/>
        </w:rPr>
        <w:t xml:space="preserve">[Fuentes]  →  [Ingesta]  →  [Validación]  →  [Features]  →  [Baselines + Eval]</w:t>
      </w:r>
      <w:r>
        <w:br/>
      </w:r>
      <w:r>
        <w:rPr>
          <w:rStyle w:val="VerbatimChar"/>
        </w:rPr>
        <w:t xml:space="preserve"> OMIE/ESIOS     Parquet      contratos        lags/cal        naive, WF, métrica €</w:t>
      </w:r>
      <w:r>
        <w:br/>
      </w:r>
      <w:r>
        <w:rPr>
          <w:rStyle w:val="VerbatimChar"/>
        </w:rPr>
        <w:t xml:space="preserve"> AEMET                       Pandera, DST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[Modelado]  →  [Tracking + Versionado]  →  [Serving]  →  [Orquestación]</w:t>
      </w:r>
      <w:r>
        <w:br/>
      </w:r>
      <w:r>
        <w:rPr>
          <w:rStyle w:val="VerbatimChar"/>
        </w:rPr>
        <w:t xml:space="preserve">     XGB / LSTM        MLflow + DVC              FastAPI       Prefect</w:t>
      </w:r>
      <w:r>
        <w:br/>
      </w:r>
      <w:r>
        <w:rPr>
          <w:rStyle w:val="VerbatimChar"/>
        </w:rPr>
        <w:t xml:space="preserve">     + intervalos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[Monitorización]  →  [Dashboard]  →  [Infra + CI/CD]  →  [Docs]</w:t>
      </w:r>
      <w:r>
        <w:br/>
      </w:r>
      <w:r>
        <w:rPr>
          <w:rStyle w:val="VerbatimChar"/>
        </w:rPr>
        <w:t xml:space="preserve">           Evidently / drift     Streamlit      Docker + GHA       MkDocs</w:t>
      </w:r>
    </w:p>
    <w:p>
      <w:pPr>
        <w:pStyle w:val="FirstParagraph"/>
      </w:pPr>
      <w:r>
        <w:rPr>
          <w:bCs/>
          <w:b/>
        </w:rPr>
        <w:t xml:space="preserve">Principio metodológico central (anti-leakage):</w:t>
      </w:r>
      <w:r>
        <w:t xml:space="preserve"> </w:t>
      </w:r>
      <w:r>
        <w:t xml:space="preserve">cada predicción usa exclusivamente la información publicada en el momento de la subasta. El modelo se apoya en las</w:t>
      </w:r>
      <w:r>
        <w:t xml:space="preserve"> </w:t>
      </w:r>
      <w:r>
        <w:rPr>
          <w:bCs/>
          <w:b/>
        </w:rPr>
        <w:t xml:space="preserve">previsiones D-1</w:t>
      </w:r>
      <w:r>
        <w:t xml:space="preserve"> </w:t>
      </w:r>
      <w:r>
        <w:t xml:space="preserve">de demanda y generación, no en los valores reales</w:t>
      </w:r>
      <w:r>
        <w:t xml:space="preserve"> </w:t>
      </w:r>
      <w:r>
        <w:rPr>
          <w:iCs/>
          <w:i/>
        </w:rPr>
        <w:t xml:space="preserve">ex-post</w:t>
      </w:r>
      <w:r>
        <w:t xml:space="preserve">. Esta decisión, además de metodológicamente correcta, se ha validado empíricamente (ver §7).</w:t>
      </w:r>
    </w:p>
    <w:bookmarkEnd w:id="24"/>
    <w:bookmarkStart w:id="25" w:name="datos-y-fuentes"/>
    <w:p>
      <w:pPr>
        <w:pStyle w:val="Heading2"/>
      </w:pPr>
      <w:r>
        <w:t xml:space="preserve">6. Datos y fuentes</w:t>
      </w:r>
    </w:p>
    <w:p>
      <w:pPr>
        <w:pStyle w:val="FirstParagraph"/>
      </w:pPr>
      <w:r>
        <w:t xml:space="preserve">Todas las fuentes son públicas y gratuitas, lo que hace el trabajo íntegramente reproducible: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marginal horario del mercado 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ESIOS / 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y generación por tecnología (eólica, solar, ciclo combinado, nuclear, hidráulica), intercambios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Fundamentales (previstos)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Meteorología de estaciones cercanas a parques eólicos y solares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meteorológicas</w:t>
            </w:r>
          </w:p>
        </w:tc>
      </w:tr>
    </w:tbl>
    <w:p>
      <w:pPr>
        <w:pStyle w:val="BodyText"/>
      </w:pPr>
      <w:r>
        <w:t xml:space="preserve">El histórico abarca ~3 años (~30.500 registros horarios). Se conservan y validan por código los precios cero y negativos, que no son errores sino precio marginal nulo por exceso de renovable. Como limitación conocida, el precio del gas (MIBGAS/TTF) queda documentado como extensión futura.</w:t>
      </w:r>
    </w:p>
    <w:bookmarkEnd w:id="25"/>
    <w:bookmarkStart w:id="26" w:name="X579027bdd4432028825ac26989c2165844e2285"/>
    <w:p>
      <w:pPr>
        <w:pStyle w:val="Heading2"/>
      </w:pPr>
      <w:r>
        <w:t xml:space="preserve">7. Resultados preliminares (validación de viabilidad)</w:t>
      </w:r>
    </w:p>
    <w:p>
      <w:pPr>
        <w:pStyle w:val="FirstParagraph"/>
      </w:pPr>
      <w:r>
        <w:t xml:space="preserve">El estado actual del prototipo ya demuestra la viabilidad del sistema: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a batir:</w:t>
      </w:r>
      <w:r>
        <w:t xml:space="preserve"> </w:t>
      </w:r>
      <w:r>
        <w:rPr>
          <w:iCs/>
          <w:i/>
        </w:rPr>
        <w:t xml:space="preserve">naive</w:t>
      </w:r>
      <w:r>
        <w:t xml:space="preserve"> </w:t>
      </w:r>
      <w:r>
        <w:t xml:space="preserve">D-1, MAE</w:t>
      </w:r>
      <w:r>
        <w:t xml:space="preserve"> </w:t>
      </w:r>
      <w:r>
        <w:rPr>
          <w:iCs/>
          <w:i/>
        </w:rPr>
        <w:t xml:space="preserve">walk-forward</w:t>
      </w:r>
      <w:r>
        <w:t xml:space="preserve"> </w:t>
      </w:r>
      <w:r>
        <w:t xml:space="preserve">de 18,33 €/MWh.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Modelo campeón (XGBoost predictivo):</w:t>
      </w:r>
      <w:r>
        <w:t xml:space="preserve"> </w:t>
      </w:r>
      <w:r>
        <w:t xml:space="preserve">MAE</w:t>
      </w:r>
      <w:r>
        <w:t xml:space="preserve"> </w:t>
      </w:r>
      <w:r>
        <w:rPr>
          <w:iCs/>
          <w:i/>
        </w:rPr>
        <w:t xml:space="preserve">walk-forward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15,70 €/MWh</w:t>
      </w:r>
      <w:r>
        <w:t xml:space="preserve">, ~14 % mejor que el baseline, con la mejora concentrada —de forma coherente con el dominio— en los meses de mayor volatilidad.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Hallazgo de dominio:</w:t>
      </w:r>
      <w:r>
        <w:t xml:space="preserve"> </w:t>
      </w:r>
      <w:r>
        <w:t xml:space="preserve">el modelo con previsiones (ex-ante) supera al modelo con valores reales (ex-post), porque el precio se casa en subasta con las previsiones disponibles entonces. Entender la formación del precio pesa más que acumular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Predicción probabilística:</w:t>
      </w:r>
      <w:r>
        <w:t xml:space="preserve"> </w:t>
      </w:r>
      <w:r>
        <w:t xml:space="preserve">cuantiles P10/P50/P90 con recalibración conformal; se identifica la no-estacionariedad como reto central (la frecuencia de precios negativos pasa del 1,5 % histórico al 11,3 % en 2026).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Interpretabilidad (SHAP):</w:t>
      </w:r>
      <w:r>
        <w:t xml:space="preserve"> </w:t>
      </w:r>
      <w:r>
        <w:t xml:space="preserve">el modelo razona conforme al</w:t>
      </w:r>
      <w:r>
        <w:t xml:space="preserve"> </w:t>
      </w:r>
      <w:r>
        <w:rPr>
          <w:iCs/>
          <w:i/>
        </w:rPr>
        <w:t xml:space="preserve">merit order</w:t>
      </w:r>
      <w:r>
        <w:t xml:space="preserve"> </w:t>
      </w:r>
      <w:r>
        <w:t xml:space="preserve">del mercado (la demanda sube el precio; las renovables lo bajan).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Caso de negocio:</w:t>
      </w:r>
      <w:r>
        <w:t xml:space="preserve"> </w:t>
      </w:r>
      <w:r>
        <w:t xml:space="preserve">la mejora de 2,63 €/MWh sobre el baseline equivale a ~23 M€/año a escala de 1 GW.</w:t>
      </w:r>
    </w:p>
    <w:bookmarkEnd w:id="26"/>
    <w:bookmarkStart w:id="27" w:name="plan-de-trabajo-y-cronograma"/>
    <w:p>
      <w:pPr>
        <w:pStyle w:val="Heading2"/>
      </w:pPr>
      <w:r>
        <w:t xml:space="preserve">8. Plan de trabajo y cronograma</w:t>
      </w:r>
    </w:p>
    <w:p>
      <w:pPr>
        <w:pStyle w:val="FirstParagraph"/>
      </w:pPr>
      <w:r>
        <w:t xml:space="preserve">El trabajo se organiza en fases incrementales; cada fase produce código documentado y una entrada en el diario de aprendizaje. Las fases marcadas ✓ están validadas en el prototipo; el resto constituye el trabajo planificado del TFM.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Fundaciones: estructura, entorno, control de versiones (Git/DVC)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Ingesta OMIE / ESIOS / AEMET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y calidad de datos (Pandera, DST, huecos)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Feature engineering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iCs/>
                <w:i/>
              </w:rPr>
              <w:t xml:space="preserve">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Baselines</w:t>
            </w:r>
            <w:r>
              <w:t xml:space="preserve"> </w:t>
            </w:r>
            <w:r>
              <w:t xml:space="preserve">y marco de evaluación</w:t>
            </w:r>
            <w:r>
              <w:t xml:space="preserve"> </w:t>
            </w:r>
            <w:r>
              <w:rPr>
                <w:iCs/>
                <w:i/>
              </w:rPr>
              <w:t xml:space="preserve">walk-forward</w:t>
            </w:r>
            <w:r>
              <w:t xml:space="preserve"> </w:t>
            </w:r>
            <w:r>
              <w:t xml:space="preserve">+ métrica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Modelado (XGBoost, LSTM) e intervalos probabilísticos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Interpretabilidad (SHAP)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Tracking</w:t>
            </w:r>
            <w:r>
              <w:t xml:space="preserve"> </w:t>
            </w:r>
            <w:r>
              <w:t xml:space="preserve">y versionado (MLflow + DVC) y serving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Orquestación (Prefect): ingesta diaria y reentrenamiento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Monitorización de deriva (Evidently) y adaptación al régimen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Cuadro de mando (Streamlit)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y CI/CD (Docker, GitHub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de decisión económica (señal y evaluación de 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y</w:t>
            </w:r>
            <w:r>
              <w:t xml:space="preserve"> </w:t>
            </w:r>
            <w:r>
              <w:rPr>
                <w:iCs/>
                <w:i/>
              </w:rPr>
              <w:t xml:space="preserve">storytelling</w:t>
            </w:r>
            <w:r>
              <w:t xml:space="preserve"> </w:t>
            </w:r>
            <w:r>
              <w:t xml:space="preserve">(MkDocs, caso de negocio)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</w:tr>
    </w:tbl>
    <w:p>
      <w:pPr>
        <w:pStyle w:val="BodyText"/>
      </w:pPr>
      <w:r>
        <w:t xml:space="preserve">Distribución temporal orientativa: fundaciones y datos sólidos en el primer tercio; modelado, MLOps y serving en el segundo; monitorización, decisión económica, documentación y memoria en el último.</w:t>
      </w:r>
    </w:p>
    <w:bookmarkEnd w:id="27"/>
    <w:bookmarkStart w:id="28" w:name="recursos-necesarios"/>
    <w:p>
      <w:pPr>
        <w:pStyle w:val="Heading2"/>
      </w:pPr>
      <w:r>
        <w:t xml:space="preserve">9. Recursos necesarios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APIs públicas de OMIE, ESIOS (token gratuito) y AEMET (token gratuito).</w:t>
      </w:r>
      <w:r>
        <w:t xml:space="preserve"> </w:t>
      </w:r>
      <w:r>
        <w:rPr>
          <w:bCs/>
          <w:b/>
        </w:rPr>
        <w:t xml:space="preserve">Almacenamiento y base de datos:</w:t>
      </w:r>
      <w:r>
        <w:t xml:space="preserve"> </w:t>
      </w:r>
      <w:r>
        <w:t xml:space="preserve">el histórico se persiste en ficheros</w:t>
      </w:r>
      <w:r>
        <w:t xml:space="preserve"> </w:t>
      </w:r>
      <w:r>
        <w:rPr>
          <w:bCs/>
          <w:b/>
        </w:rPr>
        <w:t xml:space="preserve">Parquet</w:t>
      </w:r>
      <w:r>
        <w:t xml:space="preserve"> </w:t>
      </w:r>
      <w:r>
        <w:t xml:space="preserve">particionados (capa</w:t>
      </w:r>
      <w:r>
        <w:t xml:space="preserve"> </w:t>
      </w:r>
      <w:r>
        <w:rPr>
          <w:iCs/>
          <w:i/>
        </w:rPr>
        <w:t xml:space="preserve">gold</w:t>
      </w:r>
      <w:r>
        <w:t xml:space="preserve"> </w:t>
      </w:r>
      <w:r>
        <w:t xml:space="preserve">del</w:t>
      </w:r>
      <w:r>
        <w:t xml:space="preserve"> </w:t>
      </w:r>
      <w:r>
        <w:rPr>
          <w:iCs/>
          <w:i/>
        </w:rPr>
        <w:t xml:space="preserve">data lake</w:t>
      </w:r>
      <w:r>
        <w:t xml:space="preserve">), versionados con</w:t>
      </w:r>
      <w:r>
        <w:t xml:space="preserve"> </w:t>
      </w:r>
      <w:r>
        <w:rPr>
          <w:bCs/>
          <w:b/>
        </w:rPr>
        <w:t xml:space="preserve">DVC</w:t>
      </w:r>
      <w:r>
        <w:t xml:space="preserve">; el seguimiento de experimentos y el registro de modelos de</w:t>
      </w:r>
      <w:r>
        <w:t xml:space="preserve"> </w:t>
      </w:r>
      <w:r>
        <w:rPr>
          <w:bCs/>
          <w:b/>
        </w:rPr>
        <w:t xml:space="preserve">MLflow</w:t>
      </w:r>
      <w:r>
        <w:t xml:space="preserve"> </w:t>
      </w:r>
      <w:r>
        <w:t xml:space="preserve">se apoyan en una</w:t>
      </w:r>
      <w:r>
        <w:t xml:space="preserve"> </w:t>
      </w:r>
      <w:r>
        <w:rPr>
          <w:bCs/>
          <w:b/>
        </w:rPr>
        <w:t xml:space="preserve">base de datos relacional</w:t>
      </w:r>
      <w:r>
        <w:t xml:space="preserve"> </w:t>
      </w:r>
      <w:r>
        <w:t xml:space="preserve">—</w:t>
      </w:r>
      <w:r>
        <w:rPr>
          <w:bCs/>
          <w:b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mlflow.db</w:t>
      </w:r>
      <w:r>
        <w:t xml:space="preserve">) en desarrollo y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en el despliegue en la nube— que almacena parámetros, métricas y metadatos de cada ejecución y versión de modelo.</w:t>
      </w:r>
      <w:r>
        <w:t xml:space="preserve"> </w:t>
      </w:r>
      <w:r>
        <w:rPr>
          <w:bCs/>
          <w:b/>
        </w:rPr>
        <w:t xml:space="preserve">Software:</w:t>
      </w:r>
      <w:r>
        <w:t xml:space="preserve"> </w:t>
      </w:r>
      <w:r>
        <w:t xml:space="preserve">íntegramente de código abierto (Python, pandas, XGBoost, scikit-learn, MLflow, FastAPI, Prefect, Evidently, Streamlit, Docker).</w:t>
      </w:r>
      <w:r>
        <w:t xml:space="preserve"> </w:t>
      </w:r>
      <w:r>
        <w:rPr>
          <w:bCs/>
          <w:b/>
        </w:rPr>
        <w:t xml:space="preserve">Cómputo:</w:t>
      </w:r>
      <w:r>
        <w:t xml:space="preserve"> </w:t>
      </w:r>
      <w:r>
        <w:t xml:space="preserve">el entrenamiento de los modelos tabulares es viable en CPU; el reentrenamiento de la LSTM se ejecuta puntualmente en GPU (Google Colab).</w:t>
      </w:r>
      <w:r>
        <w:t xml:space="preserve"> </w:t>
      </w:r>
      <w:r>
        <w:rPr>
          <w:bCs/>
          <w:b/>
        </w:rPr>
        <w:t xml:space="preserve">Infraestructura de despliegue (opcional):</w:t>
      </w:r>
      <w:r>
        <w:t xml:space="preserve"> </w:t>
      </w:r>
      <w:r>
        <w:t xml:space="preserve">una estimación en la nube (AWS, región de Irlanda, bajo demanda) del sistema completo en producción arroja</w:t>
      </w:r>
      <w:r>
        <w:t xml:space="preserve"> </w:t>
      </w:r>
      <w:r>
        <w:rPr>
          <w:bCs/>
          <w:b/>
        </w:rPr>
        <w:t xml:space="preserve">~73 USD/mes</w:t>
      </w:r>
      <w:r>
        <w:t xml:space="preserve">, reducible a ~37 USD/mes en una configuración ajustada. El coste no es un obstáculo: el volumen de datos es pequeño y el valor del sistema reside en su fiabilidad, no en el músculo de cómputo.</w:t>
      </w:r>
    </w:p>
    <w:bookmarkEnd w:id="28"/>
    <w:bookmarkStart w:id="29" w:name="resultados-esperados-y-evaluación"/>
    <w:p>
      <w:pPr>
        <w:pStyle w:val="Heading2"/>
      </w:pPr>
      <w:r>
        <w:t xml:space="preserve">10. Resultados esperados y evaluación</w:t>
      </w:r>
    </w:p>
    <w:p>
      <w:pPr>
        <w:pStyle w:val="FirstParagraph"/>
      </w:pPr>
      <w:r>
        <w:t xml:space="preserve">Se espera entregar un sistema funcional, reproducible y documentado que: (1) prediga el precio D+1 con un error inferior al baseline de forma robusta en</w:t>
      </w:r>
      <w:r>
        <w:t xml:space="preserve"> </w:t>
      </w:r>
      <w:r>
        <w:rPr>
          <w:iCs/>
          <w:i/>
        </w:rPr>
        <w:t xml:space="preserve">backtesting walk-forward</w:t>
      </w:r>
      <w:r>
        <w:t xml:space="preserve">; (2) acompañe cada predicción de un intervalo de incertidumbre calibrado; (3) se ejecute de forma automatizada y se supervise a sí mismo detectando deriva; y (4) traduzca su rendimiento a un caso de negocio cuantificado. La evaluación se realizará con MAE y RMSE (€/MWh), cobertura de los intervalos, métricas de deriva en producción y la métrica económica de coste de error evitado.</w:t>
      </w:r>
    </w:p>
    <w:bookmarkEnd w:id="29"/>
    <w:bookmarkStart w:id="30" w:name="viabilidad-riesgos-y-limitaciones"/>
    <w:p>
      <w:pPr>
        <w:pStyle w:val="Heading2"/>
      </w:pPr>
      <w:r>
        <w:t xml:space="preserve">11. Viabilidad, riesgos y limitaciones</w:t>
      </w:r>
    </w:p>
    <w:p>
      <w:pPr>
        <w:pStyle w:val="FirstParagraph"/>
      </w:pPr>
      <w:r>
        <w:t xml:space="preserve">La viabilidad está respaldada por el prototipo ya funcional. Los riesgos principales son la</w:t>
      </w:r>
      <w:r>
        <w:t xml:space="preserve"> </w:t>
      </w:r>
      <w:r>
        <w:rPr>
          <w:bCs/>
          <w:b/>
        </w:rPr>
        <w:t xml:space="preserve">no-estacionariedad del mercado</w:t>
      </w:r>
      <w:r>
        <w:t xml:space="preserve"> </w:t>
      </w:r>
      <w:r>
        <w:t xml:space="preserve">(mitigada con monitorización de deriva y reentrenamiento adaptativo), la</w:t>
      </w:r>
      <w:r>
        <w:t xml:space="preserve"> </w:t>
      </w:r>
      <w:r>
        <w:rPr>
          <w:bCs/>
          <w:b/>
        </w:rPr>
        <w:t xml:space="preserve">dependencia de APIs externas</w:t>
      </w:r>
      <w:r>
        <w:t xml:space="preserve"> </w:t>
      </w:r>
      <w:r>
        <w:t xml:space="preserve">(mitigada con clientes robustos y almacenamiento local del histórico) y la</w:t>
      </w:r>
      <w:r>
        <w:t xml:space="preserve"> </w:t>
      </w:r>
      <w:r>
        <w:rPr>
          <w:bCs/>
          <w:b/>
        </w:rPr>
        <w:t xml:space="preserve">ausencia del precio del gas</w:t>
      </w:r>
      <w:r>
        <w:t xml:space="preserve"> </w:t>
      </w:r>
      <w:r>
        <w:t xml:space="preserve">en la versión actual (documentada como limitación y planificada como extensión). Ninguno compromete los objetivos del TFM.</w:t>
      </w:r>
    </w:p>
    <w:bookmarkEnd w:id="30"/>
    <w:bookmarkStart w:id="31" w:name="aplicabilidad-profesional"/>
    <w:p>
      <w:pPr>
        <w:pStyle w:val="Heading2"/>
      </w:pPr>
      <w:r>
        <w:t xml:space="preserve">12. Aplicabilidad profesional</w:t>
      </w:r>
    </w:p>
    <w:p>
      <w:pPr>
        <w:pStyle w:val="FirstParagraph"/>
      </w:pPr>
      <w:r>
        <w:t xml:space="preserve">El proyecto reproduce, sobre un caso real del sector energético español, el ciclo completo que una empresa espera de un sistema de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en producción. Su enfoque —datos reales, validación rigurosa, MLOps y traducción a valor de negocio— lo convierte en una demostración de competencias directamente alineada con perfiles de</w:t>
      </w:r>
      <w:r>
        <w:t xml:space="preserve"> </w:t>
      </w:r>
      <w:r>
        <w:rPr>
          <w:iCs/>
          <w:i/>
        </w:rPr>
        <w:t xml:space="preserve">data scientist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ML engineer</w:t>
      </w:r>
      <w:r>
        <w:t xml:space="preserve"> </w:t>
      </w:r>
      <w:r>
        <w:t xml:space="preserve">en el sector energético.</w:t>
      </w:r>
    </w:p>
    <w:bookmarkEnd w:id="31"/>
    <w:bookmarkStart w:id="32" w:name="referencias"/>
    <w:p>
      <w:pPr>
        <w:pStyle w:val="Heading2"/>
      </w:pPr>
      <w:r>
        <w:t xml:space="preserve">13. Referencias</w:t>
      </w:r>
    </w:p>
    <w:p>
      <w:pPr>
        <w:numPr>
          <w:ilvl w:val="0"/>
          <w:numId w:val="1003"/>
        </w:numPr>
        <w:pStyle w:val="Compact"/>
      </w:pPr>
      <w:r>
        <w:t xml:space="preserve">OMIE — Operador del Mercado Ibérico de Energía. Documentación del mercado diario.</w:t>
      </w:r>
    </w:p>
    <w:p>
      <w:pPr>
        <w:numPr>
          <w:ilvl w:val="0"/>
          <w:numId w:val="1003"/>
        </w:numPr>
        <w:pStyle w:val="Compact"/>
      </w:pPr>
      <w:r>
        <w:t xml:space="preserve">Red Eléctrica de España — ESIOS, sistema de información del operador del sistema.</w:t>
      </w:r>
    </w:p>
    <w:p>
      <w:pPr>
        <w:numPr>
          <w:ilvl w:val="0"/>
          <w:numId w:val="1003"/>
        </w:numPr>
        <w:pStyle w:val="Compact"/>
      </w:pPr>
      <w:r>
        <w:t xml:space="preserve">AEMET — Agencia Estatal de Meteorología, servicio de datos abiertos (OpenData).</w:t>
      </w:r>
    </w:p>
    <w:p>
      <w:pPr>
        <w:numPr>
          <w:ilvl w:val="0"/>
          <w:numId w:val="1003"/>
        </w:numPr>
        <w:pStyle w:val="Compact"/>
      </w:pPr>
      <w:r>
        <w:t xml:space="preserve">Weron, R. (2014).</w:t>
      </w:r>
      <w:r>
        <w:t xml:space="preserve"> </w:t>
      </w:r>
      <w:r>
        <w:rPr>
          <w:iCs/>
          <w:i/>
        </w:rPr>
        <w:t xml:space="preserve">Electricity price forecasting: A review of the state-of-the-art</w:t>
      </w:r>
      <w:r>
        <w:t xml:space="preserve">. International Journal of Forecasting.</w:t>
      </w:r>
    </w:p>
    <w:p>
      <w:pPr>
        <w:numPr>
          <w:ilvl w:val="0"/>
          <w:numId w:val="1003"/>
        </w:numPr>
        <w:pStyle w:val="Compact"/>
      </w:pPr>
      <w:r>
        <w:t xml:space="preserve">Lago, J., De Ridder, F., De Schutter, B. (2018/2021).</w:t>
      </w:r>
      <w:r>
        <w:t xml:space="preserve"> </w:t>
      </w:r>
      <w:r>
        <w:rPr>
          <w:iCs/>
          <w:i/>
        </w:rPr>
        <w:t xml:space="preserve">Forecasting spot electricity prices: Deep learning approaches and empirical comparison</w:t>
      </w:r>
      <w:r>
        <w:t xml:space="preserve">. Applied Energy.</w:t>
      </w:r>
    </w:p>
    <w:p>
      <w:pPr>
        <w:numPr>
          <w:ilvl w:val="0"/>
          <w:numId w:val="1003"/>
        </w:numPr>
        <w:pStyle w:val="Compact"/>
      </w:pPr>
      <w:r>
        <w:t xml:space="preserve">Lundberg, S. &amp; Lee, S. (2017).</w:t>
      </w:r>
      <w:r>
        <w:t xml:space="preserve"> </w:t>
      </w:r>
      <w:r>
        <w:rPr>
          <w:iCs/>
          <w:i/>
        </w:rPr>
        <w:t xml:space="preserve">A unified approach to interpreting model predictions (SHAP)</w:t>
      </w:r>
      <w:r>
        <w:t xml:space="preserve">. NeurIPS.</w:t>
      </w:r>
    </w:p>
    <w:p>
      <w:pPr>
        <w:numPr>
          <w:ilvl w:val="0"/>
          <w:numId w:val="1003"/>
        </w:numPr>
        <w:pStyle w:val="Compact"/>
      </w:pPr>
      <w:r>
        <w:t xml:space="preserve">Documentación de MLflow, DVC, Prefect, Evidently y FastAPI.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Jaime Llorca Martínez; Juan Prieto; José Menjívar</dc:creator>
  <cp:keywords/>
  <dcterms:created xsi:type="dcterms:W3CDTF">2026-09-15T20:50:33Z</dcterms:created>
  <dcterms:modified xsi:type="dcterms:W3CDTF">2026-09-15T20:50:33Z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