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cedf46abd9d043531de158e5d288e5e2fbaa26"/>
    <w:p>
      <w:pPr>
        <w:pStyle w:val="Heading1"/>
      </w:pPr>
      <w:r>
        <w:t xml:space="preserve">Módulo 9 — Problema de negocio, recursos cloud y proceso MLflow</w:t>
      </w:r>
    </w:p>
    <w:p>
      <w:pPr>
        <w:pStyle w:val="FirstParagraph"/>
      </w:pPr>
      <w:r>
        <w:rPr>
          <w:bCs/>
          <w:b/>
        </w:rPr>
        <w:t xml:space="preserve">Proyecto:</w:t>
      </w:r>
      <w:r>
        <w:t xml:space="preserve"> </w:t>
      </w:r>
      <w:r>
        <w:t xml:space="preserve">SpotPriceIQ — Predicción del precio spot eléctrico español (OMIE)</w:t>
      </w:r>
      <w:r>
        <w:t xml:space="preserve"> </w:t>
      </w:r>
      <w:r>
        <w:rPr>
          <w:bCs/>
          <w:b/>
        </w:rPr>
        <w:t xml:space="preserve">Equipo:</w:t>
      </w:r>
      <w:r>
        <w:t xml:space="preserve"> </w:t>
      </w:r>
      <w:r>
        <w:t xml:space="preserve">Jaime Llorca · Juan Prieto · José Menjívar</w:t>
      </w:r>
      <w:r>
        <w:t xml:space="preserve"> </w:t>
      </w:r>
      <w:r>
        <w:rPr>
          <w:bCs/>
          <w:b/>
        </w:rPr>
        <w:t xml:space="preserve">Fecha:</w:t>
      </w:r>
      <w:r>
        <w:t xml:space="preserve"> </w:t>
      </w:r>
      <w:r>
        <w:t xml:space="preserve">septiembre de 2026</w:t>
      </w:r>
    </w:p>
    <w:p>
      <w:r>
        <w:pict>
          <v:rect style="width:0;height:1.5pt" o:hralign="center" o:hrstd="t" o:hr="t"/>
        </w:pict>
      </w:r>
    </w:p>
    <w:bookmarkStart w:id="23" w:name="Xbbb2dfa402534ba1a59a36e2b1604dfa3764ba4"/>
    <w:p>
      <w:pPr>
        <w:pStyle w:val="Heading2"/>
      </w:pPr>
      <w:r>
        <w:t xml:space="preserve">Parte 1 — Definición del problema de negocio con visión de proceso (process mining)</w:t>
      </w:r>
    </w:p>
    <w:p>
      <w:pPr>
        <w:pStyle w:val="FirstParagraph"/>
      </w:pPr>
      <w:r>
        <w:rPr>
          <w:iCs/>
          <w:i/>
        </w:rPr>
        <w:t xml:space="preserve">Process mining</w:t>
      </w:r>
      <w:r>
        <w:t xml:space="preserve"> </w:t>
      </w:r>
      <w:r>
        <w:t xml:space="preserve">mira un problema no como</w:t>
      </w:r>
      <w:r>
        <w:t xml:space="preserve"> </w:t>
      </w:r>
      <w:r>
        <w:t xml:space="preserve">“</w:t>
      </w:r>
      <w:r>
        <w:t xml:space="preserve">un modelo que predice un número</w:t>
      </w:r>
      <w:r>
        <w:t xml:space="preserve">”</w:t>
      </w:r>
      <w:r>
        <w:t xml:space="preserve">, sino como un</w:t>
      </w:r>
      <w:r>
        <w:t xml:space="preserve"> </w:t>
      </w:r>
      <w:r>
        <w:rPr>
          <w:bCs/>
          <w:b/>
        </w:rPr>
        <w:t xml:space="preserve">proceso</w:t>
      </w:r>
      <w:r>
        <w:t xml:space="preserve"> </w:t>
      </w:r>
      <w:r>
        <w:t xml:space="preserve">con actividades, actores, tiempos y un flujo que se puede observar, medir y mejorar. Aplicado a este proyecto, la pregunta no es solo</w:t>
      </w:r>
      <w:r>
        <w:t xml:space="preserve"> </w:t>
      </w:r>
      <w:r>
        <w:t xml:space="preserve">“</w:t>
      </w:r>
      <w:r>
        <w:t xml:space="preserve">¿qué precio tendrá la luz mañana?</w:t>
      </w:r>
      <w:r>
        <w:t xml:space="preserve">”</w:t>
      </w:r>
      <w:r>
        <w:t xml:space="preserve">, sino</w:t>
      </w:r>
      <w:r>
        <w:t xml:space="preserve"> </w:t>
      </w:r>
      <w:r>
        <w:t xml:space="preserve">“</w:t>
      </w:r>
      <w:r>
        <w:t xml:space="preserve">¿cómo es hoy el proceso de decidir la oferta al mercado diario, dónde están sus cuellos de botella, y cómo lo transforma un sistema de predicción?</w:t>
      </w:r>
      <w:r>
        <w:t xml:space="preserve">”</w:t>
      </w:r>
      <w:r>
        <w:t xml:space="preserve">.</w:t>
      </w:r>
    </w:p>
    <w:bookmarkStart w:id="20" w:name="X6f12b2fdae9e4f47d85c925c8d9cfbb49e252cb"/>
    <w:p>
      <w:pPr>
        <w:pStyle w:val="Heading3"/>
      </w:pPr>
      <w:r>
        <w:t xml:space="preserve">1.1. El proceso de negocio: la puja al mercado diario</w:t>
      </w:r>
    </w:p>
    <w:p>
      <w:pPr>
        <w:pStyle w:val="FirstParagraph"/>
      </w:pPr>
      <w:r>
        <w:t xml:space="preserve">El caso de uso vive dentro de un proceso operativo diario y</w:t>
      </w:r>
      <w:r>
        <w:t xml:space="preserve"> </w:t>
      </w:r>
      <w:r>
        <w:rPr>
          <w:bCs/>
          <w:b/>
        </w:rPr>
        <w:t xml:space="preserve">cíclico</w:t>
      </w:r>
      <w:r>
        <w:t xml:space="preserve"> </w:t>
      </w:r>
      <w:r>
        <w:t xml:space="preserve">de una comercializadora o mesa de</w:t>
      </w:r>
      <w:r>
        <w:t xml:space="preserve"> </w:t>
      </w:r>
      <w:r>
        <w:rPr>
          <w:iCs/>
          <w:i/>
        </w:rPr>
        <w:t xml:space="preserve">trading</w:t>
      </w:r>
      <w:r>
        <w:t xml:space="preserve"> </w:t>
      </w:r>
      <w:r>
        <w:t xml:space="preserve">de energía. Cada día D-1, antes del cierre de la subasta de OMIE (~12:00), el equipo debe presentar sus ofertas para las 24 horas del día D+1. El proceso tiene un reloj estricto: la subasta cierra a una hora fija y no se puede llegar tarde.</w:t>
      </w:r>
    </w:p>
    <w:p>
      <w:pPr>
        <w:pStyle w:val="BodyText"/>
      </w:pPr>
      <w:r>
        <w:rPr>
          <w:bCs/>
          <w:b/>
        </w:rPr>
        <w:t xml:space="preserve">Proceso AS-IS (situación actual, sin sistema ML) — actividades del</w:t>
      </w:r>
      <w:r>
        <w:rPr>
          <w:bCs/>
          <w:b/>
        </w:rPr>
        <w:t xml:space="preserve"> </w:t>
      </w:r>
      <w:r>
        <w:rPr>
          <w:iCs/>
          <w:i/>
          <w:bCs/>
          <w:b/>
        </w:rPr>
        <w:t xml:space="preserve">event log</w:t>
      </w:r>
      <w:r>
        <w:rPr>
          <w:bCs/>
          <w:b/>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Actividad</w:t>
            </w:r>
          </w:p>
        </w:tc>
        <w:tc>
          <w:tcPr/>
          <w:p>
            <w:pPr>
              <w:pStyle w:val="Compact"/>
              <w:jc w:val="left"/>
            </w:pPr>
            <w:r>
              <w:t xml:space="preserve">Actor</w:t>
            </w:r>
          </w:p>
        </w:tc>
        <w:tc>
          <w:tcPr/>
          <w:p>
            <w:pPr>
              <w:pStyle w:val="Compact"/>
              <w:jc w:val="left"/>
            </w:pPr>
            <w:r>
              <w:t xml:space="preserve">Coste / cuello de botella</w:t>
            </w:r>
          </w:p>
        </w:tc>
      </w:tr>
      <w:tr>
        <w:tc>
          <w:tcPr/>
          <w:p>
            <w:pPr>
              <w:pStyle w:val="Compact"/>
              <w:jc w:val="left"/>
            </w:pPr>
            <w:r>
              <w:t xml:space="preserve">1</w:t>
            </w:r>
          </w:p>
        </w:tc>
        <w:tc>
          <w:tcPr/>
          <w:p>
            <w:pPr>
              <w:pStyle w:val="Compact"/>
              <w:jc w:val="left"/>
            </w:pPr>
            <w:r>
              <w:t xml:space="preserve">Recopilar datos de mercado, demanda, meteo</w:t>
            </w:r>
          </w:p>
        </w:tc>
        <w:tc>
          <w:tcPr/>
          <w:p>
            <w:pPr>
              <w:pStyle w:val="Compact"/>
              <w:jc w:val="left"/>
            </w:pPr>
            <w:r>
              <w:t xml:space="preserve">Analista</w:t>
            </w:r>
          </w:p>
        </w:tc>
        <w:tc>
          <w:tcPr/>
          <w:p>
            <w:pPr>
              <w:pStyle w:val="Compact"/>
              <w:jc w:val="left"/>
            </w:pPr>
            <w:r>
              <w:t xml:space="preserve">Manual, disperso en varias fuentes y hojas de cálculo</w:t>
            </w:r>
          </w:p>
        </w:tc>
      </w:tr>
      <w:tr>
        <w:tc>
          <w:tcPr/>
          <w:p>
            <w:pPr>
              <w:pStyle w:val="Compact"/>
              <w:jc w:val="left"/>
            </w:pPr>
            <w:r>
              <w:t xml:space="preserve">2</w:t>
            </w:r>
          </w:p>
        </w:tc>
        <w:tc>
          <w:tcPr/>
          <w:p>
            <w:pPr>
              <w:pStyle w:val="Compact"/>
              <w:jc w:val="left"/>
            </w:pPr>
            <w:r>
              <w:t xml:space="preserve">Estimar la previsión de precio D+1</w:t>
            </w:r>
          </w:p>
        </w:tc>
        <w:tc>
          <w:tcPr/>
          <w:p>
            <w:pPr>
              <w:pStyle w:val="Compact"/>
              <w:jc w:val="left"/>
            </w:pPr>
            <w:r>
              <w:t xml:space="preserve">Analista sénior</w:t>
            </w:r>
          </w:p>
        </w:tc>
        <w:tc>
          <w:tcPr/>
          <w:p>
            <w:pPr>
              <w:pStyle w:val="Compact"/>
              <w:jc w:val="left"/>
            </w:pPr>
            <w:r>
              <w:t xml:space="preserve">Depende del criterio experto; poco trazable, difícil de auditar</w:t>
            </w:r>
          </w:p>
        </w:tc>
      </w:tr>
      <w:tr>
        <w:tc>
          <w:tcPr/>
          <w:p>
            <w:pPr>
              <w:pStyle w:val="Compact"/>
              <w:jc w:val="left"/>
            </w:pPr>
            <w:r>
              <w:t xml:space="preserve">3</w:t>
            </w:r>
          </w:p>
        </w:tc>
        <w:tc>
          <w:tcPr/>
          <w:p>
            <w:pPr>
              <w:pStyle w:val="Compact"/>
              <w:jc w:val="left"/>
            </w:pPr>
            <w:r>
              <w:t xml:space="preserve">Revisar y ajustar la previsión</w:t>
            </w:r>
          </w:p>
        </w:tc>
        <w:tc>
          <w:tcPr/>
          <w:p>
            <w:pPr>
              <w:pStyle w:val="Compact"/>
              <w:jc w:val="left"/>
            </w:pPr>
            <w:r>
              <w:t xml:space="preserve">Responsable de mesa</w:t>
            </w:r>
          </w:p>
        </w:tc>
        <w:tc>
          <w:tcPr/>
          <w:p>
            <w:pPr>
              <w:pStyle w:val="Compact"/>
              <w:jc w:val="left"/>
            </w:pPr>
            <w:r>
              <w:t xml:space="preserve">Subjetivo; el conocimiento vive</w:t>
            </w:r>
            <w:r>
              <w:t xml:space="preserve"> </w:t>
            </w:r>
            <w:r>
              <w:t xml:space="preserve">“</w:t>
            </w:r>
            <w:r>
              <w:t xml:space="preserve">en la cabeza</w:t>
            </w:r>
            <w:r>
              <w:t xml:space="preserve">”</w:t>
            </w:r>
            <w:r>
              <w:t xml:space="preserve"> </w:t>
            </w:r>
            <w:r>
              <w:t xml:space="preserve">de una persona</w:t>
            </w:r>
          </w:p>
        </w:tc>
      </w:tr>
      <w:tr>
        <w:tc>
          <w:tcPr/>
          <w:p>
            <w:pPr>
              <w:pStyle w:val="Compact"/>
              <w:jc w:val="left"/>
            </w:pPr>
            <w:r>
              <w:t xml:space="preserve">4</w:t>
            </w:r>
          </w:p>
        </w:tc>
        <w:tc>
          <w:tcPr/>
          <w:p>
            <w:pPr>
              <w:pStyle w:val="Compact"/>
              <w:jc w:val="left"/>
            </w:pPr>
            <w:r>
              <w:t xml:space="preserve">Construir la curva de oferta</w:t>
            </w:r>
          </w:p>
        </w:tc>
        <w:tc>
          <w:tcPr/>
          <w:p>
            <w:pPr>
              <w:pStyle w:val="Compact"/>
              <w:jc w:val="left"/>
            </w:pPr>
            <w:r>
              <w:rPr>
                <w:iCs/>
                <w:i/>
              </w:rPr>
              <w:t xml:space="preserve">Trader</w:t>
            </w:r>
          </w:p>
        </w:tc>
        <w:tc>
          <w:tcPr/>
          <w:p>
            <w:pPr>
              <w:pStyle w:val="Compact"/>
              <w:jc w:val="left"/>
            </w:pPr>
            <w:r>
              <w:t xml:space="preserve">Presión de tiempo antes del cierre</w:t>
            </w:r>
          </w:p>
        </w:tc>
      </w:tr>
      <w:tr>
        <w:tc>
          <w:tcPr/>
          <w:p>
            <w:pPr>
              <w:pStyle w:val="Compact"/>
              <w:jc w:val="left"/>
            </w:pPr>
            <w:r>
              <w:t xml:space="preserve">5</w:t>
            </w:r>
          </w:p>
        </w:tc>
        <w:tc>
          <w:tcPr/>
          <w:p>
            <w:pPr>
              <w:pStyle w:val="Compact"/>
              <w:jc w:val="left"/>
            </w:pPr>
            <w:r>
              <w:t xml:space="preserve">Enviar la oferta a OMIE</w:t>
            </w:r>
          </w:p>
        </w:tc>
        <w:tc>
          <w:tcPr/>
          <w:p>
            <w:pPr>
              <w:pStyle w:val="Compact"/>
              <w:jc w:val="left"/>
            </w:pPr>
            <w:r>
              <w:rPr>
                <w:iCs/>
                <w:i/>
              </w:rPr>
              <w:t xml:space="preserve">Trader</w:t>
            </w:r>
          </w:p>
        </w:tc>
        <w:tc>
          <w:tcPr/>
          <w:p>
            <w:pPr>
              <w:pStyle w:val="Compact"/>
              <w:jc w:val="left"/>
            </w:pPr>
            <w:r>
              <w:t xml:space="preserve">Ventana horaria rígida</w:t>
            </w:r>
          </w:p>
        </w:tc>
      </w:tr>
      <w:tr>
        <w:tc>
          <w:tcPr/>
          <w:p>
            <w:pPr>
              <w:pStyle w:val="Compact"/>
              <w:jc w:val="left"/>
            </w:pPr>
            <w:r>
              <w:t xml:space="preserve">6</w:t>
            </w:r>
          </w:p>
        </w:tc>
        <w:tc>
          <w:tcPr/>
          <w:p>
            <w:pPr>
              <w:pStyle w:val="Compact"/>
              <w:jc w:val="left"/>
            </w:pPr>
            <w:r>
              <w:t xml:space="preserve">(Día D) Observar el precio real y el resultado</w:t>
            </w:r>
          </w:p>
        </w:tc>
        <w:tc>
          <w:tcPr/>
          <w:p>
            <w:pPr>
              <w:pStyle w:val="Compact"/>
              <w:jc w:val="left"/>
            </w:pPr>
            <w:r>
              <w:t xml:space="preserve">Analista</w:t>
            </w:r>
          </w:p>
        </w:tc>
        <w:tc>
          <w:tcPr/>
          <w:p>
            <w:pPr>
              <w:pStyle w:val="Compact"/>
              <w:jc w:val="left"/>
            </w:pPr>
            <w:r>
              <w:t xml:space="preserve">La comparación previsto vs real rara vez se registra sistemáticamente</w:t>
            </w:r>
          </w:p>
        </w:tc>
      </w:tr>
    </w:tbl>
    <w:p>
      <w:pPr>
        <w:pStyle w:val="BodyText"/>
      </w:pPr>
      <w:r>
        <w:rPr>
          <w:bCs/>
          <w:b/>
        </w:rPr>
        <w:t xml:space="preserve">Cuellos de botella detectados con la mirada de proceso:</w:t>
      </w:r>
    </w:p>
    <w:p>
      <w:pPr>
        <w:numPr>
          <w:ilvl w:val="0"/>
          <w:numId w:val="1001"/>
        </w:numPr>
        <w:pStyle w:val="Compact"/>
      </w:pPr>
      <w:r>
        <w:rPr>
          <w:bCs/>
          <w:b/>
        </w:rPr>
        <w:t xml:space="preserve">Actividad 2 (estimación) es el cuello crítico:</w:t>
      </w:r>
      <w:r>
        <w:t xml:space="preserve"> </w:t>
      </w:r>
      <w:r>
        <w:t xml:space="preserve">lenta, dependiente de una persona, poco reproducible y sin registro de por qué se decidió cada número. Si esa persona falta, el proceso se degrada.</w:t>
      </w:r>
    </w:p>
    <w:p>
      <w:pPr>
        <w:numPr>
          <w:ilvl w:val="0"/>
          <w:numId w:val="1001"/>
        </w:numPr>
        <w:pStyle w:val="Compact"/>
      </w:pPr>
      <w:r>
        <w:rPr>
          <w:bCs/>
          <w:b/>
        </w:rPr>
        <w:t xml:space="preserve">Falta de trazabilidad:</w:t>
      </w:r>
      <w:r>
        <w:t xml:space="preserve"> </w:t>
      </w:r>
      <w:r>
        <w:t xml:space="preserve">no hay un</w:t>
      </w:r>
      <w:r>
        <w:t xml:space="preserve"> </w:t>
      </w:r>
      <w:r>
        <w:rPr>
          <w:iCs/>
          <w:i/>
        </w:rPr>
        <w:t xml:space="preserve">event log</w:t>
      </w:r>
      <w:r>
        <w:t xml:space="preserve"> </w:t>
      </w:r>
      <w:r>
        <w:t xml:space="preserve">que permita analizar después</w:t>
      </w:r>
      <w:r>
        <w:t xml:space="preserve"> </w:t>
      </w:r>
      <w:r>
        <w:rPr>
          <w:iCs/>
          <w:i/>
        </w:rPr>
        <w:t xml:space="preserve">por qué</w:t>
      </w:r>
      <w:r>
        <w:t xml:space="preserve"> </w:t>
      </w:r>
      <w:r>
        <w:t xml:space="preserve">la previsión falló un día concreto.</w:t>
      </w:r>
    </w:p>
    <w:p>
      <w:pPr>
        <w:numPr>
          <w:ilvl w:val="0"/>
          <w:numId w:val="1001"/>
        </w:numPr>
        <w:pStyle w:val="Compact"/>
      </w:pPr>
      <w:r>
        <w:rPr>
          <w:bCs/>
          <w:b/>
        </w:rPr>
        <w:t xml:space="preserve">El bucle de aprendizaje (actividad 6) está roto:</w:t>
      </w:r>
      <w:r>
        <w:t xml:space="preserve"> </w:t>
      </w:r>
      <w:r>
        <w:t xml:space="preserve">el previsto vs real no se captura de forma estructurada, así que el proceso no aprende de sus propios errores.</w:t>
      </w:r>
    </w:p>
    <w:p>
      <w:pPr>
        <w:numPr>
          <w:ilvl w:val="0"/>
          <w:numId w:val="1001"/>
        </w:numPr>
        <w:pStyle w:val="Compact"/>
      </w:pPr>
      <w:r>
        <w:rPr>
          <w:bCs/>
          <w:b/>
        </w:rPr>
        <w:t xml:space="preserve">Reprocesos y variabilidad:</w:t>
      </w:r>
      <w:r>
        <w:t xml:space="preserve"> </w:t>
      </w:r>
      <w:r>
        <w:t xml:space="preserve">días de alta volatilidad (invierno, crisis de gas) disparan revisiones manuales y estrés temporal.</w:t>
      </w:r>
    </w:p>
    <w:bookmarkEnd w:id="20"/>
    <w:bookmarkStart w:id="21" w:name="proceso-to-be-con-el-sistema-spotpriceiq"/>
    <w:p>
      <w:pPr>
        <w:pStyle w:val="Heading3"/>
      </w:pPr>
      <w:r>
        <w:t xml:space="preserve">1.2. Proceso TO-BE (con el sistema SpotPriceIQ)</w:t>
      </w:r>
    </w:p>
    <w:p>
      <w:pPr>
        <w:pStyle w:val="FirstParagraph"/>
      </w:pPr>
      <w:r>
        <w:t xml:space="preserve">El sistema ML no elimina al humano:</w:t>
      </w:r>
      <w:r>
        <w:t xml:space="preserve"> </w:t>
      </w:r>
      <w:r>
        <w:rPr>
          <w:bCs/>
          <w:b/>
        </w:rPr>
        <w:t xml:space="preserve">automatiza y hace trazable la actividad 2</w:t>
      </w:r>
      <w:r>
        <w:t xml:space="preserve"> </w:t>
      </w:r>
      <w:r>
        <w:t xml:space="preserve">(la estimación), libera al analista para la supervisión y cierra el bucle de aprendizaje. El proceso rediseñado, con sus tiempos, es el que orquesta Prefect:</w:t>
      </w:r>
    </w:p>
    <w:p>
      <w:pPr>
        <w:pStyle w:val="SourceCode"/>
      </w:pPr>
      <w:r>
        <w:rPr>
          <w:rStyle w:val="VerbatimChar"/>
        </w:rPr>
        <w:t xml:space="preserve">[13:00 D-1]  Ingesta automática (OMIE + ESIOS + AEMET)         → Prefect flow</w:t>
      </w:r>
      <w:r>
        <w:br/>
      </w:r>
      <w:r>
        <w:rPr>
          <w:rStyle w:val="VerbatimChar"/>
        </w:rPr>
        <w:t xml:space="preserve">     ↓</w:t>
      </w:r>
      <w:r>
        <w:br/>
      </w:r>
      <w:r>
        <w:rPr>
          <w:rStyle w:val="VerbatimChar"/>
        </w:rPr>
        <w:t xml:space="preserve">             Validación de contrato de datos (Pandera)         → gate de calidad</w:t>
      </w:r>
      <w:r>
        <w:br/>
      </w:r>
      <w:r>
        <w:rPr>
          <w:rStyle w:val="VerbatimChar"/>
        </w:rPr>
        <w:t xml:space="preserve">     ↓</w:t>
      </w:r>
      <w:r>
        <w:br/>
      </w:r>
      <w:r>
        <w:rPr>
          <w:rStyle w:val="VerbatimChar"/>
        </w:rPr>
        <w:t xml:space="preserve">             Construcción de features (sin leakage)            → feature_sets</w:t>
      </w:r>
      <w:r>
        <w:br/>
      </w:r>
      <w:r>
        <w:rPr>
          <w:rStyle w:val="VerbatimChar"/>
        </w:rPr>
        <w:t xml:space="preserve">     ↓</w:t>
      </w:r>
      <w:r>
        <w:br/>
      </w:r>
      <w:r>
        <w:rPr>
          <w:rStyle w:val="VerbatimChar"/>
        </w:rPr>
        <w:t xml:space="preserve">             Predicción D+1 vía API (modelo @champion)         → FastAPI /predict</w:t>
      </w:r>
      <w:r>
        <w:br/>
      </w:r>
      <w:r>
        <w:rPr>
          <w:rStyle w:val="VerbatimChar"/>
        </w:rPr>
        <w:t xml:space="preserve">     ↓</w:t>
      </w:r>
      <w:r>
        <w:br/>
      </w:r>
      <w:r>
        <w:rPr>
          <w:rStyle w:val="VerbatimChar"/>
        </w:rPr>
        <w:t xml:space="preserve">             Predicción + intervalos P10/P50/P90 al dashboard  → Streamlit</w:t>
      </w:r>
      <w:r>
        <w:br/>
      </w:r>
      <w:r>
        <w:rPr>
          <w:rStyle w:val="VerbatimChar"/>
        </w:rPr>
        <w:t xml:space="preserve">     ↓</w:t>
      </w:r>
      <w:r>
        <w:br/>
      </w:r>
      <w:r>
        <w:rPr>
          <w:rStyle w:val="VerbatimChar"/>
        </w:rPr>
        <w:t xml:space="preserve">[humano]     El trader supervisa, ajusta si procede, y puja</w:t>
      </w:r>
      <w:r>
        <w:br/>
      </w:r>
      <w:r>
        <w:rPr>
          <w:rStyle w:val="VerbatimChar"/>
        </w:rPr>
        <w:t xml:space="preserve">     ↓</w:t>
      </w:r>
      <w:r>
        <w:br/>
      </w:r>
      <w:r>
        <w:rPr>
          <w:rStyle w:val="VerbatimChar"/>
        </w:rPr>
        <w:t xml:space="preserve">[Día D]      Se registra precio real → previsto vs real        → monitorización</w:t>
      </w:r>
      <w:r>
        <w:br/>
      </w:r>
      <w:r>
        <w:rPr>
          <w:rStyle w:val="VerbatimChar"/>
        </w:rPr>
        <w:t xml:space="preserve">     ↓</w:t>
      </w:r>
      <w:r>
        <w:br/>
      </w:r>
      <w:r>
        <w:rPr>
          <w:rStyle w:val="VerbatimChar"/>
        </w:rPr>
        <w:t xml:space="preserve">             Detección de drift; si el error se degrada        → trigger de reentrenamiento</w:t>
      </w:r>
      <w:r>
        <w:br/>
      </w:r>
      <w:r>
        <w:rPr>
          <w:rStyle w:val="VerbatimChar"/>
        </w:rPr>
        <w:t xml:space="preserve">     ↓</w:t>
      </w:r>
      <w:r>
        <w:br/>
      </w:r>
      <w:r>
        <w:rPr>
          <w:rStyle w:val="VerbatimChar"/>
        </w:rPr>
        <w:t xml:space="preserve">             (vuelta al inicio: el proceso aprende)</w:t>
      </w:r>
    </w:p>
    <w:p>
      <w:pPr>
        <w:pStyle w:val="FirstParagraph"/>
      </w:pPr>
      <w:r>
        <w:rPr>
          <w:bCs/>
          <w:b/>
        </w:rPr>
        <w:t xml:space="preserve">Mejoras de proceso, medibles: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Dimensión</w:t>
            </w:r>
          </w:p>
        </w:tc>
        <w:tc>
          <w:tcPr/>
          <w:p>
            <w:pPr>
              <w:pStyle w:val="Compact"/>
              <w:jc w:val="left"/>
            </w:pPr>
            <w:r>
              <w:t xml:space="preserve">AS-IS</w:t>
            </w:r>
          </w:p>
        </w:tc>
        <w:tc>
          <w:tcPr/>
          <w:p>
            <w:pPr>
              <w:pStyle w:val="Compact"/>
              <w:jc w:val="left"/>
            </w:pPr>
            <w:r>
              <w:t xml:space="preserve">TO-BE</w:t>
            </w:r>
          </w:p>
        </w:tc>
      </w:tr>
      <w:tr>
        <w:tc>
          <w:tcPr/>
          <w:p>
            <w:pPr>
              <w:pStyle w:val="Compact"/>
              <w:jc w:val="left"/>
            </w:pPr>
            <w:r>
              <w:t xml:space="preserve">Tiempo de la estimación (act. 2)</w:t>
            </w:r>
          </w:p>
        </w:tc>
        <w:tc>
          <w:tcPr/>
          <w:p>
            <w:pPr>
              <w:pStyle w:val="Compact"/>
              <w:jc w:val="left"/>
            </w:pPr>
            <w:r>
              <w:t xml:space="preserve">Horas de trabajo experto</w:t>
            </w:r>
          </w:p>
        </w:tc>
        <w:tc>
          <w:tcPr/>
          <w:p>
            <w:pPr>
              <w:pStyle w:val="Compact"/>
              <w:jc w:val="left"/>
            </w:pPr>
            <w:r>
              <w:t xml:space="preserve">Segundos (llamada a la API)</w:t>
            </w:r>
          </w:p>
        </w:tc>
      </w:tr>
      <w:tr>
        <w:tc>
          <w:tcPr/>
          <w:p>
            <w:pPr>
              <w:pStyle w:val="Compact"/>
              <w:jc w:val="left"/>
            </w:pPr>
            <w:r>
              <w:t xml:space="preserve">Trazabilidad</w:t>
            </w:r>
          </w:p>
        </w:tc>
        <w:tc>
          <w:tcPr/>
          <w:p>
            <w:pPr>
              <w:pStyle w:val="Compact"/>
              <w:jc w:val="left"/>
            </w:pPr>
            <w:r>
              <w:t xml:space="preserve">Nula (criterio en la cabeza)</w:t>
            </w:r>
          </w:p>
        </w:tc>
        <w:tc>
          <w:tcPr/>
          <w:p>
            <w:pPr>
              <w:pStyle w:val="Compact"/>
              <w:jc w:val="left"/>
            </w:pPr>
            <w:r>
              <w:t xml:space="preserve">Total (MLflow: qué modelo, qué datos, qué error esperado)</w:t>
            </w:r>
          </w:p>
        </w:tc>
      </w:tr>
      <w:tr>
        <w:tc>
          <w:tcPr/>
          <w:p>
            <w:pPr>
              <w:pStyle w:val="Compact"/>
              <w:jc w:val="left"/>
            </w:pPr>
            <w:r>
              <w:t xml:space="preserve">Reproducibilidad</w:t>
            </w:r>
          </w:p>
        </w:tc>
        <w:tc>
          <w:tcPr/>
          <w:p>
            <w:pPr>
              <w:pStyle w:val="Compact"/>
              <w:jc w:val="left"/>
            </w:pPr>
            <w:r>
              <w:t xml:space="preserve">Baja</w:t>
            </w:r>
          </w:p>
        </w:tc>
        <w:tc>
          <w:tcPr/>
          <w:p>
            <w:pPr>
              <w:pStyle w:val="Compact"/>
              <w:jc w:val="left"/>
            </w:pPr>
            <w:r>
              <w:t xml:space="preserve">Bit a bit (DVC + MLflow)</w:t>
            </w:r>
          </w:p>
        </w:tc>
      </w:tr>
      <w:tr>
        <w:tc>
          <w:tcPr/>
          <w:p>
            <w:pPr>
              <w:pStyle w:val="Compact"/>
              <w:jc w:val="left"/>
            </w:pPr>
            <w:r>
              <w:t xml:space="preserve">Bucle de aprendizaje</w:t>
            </w:r>
          </w:p>
        </w:tc>
        <w:tc>
          <w:tcPr/>
          <w:p>
            <w:pPr>
              <w:pStyle w:val="Compact"/>
              <w:jc w:val="left"/>
            </w:pPr>
            <w:r>
              <w:t xml:space="preserve">Roto</w:t>
            </w:r>
          </w:p>
        </w:tc>
        <w:tc>
          <w:tcPr/>
          <w:p>
            <w:pPr>
              <w:pStyle w:val="Compact"/>
              <w:jc w:val="left"/>
            </w:pPr>
            <w:r>
              <w:t xml:space="preserve">Cerrado (monitorización → reentrenamiento)</w:t>
            </w:r>
          </w:p>
        </w:tc>
      </w:tr>
      <w:tr>
        <w:tc>
          <w:tcPr/>
          <w:p>
            <w:pPr>
              <w:pStyle w:val="Compact"/>
              <w:jc w:val="left"/>
            </w:pPr>
            <w:r>
              <w:t xml:space="preserve">Dependencia de personas</w:t>
            </w:r>
          </w:p>
        </w:tc>
        <w:tc>
          <w:tcPr/>
          <w:p>
            <w:pPr>
              <w:pStyle w:val="Compact"/>
              <w:jc w:val="left"/>
            </w:pPr>
            <w:r>
              <w:t xml:space="preserve">Alta (riesgo de</w:t>
            </w:r>
            <w:r>
              <w:t xml:space="preserve"> </w:t>
            </w:r>
            <w:r>
              <w:rPr>
                <w:iCs/>
                <w:i/>
              </w:rPr>
              <w:t xml:space="preserve">bus factor</w:t>
            </w:r>
            <w:r>
              <w:t xml:space="preserve">)</w:t>
            </w:r>
          </w:p>
        </w:tc>
        <w:tc>
          <w:tcPr/>
          <w:p>
            <w:pPr>
              <w:pStyle w:val="Compact"/>
              <w:jc w:val="left"/>
            </w:pPr>
            <w:r>
              <w:t xml:space="preserve">Baja (proceso codificado y versionado)</w:t>
            </w:r>
          </w:p>
        </w:tc>
      </w:tr>
      <w:tr>
        <w:tc>
          <w:tcPr/>
          <w:p>
            <w:pPr>
              <w:pStyle w:val="Compact"/>
              <w:jc w:val="left"/>
            </w:pPr>
            <w:r>
              <w:t xml:space="preserve">Explicabilidad de un fallo</w:t>
            </w:r>
          </w:p>
        </w:tc>
        <w:tc>
          <w:tcPr/>
          <w:p>
            <w:pPr>
              <w:pStyle w:val="Compact"/>
              <w:jc w:val="left"/>
            </w:pPr>
            <w:r>
              <w:t xml:space="preserve">“</w:t>
            </w:r>
            <w:r>
              <w:t xml:space="preserve">No sabemos por qué</w:t>
            </w:r>
            <w:r>
              <w:t xml:space="preserve">”</w:t>
            </w:r>
          </w:p>
        </w:tc>
        <w:tc>
          <w:tcPr/>
          <w:p>
            <w:pPr>
              <w:pStyle w:val="Compact"/>
              <w:jc w:val="left"/>
            </w:pPr>
            <w:r>
              <w:t xml:space="preserve">SHAP +</w:t>
            </w:r>
            <w:r>
              <w:t xml:space="preserve"> </w:t>
            </w:r>
            <w:r>
              <w:rPr>
                <w:iCs/>
                <w:i/>
              </w:rPr>
              <w:t xml:space="preserve">event log</w:t>
            </w:r>
            <w:r>
              <w:t xml:space="preserve"> </w:t>
            </w:r>
            <w:r>
              <w:t xml:space="preserve">de predicciones</w:t>
            </w:r>
          </w:p>
        </w:tc>
      </w:tr>
    </w:tbl>
    <w:bookmarkEnd w:id="21"/>
    <w:bookmarkStart w:id="22" w:name="kpis-de-proceso-y-de-negocio"/>
    <w:p>
      <w:pPr>
        <w:pStyle w:val="Heading3"/>
      </w:pPr>
      <w:r>
        <w:t xml:space="preserve">1.3. KPIs de proceso y de negocio</w:t>
      </w:r>
    </w:p>
    <w:p>
      <w:pPr>
        <w:numPr>
          <w:ilvl w:val="0"/>
          <w:numId w:val="1002"/>
        </w:numPr>
        <w:pStyle w:val="Compact"/>
      </w:pPr>
      <w:r>
        <w:rPr>
          <w:bCs/>
          <w:b/>
        </w:rPr>
        <w:t xml:space="preserve">KPIs de proceso:</w:t>
      </w:r>
      <w:r>
        <w:t xml:space="preserve"> </w:t>
      </w:r>
      <w:r>
        <w:rPr>
          <w:iCs/>
          <w:i/>
        </w:rPr>
        <w:t xml:space="preserve">lead time</w:t>
      </w:r>
      <w:r>
        <w:t xml:space="preserve"> </w:t>
      </w:r>
      <w:r>
        <w:t xml:space="preserve">del ciclo diario (de ingesta a predicción), tasa de ejecuciones sin intervención manual, % de días con el bucle previsto-vs-real cerrado, tiempo medio de detección de degradación del modelo.</w:t>
      </w:r>
    </w:p>
    <w:p>
      <w:pPr>
        <w:numPr>
          <w:ilvl w:val="0"/>
          <w:numId w:val="1002"/>
        </w:numPr>
        <w:pStyle w:val="Compact"/>
      </w:pPr>
      <w:r>
        <w:rPr>
          <w:bCs/>
          <w:b/>
        </w:rPr>
        <w:t xml:space="preserve">KPIs de modelo:</w:t>
      </w:r>
      <w:r>
        <w:t xml:space="preserve"> </w:t>
      </w:r>
      <w:r>
        <w:t xml:space="preserve">MAE y RMSE (€/MWh) en producción, cobertura de los intervalos, frecuencia de</w:t>
      </w:r>
      <w:r>
        <w:t xml:space="preserve"> </w:t>
      </w:r>
      <w:r>
        <w:rPr>
          <w:iCs/>
          <w:i/>
        </w:rPr>
        <w:t xml:space="preserve">drift</w:t>
      </w:r>
      <w:r>
        <w:t xml:space="preserve"> </w:t>
      </w:r>
      <w:r>
        <w:t xml:space="preserve">detectado.</w:t>
      </w:r>
    </w:p>
    <w:p>
      <w:pPr>
        <w:numPr>
          <w:ilvl w:val="0"/>
          <w:numId w:val="1002"/>
        </w:numPr>
        <w:pStyle w:val="Compact"/>
      </w:pPr>
      <w:r>
        <w:rPr>
          <w:bCs/>
          <w:b/>
        </w:rPr>
        <w:t xml:space="preserve">KPI de negocio (el que importa a dirección):</w:t>
      </w:r>
      <w:r>
        <w:t xml:space="preserve"> </w:t>
      </w:r>
      <w:r>
        <w:t xml:space="preserve">€ de coste de error evitado al año (2,63 €/MWh × volumen → ~23 M€/año a escala de 1 GW; véase el caso de negocio del Módulo 2).</w:t>
      </w:r>
    </w:p>
    <w:p>
      <w:pPr>
        <w:pStyle w:val="FirstParagraph"/>
      </w:pPr>
      <w:r>
        <w:t xml:space="preserve">La visión de proceso conecta las tres capas: un proceso más rápido y trazable (proceso) produce mejores previsiones (modelo) que ahorran dinero (negocio).</w:t>
      </w:r>
    </w:p>
    <w:p>
      <w:r>
        <w:pict>
          <v:rect style="width:0;height:1.5pt" o:hralign="center" o:hrstd="t" o:hr="t"/>
        </w:pict>
      </w:r>
    </w:p>
    <w:bookmarkEnd w:id="22"/>
    <w:bookmarkEnd w:id="23"/>
    <w:bookmarkStart w:id="30" w:name="parte-2-estimación-de-recursos-cloud"/>
    <w:p>
      <w:pPr>
        <w:pStyle w:val="Heading2"/>
      </w:pPr>
      <w:r>
        <w:t xml:space="preserve">Parte 2 — Estimación de recursos cloud</w:t>
      </w:r>
    </w:p>
    <w:p>
      <w:pPr>
        <w:pStyle w:val="FirstParagraph"/>
      </w:pPr>
      <w:r>
        <w:t xml:space="preserve">Esta sección dimensiona qué recursos de nube necesitaría el sistema en producción y cuantifica su coste con precios representativos (AWS, región de Europa, bajo demanda, septiembre de 2026).</w:t>
      </w:r>
      <w:r>
        <w:t xml:space="preserve"> </w:t>
      </w:r>
      <w:r>
        <w:rPr>
          <w:bCs/>
          <w:b/>
        </w:rPr>
        <w:t xml:space="preserve">Las cifras deben confirmarse en la</w:t>
      </w:r>
      <w:r>
        <w:rPr>
          <w:bCs/>
          <w:b/>
        </w:rPr>
        <w:t xml:space="preserve"> </w:t>
      </w:r>
      <w:hyperlink r:id="rId24">
        <w:r>
          <w:rPr>
            <w:rStyle w:val="Hyperlink"/>
            <w:bCs/>
            <w:b/>
          </w:rPr>
          <w:t xml:space="preserve">AWS Pricing Calculator</w:t>
        </w:r>
      </w:hyperlink>
      <w:r>
        <w:t xml:space="preserve">; el objetivo del ejercicio es el razonamiento de dimensionamiento, no el céntimo exacto.</w:t>
      </w:r>
    </w:p>
    <w:bookmarkStart w:id="25" w:name="X018a27371006d5c45a432f6fcb49586551963e2"/>
    <w:p>
      <w:pPr>
        <w:pStyle w:val="Heading3"/>
      </w:pPr>
      <w:r>
        <w:t xml:space="preserve">2.1. Perfil de carga (el punto de partida honesto)</w:t>
      </w:r>
    </w:p>
    <w:p>
      <w:pPr>
        <w:pStyle w:val="FirstParagraph"/>
      </w:pPr>
      <w:r>
        <w:t xml:space="preserve">Antes de elegir servicios, hay que entender la carga real, y aquí el dato es revelador:</w:t>
      </w:r>
      <w:r>
        <w:t xml:space="preserve"> </w:t>
      </w:r>
      <w:r>
        <w:rPr>
          <w:bCs/>
          <w:b/>
        </w:rPr>
        <w:t xml:space="preserve">es un workload pequeño</w:t>
      </w:r>
      <w:r>
        <w:t xml:space="preserve">. El histórico completo son ~30.500 filas horarias y la tabla de features ocupa ~3,6 MB. El entrenamiento de XGBoost dura minutos en una CPU normal. La inferencia es una predicción de 24 valores una vez al día. No es</w:t>
      </w:r>
      <w:r>
        <w:t xml:space="preserve"> </w:t>
      </w:r>
      <w:r>
        <w:rPr>
          <w:iCs/>
          <w:i/>
        </w:rPr>
        <w:t xml:space="preserve">big data</w:t>
      </w:r>
      <w:r>
        <w:t xml:space="preserve">: es un problema de</w:t>
      </w:r>
      <w:r>
        <w:t xml:space="preserve"> </w:t>
      </w:r>
      <w:r>
        <w:rPr>
          <w:bCs/>
          <w:b/>
        </w:rPr>
        <w:t xml:space="preserve">automatización fiable y siempre disponible</w:t>
      </w:r>
      <w:r>
        <w:t xml:space="preserve">, no de escala de cómputo. Esto dicta la arquitectura: conviene lo</w:t>
      </w:r>
      <w:r>
        <w:t xml:space="preserve"> </w:t>
      </w:r>
      <w:r>
        <w:rPr>
          <w:bCs/>
          <w:b/>
        </w:rPr>
        <w:t xml:space="preserve">serverless y con escalado a cero</w:t>
      </w:r>
      <w:r>
        <w:t xml:space="preserve">, no un clúster encendido las 24 horas.</w:t>
      </w:r>
    </w:p>
    <w:bookmarkEnd w:id="25"/>
    <w:bookmarkStart w:id="26" w:name="mapeo-arquitectura-servicios-cloud"/>
    <w:p>
      <w:pPr>
        <w:pStyle w:val="Heading3"/>
      </w:pPr>
      <w:r>
        <w:t xml:space="preserve">2.2. Mapeo arquitectura → servicios cloud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 del proyecto</w:t>
            </w:r>
          </w:p>
        </w:tc>
        <w:tc>
          <w:tcPr/>
          <w:p>
            <w:pPr>
              <w:pStyle w:val="Compact"/>
              <w:jc w:val="left"/>
            </w:pPr>
            <w:r>
              <w:t xml:space="preserve">Servicio AWS</w:t>
            </w:r>
          </w:p>
        </w:tc>
        <w:tc>
          <w:tcPr/>
          <w:p>
            <w:pPr>
              <w:pStyle w:val="Compact"/>
              <w:jc w:val="left"/>
            </w:pPr>
            <w:r>
              <w:t xml:space="preserve">Dimensionamiento</w:t>
            </w:r>
          </w:p>
        </w:tc>
      </w:tr>
      <w:tr>
        <w:tc>
          <w:tcPr/>
          <w:p>
            <w:pPr>
              <w:pStyle w:val="Compact"/>
              <w:jc w:val="left"/>
            </w:pPr>
            <w:r>
              <w:t xml:space="preserve">Ingesta diaria (Prefect flow, ~13h)</w:t>
            </w:r>
          </w:p>
        </w:tc>
        <w:tc>
          <w:tcPr/>
          <w:p>
            <w:pPr>
              <w:pStyle w:val="Compact"/>
              <w:jc w:val="left"/>
            </w:pPr>
            <w:r>
              <w:rPr>
                <w:bCs/>
                <w:b/>
              </w:rPr>
              <w:t xml:space="preserve">AWS Fargate</w:t>
            </w:r>
            <w:r>
              <w:t xml:space="preserve"> </w:t>
            </w:r>
            <w:r>
              <w:t xml:space="preserve">(tarea programada por EventBridge) o</w:t>
            </w:r>
            <w:r>
              <w:t xml:space="preserve"> </w:t>
            </w:r>
            <w:r>
              <w:rPr>
                <w:bCs/>
                <w:b/>
              </w:rPr>
              <w:t xml:space="preserve">Lambda</w:t>
            </w:r>
          </w:p>
        </w:tc>
        <w:tc>
          <w:tcPr/>
          <w:p>
            <w:pPr>
              <w:pStyle w:val="Compact"/>
              <w:jc w:val="left"/>
            </w:pPr>
            <w:r>
              <w:t xml:space="preserve">0,5 vCPU / 1 GB, ~5 min/día</w:t>
            </w:r>
          </w:p>
        </w:tc>
      </w:tr>
      <w:tr>
        <w:tc>
          <w:tcPr/>
          <w:p>
            <w:pPr>
              <w:pStyle w:val="Compact"/>
              <w:jc w:val="left"/>
            </w:pPr>
            <w:r>
              <w:t xml:space="preserve">Entrenamiento periódico (XGBoost)</w:t>
            </w:r>
          </w:p>
        </w:tc>
        <w:tc>
          <w:tcPr/>
          <w:p>
            <w:pPr>
              <w:pStyle w:val="Compact"/>
              <w:jc w:val="left"/>
            </w:pPr>
            <w:r>
              <w:rPr>
                <w:bCs/>
                <w:b/>
              </w:rPr>
              <w:t xml:space="preserve">Fargate</w:t>
            </w:r>
            <w:r>
              <w:t xml:space="preserve"> </w:t>
            </w:r>
            <w:r>
              <w:t xml:space="preserve">tarea puntual (ej. semanal)</w:t>
            </w:r>
          </w:p>
        </w:tc>
        <w:tc>
          <w:tcPr/>
          <w:p>
            <w:pPr>
              <w:pStyle w:val="Compact"/>
              <w:jc w:val="left"/>
            </w:pPr>
            <w:r>
              <w:t xml:space="preserve">1 vCPU / 4 GB, ~15 min/semana</w:t>
            </w:r>
          </w:p>
        </w:tc>
      </w:tr>
      <w:tr>
        <w:tc>
          <w:tcPr/>
          <w:p>
            <w:pPr>
              <w:pStyle w:val="Compact"/>
              <w:jc w:val="left"/>
            </w:pPr>
            <w:r>
              <w:t xml:space="preserve">Reentrenamiento LSTM (futuro, GPU)</w:t>
            </w:r>
          </w:p>
        </w:tc>
        <w:tc>
          <w:tcPr/>
          <w:p>
            <w:pPr>
              <w:pStyle w:val="Compact"/>
              <w:jc w:val="left"/>
            </w:pPr>
            <w:r>
              <w:rPr>
                <w:bCs/>
                <w:b/>
              </w:rPr>
              <w:t xml:space="preserve">EC2 g4dn.xlarge</w:t>
            </w:r>
            <w:r>
              <w:t xml:space="preserve"> </w:t>
            </w:r>
            <w:r>
              <w:t xml:space="preserve">puntual / SageMaker</w:t>
            </w:r>
          </w:p>
        </w:tc>
        <w:tc>
          <w:tcPr/>
          <w:p>
            <w:pPr>
              <w:pStyle w:val="Compact"/>
              <w:jc w:val="left"/>
            </w:pPr>
            <w:r>
              <w:t xml:space="preserve">Bajo demanda, apagado tras uso</w:t>
            </w:r>
          </w:p>
        </w:tc>
      </w:tr>
      <w:tr>
        <w:tc>
          <w:tcPr/>
          <w:p>
            <w:pPr>
              <w:pStyle w:val="Compact"/>
              <w:jc w:val="left"/>
            </w:pPr>
            <w:r>
              <w:t xml:space="preserve">Serving (API FastAPI)</w:t>
            </w:r>
          </w:p>
        </w:tc>
        <w:tc>
          <w:tcPr/>
          <w:p>
            <w:pPr>
              <w:pStyle w:val="Compact"/>
              <w:jc w:val="left"/>
            </w:pPr>
            <w:r>
              <w:rPr>
                <w:bCs/>
                <w:b/>
              </w:rPr>
              <w:t xml:space="preserve">Fargate</w:t>
            </w:r>
            <w:r>
              <w:t xml:space="preserve"> </w:t>
            </w:r>
            <w:r>
              <w:t xml:space="preserve">servicio always-on</w:t>
            </w:r>
          </w:p>
        </w:tc>
        <w:tc>
          <w:tcPr/>
          <w:p>
            <w:pPr>
              <w:pStyle w:val="Compact"/>
              <w:jc w:val="left"/>
            </w:pPr>
            <w:r>
              <w:t xml:space="preserve">0,25 vCPU / 0,5 GB, 1 tarea</w:t>
            </w:r>
          </w:p>
        </w:tc>
      </w:tr>
      <w:tr>
        <w:tc>
          <w:tcPr/>
          <w:p>
            <w:pPr>
              <w:pStyle w:val="Compact"/>
              <w:jc w:val="left"/>
            </w:pPr>
            <w:r>
              <w:t xml:space="preserve">MLflow (tracking + registry)</w:t>
            </w:r>
          </w:p>
        </w:tc>
        <w:tc>
          <w:tcPr/>
          <w:p>
            <w:pPr>
              <w:pStyle w:val="Compact"/>
              <w:jc w:val="left"/>
            </w:pPr>
            <w:r>
              <w:rPr>
                <w:bCs/>
                <w:b/>
              </w:rPr>
              <w:t xml:space="preserve">Fargate</w:t>
            </w:r>
            <w:r>
              <w:t xml:space="preserve"> </w:t>
            </w:r>
            <w:r>
              <w:t xml:space="preserve">+</w:t>
            </w:r>
            <w:r>
              <w:t xml:space="preserve"> </w:t>
            </w:r>
            <w:r>
              <w:rPr>
                <w:bCs/>
                <w:b/>
              </w:rPr>
              <w:t xml:space="preserve">RDS PostgreSQL</w:t>
            </w:r>
          </w:p>
        </w:tc>
        <w:tc>
          <w:tcPr/>
          <w:p>
            <w:pPr>
              <w:pStyle w:val="Compact"/>
              <w:jc w:val="left"/>
            </w:pPr>
            <w:r>
              <w:t xml:space="preserve">db.t4g.micro + backend</w:t>
            </w:r>
          </w:p>
        </w:tc>
      </w:tr>
      <w:tr>
        <w:tc>
          <w:tcPr/>
          <w:p>
            <w:pPr>
              <w:pStyle w:val="Compact"/>
              <w:jc w:val="left"/>
            </w:pPr>
            <w:r>
              <w:t xml:space="preserve">Almacén de artefactos (modelos, datos)</w:t>
            </w:r>
          </w:p>
        </w:tc>
        <w:tc>
          <w:tcPr/>
          <w:p>
            <w:pPr>
              <w:pStyle w:val="Compact"/>
              <w:jc w:val="left"/>
            </w:pPr>
            <w:r>
              <w:rPr>
                <w:bCs/>
                <w:b/>
              </w:rPr>
              <w:t xml:space="preserve">S3</w:t>
            </w:r>
          </w:p>
        </w:tc>
        <w:tc>
          <w:tcPr/>
          <w:p>
            <w:pPr>
              <w:pStyle w:val="Compact"/>
              <w:jc w:val="left"/>
            </w:pPr>
            <w:r>
              <w:t xml:space="preserve">~1–5 GB</w:t>
            </w:r>
          </w:p>
        </w:tc>
      </w:tr>
      <w:tr>
        <w:tc>
          <w:tcPr/>
          <w:p>
            <w:pPr>
              <w:pStyle w:val="Compact"/>
              <w:jc w:val="left"/>
            </w:pPr>
            <w:r>
              <w:t xml:space="preserve">Base de datos MLflow / metadatos</w:t>
            </w:r>
          </w:p>
        </w:tc>
        <w:tc>
          <w:tcPr/>
          <w:p>
            <w:pPr>
              <w:pStyle w:val="Compact"/>
              <w:jc w:val="left"/>
            </w:pPr>
            <w:r>
              <w:rPr>
                <w:bCs/>
                <w:b/>
              </w:rPr>
              <w:t xml:space="preserve">RDS PostgreSQL</w:t>
            </w:r>
            <w:r>
              <w:t xml:space="preserve"> </w:t>
            </w:r>
            <w:r>
              <w:t xml:space="preserve">db.t4g.micro</w:t>
            </w:r>
          </w:p>
        </w:tc>
        <w:tc>
          <w:tcPr/>
          <w:p>
            <w:pPr>
              <w:pStyle w:val="Compact"/>
              <w:jc w:val="left"/>
            </w:pPr>
            <w:r>
              <w:t xml:space="preserve">20 GB</w:t>
            </w:r>
          </w:p>
        </w:tc>
      </w:tr>
      <w:tr>
        <w:tc>
          <w:tcPr/>
          <w:p>
            <w:pPr>
              <w:pStyle w:val="Compact"/>
              <w:jc w:val="left"/>
            </w:pPr>
            <w:r>
              <w:t xml:space="preserve">Dashboard (Streamlit)</w:t>
            </w:r>
          </w:p>
        </w:tc>
        <w:tc>
          <w:tcPr/>
          <w:p>
            <w:pPr>
              <w:pStyle w:val="Compact"/>
              <w:jc w:val="left"/>
            </w:pPr>
            <w:r>
              <w:rPr>
                <w:bCs/>
                <w:b/>
              </w:rPr>
              <w:t xml:space="preserve">Fargate</w:t>
            </w:r>
            <w:r>
              <w:t xml:space="preserve"> </w:t>
            </w:r>
            <w:r>
              <w:t xml:space="preserve">servicio</w:t>
            </w:r>
          </w:p>
        </w:tc>
        <w:tc>
          <w:tcPr/>
          <w:p>
            <w:pPr>
              <w:pStyle w:val="Compact"/>
              <w:jc w:val="left"/>
            </w:pPr>
            <w:r>
              <w:t xml:space="preserve">0,25 vCPU / 0,5 GB</w:t>
            </w:r>
          </w:p>
        </w:tc>
      </w:tr>
      <w:tr>
        <w:tc>
          <w:tcPr/>
          <w:p>
            <w:pPr>
              <w:pStyle w:val="Compact"/>
              <w:jc w:val="left"/>
            </w:pPr>
            <w:r>
              <w:t xml:space="preserve">Entrada de tráfico</w:t>
            </w:r>
          </w:p>
        </w:tc>
        <w:tc>
          <w:tcPr/>
          <w:p>
            <w:pPr>
              <w:pStyle w:val="Compact"/>
              <w:jc w:val="left"/>
            </w:pPr>
            <w:r>
              <w:rPr>
                <w:bCs/>
                <w:b/>
              </w:rPr>
              <w:t xml:space="preserve">Application Load Balancer</w:t>
            </w:r>
          </w:p>
        </w:tc>
        <w:tc>
          <w:tcPr/>
          <w:p>
            <w:pPr>
              <w:pStyle w:val="Compact"/>
              <w:jc w:val="left"/>
            </w:pPr>
            <w:r>
              <w:t xml:space="preserve">1 ALB compartido</w:t>
            </w:r>
          </w:p>
        </w:tc>
      </w:tr>
      <w:tr>
        <w:tc>
          <w:tcPr/>
          <w:p>
            <w:pPr>
              <w:pStyle w:val="Compact"/>
              <w:jc w:val="left"/>
            </w:pPr>
            <w:r>
              <w:t xml:space="preserve">Secretos (tokens ESIOS/AEMET)</w:t>
            </w:r>
          </w:p>
        </w:tc>
        <w:tc>
          <w:tcPr/>
          <w:p>
            <w:pPr>
              <w:pStyle w:val="Compact"/>
              <w:jc w:val="left"/>
            </w:pPr>
            <w:r>
              <w:rPr>
                <w:bCs/>
                <w:b/>
              </w:rPr>
              <w:t xml:space="preserve">Secrets Manager</w:t>
            </w:r>
          </w:p>
        </w:tc>
        <w:tc>
          <w:tcPr/>
          <w:p>
            <w:pPr>
              <w:pStyle w:val="Compact"/>
              <w:jc w:val="left"/>
            </w:pPr>
            <w:r>
              <w:t xml:space="preserve">2 secretos</w:t>
            </w:r>
          </w:p>
        </w:tc>
      </w:tr>
      <w:tr>
        <w:tc>
          <w:tcPr/>
          <w:p>
            <w:pPr>
              <w:pStyle w:val="Compact"/>
              <w:jc w:val="left"/>
            </w:pPr>
            <w:r>
              <w:t xml:space="preserve">Programación de flows</w:t>
            </w:r>
          </w:p>
        </w:tc>
        <w:tc>
          <w:tcPr/>
          <w:p>
            <w:pPr>
              <w:pStyle w:val="Compact"/>
              <w:jc w:val="left"/>
            </w:pPr>
            <w:r>
              <w:rPr>
                <w:bCs/>
                <w:b/>
              </w:rPr>
              <w:t xml:space="preserve">EventBridge Scheduler</w:t>
            </w:r>
          </w:p>
        </w:tc>
        <w:tc>
          <w:tcPr/>
          <w:p>
            <w:pPr>
              <w:pStyle w:val="Compact"/>
              <w:jc w:val="left"/>
            </w:pPr>
            <w:r>
              <w:t xml:space="preserve">gratis a este volumen</w:t>
            </w:r>
          </w:p>
        </w:tc>
      </w:tr>
    </w:tbl>
    <w:bookmarkEnd w:id="26"/>
    <w:bookmarkStart w:id="28" w:name="Xc184f406d6fd481129f7a30721f5ce078b4bc41"/>
    <w:p>
      <w:pPr>
        <w:pStyle w:val="Heading3"/>
      </w:pPr>
      <w:r>
        <w:t xml:space="preserve">2.3. Estimación de coste mensual (AWS Pricing Calculator)</w:t>
      </w:r>
    </w:p>
    <w:p>
      <w:pPr>
        <w:pStyle w:val="FirstParagraph"/>
      </w:pPr>
      <w:r>
        <w:t xml:space="preserve">Estimación montada en la</w:t>
      </w:r>
      <w:r>
        <w:t xml:space="preserve"> </w:t>
      </w:r>
      <w:hyperlink r:id="rId27">
        <w:r>
          <w:rPr>
            <w:rStyle w:val="Hyperlink"/>
            <w:bCs/>
            <w:b/>
          </w:rPr>
          <w:t xml:space="preserve">AWS Pricing Calculator</w:t>
        </w:r>
      </w:hyperlink>
      <w:r>
        <w:t xml:space="preserve">, región</w:t>
      </w:r>
      <w:r>
        <w:t xml:space="preserve"> </w:t>
      </w:r>
      <w:r>
        <w:rPr>
          <w:bCs/>
          <w:b/>
        </w:rPr>
        <w:t xml:space="preserve">Europe (Ireland) / eu-west-1</w:t>
      </w:r>
      <w:r>
        <w:t xml:space="preserve">, modelo</w:t>
      </w:r>
      <w:r>
        <w:t xml:space="preserve"> </w:t>
      </w:r>
      <w:r>
        <w:rPr>
          <w:bCs/>
          <w:b/>
        </w:rPr>
        <w:t xml:space="preserve">bajo demanda (On-Demand)</w:t>
      </w:r>
      <w:r>
        <w:t xml:space="preserve">. Coste inicial 0 USD; total 12 meses ≈ 882 USD.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Configuración</w:t>
            </w:r>
          </w:p>
        </w:tc>
        <w:tc>
          <w:tcPr/>
          <w:p>
            <w:pPr>
              <w:pStyle w:val="Compact"/>
              <w:jc w:val="left"/>
            </w:pPr>
            <w:r>
              <w:t xml:space="preserve">Coste/mes (USD)</w:t>
            </w:r>
          </w:p>
        </w:tc>
      </w:tr>
      <w:tr>
        <w:tc>
          <w:tcPr/>
          <w:p>
            <w:pPr>
              <w:pStyle w:val="Compact"/>
              <w:jc w:val="left"/>
            </w:pPr>
            <w:r>
              <w:t xml:space="preserve">Fargate — API + dashboard (2 tareas always-on)</w:t>
            </w:r>
          </w:p>
        </w:tc>
        <w:tc>
          <w:tcPr/>
          <w:p>
            <w:pPr>
              <w:pStyle w:val="Compact"/>
              <w:jc w:val="left"/>
            </w:pPr>
            <w:r>
              <w:t xml:space="preserve">0,25 vCPU + 0,5 GB × 730 h</w:t>
            </w:r>
          </w:p>
        </w:tc>
        <w:tc>
          <w:tcPr/>
          <w:p>
            <w:pPr>
              <w:pStyle w:val="Compact"/>
              <w:jc w:val="left"/>
            </w:pPr>
            <w:r>
              <w:t xml:space="preserve">18,02</w:t>
            </w:r>
          </w:p>
        </w:tc>
      </w:tr>
      <w:tr>
        <w:tc>
          <w:tcPr/>
          <w:p>
            <w:pPr>
              <w:pStyle w:val="Compact"/>
              <w:jc w:val="left"/>
            </w:pPr>
            <w:r>
              <w:t xml:space="preserve">Fargate — servidor MLflow (always-on)</w:t>
            </w:r>
          </w:p>
        </w:tc>
        <w:tc>
          <w:tcPr/>
          <w:p>
            <w:pPr>
              <w:pStyle w:val="Compact"/>
              <w:jc w:val="left"/>
            </w:pPr>
            <w:r>
              <w:t xml:space="preserve">0,5 vCPU + 1 GB × 730 h</w:t>
            </w:r>
          </w:p>
        </w:tc>
        <w:tc>
          <w:tcPr/>
          <w:p>
            <w:pPr>
              <w:pStyle w:val="Compact"/>
              <w:jc w:val="left"/>
            </w:pPr>
            <w:r>
              <w:t xml:space="preserve">18,02</w:t>
            </w:r>
          </w:p>
        </w:tc>
      </w:tr>
      <w:tr>
        <w:tc>
          <w:tcPr/>
          <w:p>
            <w:pPr>
              <w:pStyle w:val="Compact"/>
              <w:jc w:val="left"/>
            </w:pPr>
            <w:r>
              <w:t xml:space="preserve">Fargate — ingesta diaria</w:t>
            </w:r>
          </w:p>
        </w:tc>
        <w:tc>
          <w:tcPr/>
          <w:p>
            <w:pPr>
              <w:pStyle w:val="Compact"/>
              <w:jc w:val="left"/>
            </w:pPr>
            <w:r>
              <w:t xml:space="preserve">0,5 vCPU + 1 GB × 5 min/día</w:t>
            </w:r>
          </w:p>
        </w:tc>
        <w:tc>
          <w:tcPr/>
          <w:p>
            <w:pPr>
              <w:pStyle w:val="Compact"/>
              <w:jc w:val="left"/>
            </w:pPr>
            <w:r>
              <w:t xml:space="preserve">0,07</w:t>
            </w:r>
          </w:p>
        </w:tc>
      </w:tr>
      <w:tr>
        <w:tc>
          <w:tcPr/>
          <w:p>
            <w:pPr>
              <w:pStyle w:val="Compact"/>
              <w:jc w:val="left"/>
            </w:pPr>
            <w:r>
              <w:t xml:space="preserve">Fargate — entrenamiento (semanal)</w:t>
            </w:r>
          </w:p>
        </w:tc>
        <w:tc>
          <w:tcPr/>
          <w:p>
            <w:pPr>
              <w:pStyle w:val="Compact"/>
              <w:jc w:val="left"/>
            </w:pPr>
            <w:r>
              <w:t xml:space="preserve">1 vCPU + 4 GB × 15 min × 4/mes</w:t>
            </w:r>
          </w:p>
        </w:tc>
        <w:tc>
          <w:tcPr/>
          <w:p>
            <w:pPr>
              <w:pStyle w:val="Compact"/>
              <w:jc w:val="left"/>
            </w:pPr>
            <w:r>
              <w:t xml:space="preserve">0,06</w:t>
            </w:r>
          </w:p>
        </w:tc>
      </w:tr>
      <w:tr>
        <w:tc>
          <w:tcPr/>
          <w:p>
            <w:pPr>
              <w:pStyle w:val="Compact"/>
              <w:jc w:val="left"/>
            </w:pPr>
            <w:r>
              <w:t xml:space="preserve">RDS PostgreSQL</w:t>
            </w:r>
          </w:p>
        </w:tc>
        <w:tc>
          <w:tcPr/>
          <w:p>
            <w:pPr>
              <w:pStyle w:val="Compact"/>
              <w:jc w:val="left"/>
            </w:pPr>
            <w:r>
              <w:t xml:space="preserve">db.t4g.micro + 20 GB gp3, Single-AZ</w:t>
            </w:r>
          </w:p>
        </w:tc>
        <w:tc>
          <w:tcPr/>
          <w:p>
            <w:pPr>
              <w:pStyle w:val="Compact"/>
              <w:jc w:val="left"/>
            </w:pPr>
            <w:r>
              <w:t xml:space="preserve">16,85</w:t>
            </w:r>
          </w:p>
        </w:tc>
      </w:tr>
      <w:tr>
        <w:tc>
          <w:tcPr/>
          <w:p>
            <w:pPr>
              <w:pStyle w:val="Compact"/>
              <w:jc w:val="left"/>
            </w:pPr>
            <w:r>
              <w:t xml:space="preserve">Amazon S3</w:t>
            </w:r>
          </w:p>
        </w:tc>
        <w:tc>
          <w:tcPr/>
          <w:p>
            <w:pPr>
              <w:pStyle w:val="Compact"/>
              <w:jc w:val="left"/>
            </w:pPr>
            <w:r>
              <w:t xml:space="preserve">5 GB Standard</w:t>
            </w:r>
          </w:p>
        </w:tc>
        <w:tc>
          <w:tcPr/>
          <w:p>
            <w:pPr>
              <w:pStyle w:val="Compact"/>
              <w:jc w:val="left"/>
            </w:pPr>
            <w:r>
              <w:t xml:space="preserve">0,12</w:t>
            </w:r>
          </w:p>
        </w:tc>
      </w:tr>
      <w:tr>
        <w:tc>
          <w:tcPr/>
          <w:p>
            <w:pPr>
              <w:pStyle w:val="Compact"/>
              <w:jc w:val="left"/>
            </w:pPr>
            <w:r>
              <w:t xml:space="preserve">Elastic Load Balancing (ALB)</w:t>
            </w:r>
          </w:p>
        </w:tc>
        <w:tc>
          <w:tcPr/>
          <w:p>
            <w:pPr>
              <w:pStyle w:val="Compact"/>
              <w:jc w:val="left"/>
            </w:pPr>
            <w:r>
              <w:t xml:space="preserve">1 Application Load Balancer</w:t>
            </w:r>
          </w:p>
        </w:tc>
        <w:tc>
          <w:tcPr/>
          <w:p>
            <w:pPr>
              <w:pStyle w:val="Compact"/>
              <w:jc w:val="left"/>
            </w:pPr>
            <w:r>
              <w:t xml:space="preserve">19,57</w:t>
            </w:r>
          </w:p>
        </w:tc>
      </w:tr>
      <w:tr>
        <w:tc>
          <w:tcPr/>
          <w:p>
            <w:pPr>
              <w:pStyle w:val="Compact"/>
              <w:jc w:val="left"/>
            </w:pPr>
            <w:r>
              <w:t xml:space="preserve">AWS Secrets Manager</w:t>
            </w:r>
          </w:p>
        </w:tc>
        <w:tc>
          <w:tcPr/>
          <w:p>
            <w:pPr>
              <w:pStyle w:val="Compact"/>
              <w:jc w:val="left"/>
            </w:pPr>
            <w:r>
              <w:t xml:space="preserve">2 secretos (tokens ESIOS/AEMET)</w:t>
            </w:r>
          </w:p>
        </w:tc>
        <w:tc>
          <w:tcPr/>
          <w:p>
            <w:pPr>
              <w:pStyle w:val="Compact"/>
              <w:jc w:val="left"/>
            </w:pPr>
            <w:r>
              <w:t xml:space="preserve">0,82</w:t>
            </w:r>
          </w:p>
        </w:tc>
      </w:tr>
      <w:tr>
        <w:tc>
          <w:tcPr/>
          <w:p>
            <w:pPr>
              <w:pStyle w:val="Compact"/>
              <w:jc w:val="left"/>
            </w:pPr>
            <w:r>
              <w:t xml:space="preserve">EventBridge Scheduler</w:t>
            </w:r>
          </w:p>
        </w:tc>
        <w:tc>
          <w:tcPr/>
          <w:p>
            <w:pPr>
              <w:pStyle w:val="Compact"/>
              <w:jc w:val="left"/>
            </w:pPr>
            <w:r>
              <w:t xml:space="preserve">disparo de flows</w:t>
            </w:r>
          </w:p>
        </w:tc>
        <w:tc>
          <w:tcPr/>
          <w:p>
            <w:pPr>
              <w:pStyle w:val="Compact"/>
              <w:jc w:val="left"/>
            </w:pPr>
            <w:r>
              <w:t xml:space="preserve">0,00 (Free Tier)</w:t>
            </w:r>
          </w:p>
        </w:tc>
      </w:tr>
      <w:tr>
        <w:tc>
          <w:tcPr/>
          <w:p>
            <w:pPr>
              <w:pStyle w:val="Compact"/>
              <w:jc w:val="left"/>
            </w:pPr>
            <w:r>
              <w:rPr>
                <w:bCs/>
                <w:b/>
              </w:rPr>
              <w:t xml:space="preserve">Total (arquitectura always-on)</w:t>
            </w:r>
          </w:p>
        </w:tc>
        <w:tc>
          <w:tcPr/>
          <w:p>
            <w:pPr>
              <w:pStyle w:val="Compact"/>
            </w:pPr>
          </w:p>
        </w:tc>
        <w:tc>
          <w:tcPr/>
          <w:p>
            <w:pPr>
              <w:pStyle w:val="Compact"/>
              <w:jc w:val="left"/>
            </w:pPr>
            <w:r>
              <w:rPr>
                <w:bCs/>
                <w:b/>
              </w:rPr>
              <w:t xml:space="preserve">73,53 USD/mes (≈ 68 €)</w:t>
            </w:r>
          </w:p>
        </w:tc>
      </w:tr>
    </w:tbl>
    <w:p>
      <w:pPr>
        <w:pStyle w:val="BodyText"/>
      </w:pPr>
      <w:r>
        <w:t xml:space="preserve">Nota de dimensionamiento: en el RDS se desactivaron</w:t>
      </w:r>
      <w:r>
        <w:t xml:space="preserve"> </w:t>
      </w:r>
      <w:r>
        <w:rPr>
          <w:iCs/>
          <w:i/>
        </w:rPr>
        <w:t xml:space="preserve">RDS Proxy</w:t>
      </w:r>
      <w:r>
        <w:t xml:space="preserve">,</w:t>
      </w:r>
      <w:r>
        <w:t xml:space="preserve"> </w:t>
      </w:r>
      <w:r>
        <w:rPr>
          <w:iCs/>
          <w:i/>
        </w:rPr>
        <w:t xml:space="preserve">Database Insights</w:t>
      </w:r>
      <w:r>
        <w:t xml:space="preserve"> </w:t>
      </w:r>
      <w:r>
        <w:t xml:space="preserve">y</w:t>
      </w:r>
      <w:r>
        <w:t xml:space="preserve"> </w:t>
      </w:r>
      <w:r>
        <w:rPr>
          <w:iCs/>
          <w:i/>
        </w:rPr>
        <w:t xml:space="preserve">Extended Support</w:t>
      </w:r>
      <w:r>
        <w:t xml:space="preserve"> </w:t>
      </w:r>
      <w:r>
        <w:t xml:space="preserve">por no ser necesarios a esta escala; con ellos activados el servicio se disparaba a ~40 USD/mes. Es un buen ejemplo de que el coste en cloud lo determina la configuración fina, no solo el tamaño de la instancia.</w:t>
      </w:r>
    </w:p>
    <w:bookmarkEnd w:id="28"/>
    <w:bookmarkStart w:id="29" w:name="palancas-de-optimización"/>
    <w:p>
      <w:pPr>
        <w:pStyle w:val="Heading3"/>
      </w:pPr>
      <w:r>
        <w:t xml:space="preserve">2.4. Palancas de optimización</w:t>
      </w:r>
    </w:p>
    <w:p>
      <w:pPr>
        <w:pStyle w:val="FirstParagraph"/>
      </w:pPr>
      <w:r>
        <w:t xml:space="preserve">El coste está dominado por lo</w:t>
      </w:r>
      <w:r>
        <w:t xml:space="preserve"> </w:t>
      </w:r>
      <w:r>
        <w:rPr>
          <w:bCs/>
          <w:b/>
        </w:rPr>
        <w:t xml:space="preserve">siempre encendido</w:t>
      </w:r>
      <w:r>
        <w:t xml:space="preserve"> </w:t>
      </w:r>
      <w:r>
        <w:t xml:space="preserve">(API, dashboard, MLflow, ALB, RDS), no por el cómputo de ML. De ahí las palancas:</w:t>
      </w:r>
    </w:p>
    <w:p>
      <w:pPr>
        <w:numPr>
          <w:ilvl w:val="0"/>
          <w:numId w:val="1003"/>
        </w:numPr>
        <w:pStyle w:val="Compact"/>
      </w:pPr>
      <w:r>
        <w:rPr>
          <w:bCs/>
          <w:b/>
        </w:rPr>
        <w:t xml:space="preserve">Escalado a cero / serverless:</w:t>
      </w:r>
      <w:r>
        <w:t xml:space="preserve"> </w:t>
      </w:r>
      <w:r>
        <w:t xml:space="preserve">si el dashboard y MLflow no necesitan estar 24/7, moverlos a servicios que se apagan solos (o levantarlos bajo demanda) recorta la mayor parte del gasto.</w:t>
      </w:r>
    </w:p>
    <w:p>
      <w:pPr>
        <w:numPr>
          <w:ilvl w:val="0"/>
          <w:numId w:val="1003"/>
        </w:numPr>
        <w:pStyle w:val="Compact"/>
      </w:pPr>
      <w:r>
        <w:rPr>
          <w:bCs/>
          <w:b/>
        </w:rPr>
        <w:t xml:space="preserve">Fargate Spot</w:t>
      </w:r>
      <w:r>
        <w:t xml:space="preserve"> </w:t>
      </w:r>
      <w:r>
        <w:t xml:space="preserve">para las tareas puntuales de entrenamiento (~70 % más barato); son reintentables, así que la interrupción no es crítica.</w:t>
      </w:r>
    </w:p>
    <w:p>
      <w:pPr>
        <w:numPr>
          <w:ilvl w:val="0"/>
          <w:numId w:val="1003"/>
        </w:numPr>
        <w:pStyle w:val="Compact"/>
      </w:pPr>
      <w:r>
        <w:rPr>
          <w:bCs/>
          <w:b/>
        </w:rPr>
        <w:t xml:space="preserve">Sustituir RDS por el fichero SQLite</w:t>
      </w:r>
      <w:r>
        <w:t xml:space="preserve"> </w:t>
      </w:r>
      <w:r>
        <w:t xml:space="preserve">que ya usa el proyecto (</w:t>
      </w:r>
      <w:r>
        <w:rPr>
          <w:rStyle w:val="VerbatimChar"/>
        </w:rPr>
        <w:t xml:space="preserve">mlflow.db</w:t>
      </w:r>
      <w:r>
        <w:t xml:space="preserve">) si no hay concurrencia real: elimina ~15 €/mes. RDS solo se justifica con varios usuarios concurrentes.</w:t>
      </w:r>
    </w:p>
    <w:p>
      <w:pPr>
        <w:numPr>
          <w:ilvl w:val="0"/>
          <w:numId w:val="1003"/>
        </w:numPr>
        <w:pStyle w:val="Compact"/>
      </w:pPr>
      <w:r>
        <w:rPr>
          <w:bCs/>
          <w:b/>
        </w:rPr>
        <w:t xml:space="preserve">Prescindir del ALB</w:t>
      </w:r>
      <w:r>
        <w:t xml:space="preserve"> </w:t>
      </w:r>
      <w:r>
        <w:t xml:space="preserve">exponiendo el servicio directamente o vía API Gateway con Lambda para cargas tan bajas.</w:t>
      </w:r>
    </w:p>
    <w:p>
      <w:pPr>
        <w:numPr>
          <w:ilvl w:val="0"/>
          <w:numId w:val="1003"/>
        </w:numPr>
        <w:pStyle w:val="Compact"/>
      </w:pPr>
      <w:r>
        <w:rPr>
          <w:bCs/>
          <w:b/>
        </w:rPr>
        <w:t xml:space="preserve">Free Tier / créditos</w:t>
      </w:r>
      <w:r>
        <w:t xml:space="preserve"> </w:t>
      </w:r>
      <w:r>
        <w:t xml:space="preserve">para la fase de portfolio/TFM.</w:t>
      </w:r>
    </w:p>
    <w:p>
      <w:pPr>
        <w:pStyle w:val="FirstParagraph"/>
      </w:pPr>
      <w:r>
        <w:rPr>
          <w:bCs/>
          <w:b/>
        </w:rPr>
        <w:t xml:space="preserve">Conclusión de dimensionamiento:</w:t>
      </w:r>
      <w:r>
        <w:t xml:space="preserve"> </w:t>
      </w:r>
      <w:r>
        <w:t xml:space="preserve">el coste se concentra en cuatro partidas always-on (los dos servicios Fargate always-on, el ALB y el RDS suman ~72 de los 73,53 USD). Una versión ajustada que</w:t>
      </w:r>
      <w:r>
        <w:t xml:space="preserve"> </w:t>
      </w:r>
      <w:r>
        <w:rPr>
          <w:bCs/>
          <w:b/>
        </w:rPr>
        <w:t xml:space="preserve">prescinda del ALB</w:t>
      </w:r>
      <w:r>
        <w:t xml:space="preserve"> </w:t>
      </w:r>
      <w:r>
        <w:t xml:space="preserve">(~19,57 USD) y</w:t>
      </w:r>
      <w:r>
        <w:t xml:space="preserve"> </w:t>
      </w:r>
      <w:r>
        <w:rPr>
          <w:bCs/>
          <w:b/>
        </w:rPr>
        <w:t xml:space="preserve">sustituya RDS por el SQLite</w:t>
      </w:r>
      <w:r>
        <w:t xml:space="preserve"> </w:t>
      </w:r>
      <w:r>
        <w:t xml:space="preserve">que ya usa el proyecto (~16,85 USD) baja el total al entorno de</w:t>
      </w:r>
      <w:r>
        <w:t xml:space="preserve"> </w:t>
      </w:r>
      <w:r>
        <w:rPr>
          <w:bCs/>
          <w:b/>
        </w:rPr>
        <w:t xml:space="preserve">~37 USD/mes</w:t>
      </w:r>
      <w:r>
        <w:t xml:space="preserve">, e incluso a casi cero en fase de aprendizaje con Free Tier. El mensaje de ingeniería es que el sistema</w:t>
      </w:r>
      <w:r>
        <w:t xml:space="preserve"> </w:t>
      </w:r>
      <w:r>
        <w:rPr>
          <w:bCs/>
          <w:b/>
        </w:rPr>
        <w:t xml:space="preserve">no necesita</w:t>
      </w:r>
      <w:r>
        <w:t xml:space="preserve"> </w:t>
      </w:r>
      <w:r>
        <w:t xml:space="preserve">infraestructura pesada: el valor está en la fiabilidad del proceso, no en el músculo de cómputo.</w:t>
      </w:r>
    </w:p>
    <w:p>
      <w:r>
        <w:pict>
          <v:rect style="width:0;height:1.5pt" o:hralign="center" o:hrstd="t" o:hr="t"/>
        </w:pict>
      </w:r>
    </w:p>
    <w:bookmarkEnd w:id="29"/>
    <w:bookmarkEnd w:id="30"/>
    <w:bookmarkStart w:id="37" w:name="X90f4f29a1657f5c81549f612b5e6d9f025909bd"/>
    <w:p>
      <w:pPr>
        <w:pStyle w:val="Heading2"/>
      </w:pPr>
      <w:r>
        <w:t xml:space="preserve">Parte 3 — Proceso MLflow sobre el proyecto del Módulo 2</w:t>
      </w:r>
    </w:p>
    <w:p>
      <w:pPr>
        <w:pStyle w:val="FirstParagraph"/>
      </w:pPr>
      <w:r>
        <w:t xml:space="preserve">MLflow ya está montado e integrado en el proyecto (implementado en el Bloque 7 del proyecto). Esta parte documenta el proceso: qué resuelve, cómo está estructurado y cómo se conecta con el servicio.</w:t>
      </w:r>
    </w:p>
    <w:bookmarkStart w:id="31" w:name="qué-resuelve-mlflow-y-sus-dos-mitades"/>
    <w:p>
      <w:pPr>
        <w:pStyle w:val="Heading3"/>
      </w:pPr>
      <w:r>
        <w:t xml:space="preserve">3.1. Qué resuelve MLflow y sus dos mitades</w:t>
      </w:r>
    </w:p>
    <w:p>
      <w:pPr>
        <w:pStyle w:val="FirstParagraph"/>
      </w:pPr>
      <w:r>
        <w:t xml:space="preserve">MLflow convierte</w:t>
      </w:r>
      <w:r>
        <w:t xml:space="preserve"> </w:t>
      </w:r>
      <w:r>
        <w:t xml:space="preserve">“</w:t>
      </w:r>
      <w:r>
        <w:t xml:space="preserve">entrené un modelo y salió un número</w:t>
      </w:r>
      <w:r>
        <w:t xml:space="preserve">”</w:t>
      </w:r>
      <w:r>
        <w:t xml:space="preserve"> </w:t>
      </w:r>
      <w:r>
        <w:t xml:space="preserve">en un registro</w:t>
      </w:r>
      <w:r>
        <w:t xml:space="preserve"> </w:t>
      </w:r>
      <w:r>
        <w:rPr>
          <w:bCs/>
          <w:b/>
        </w:rPr>
        <w:t xml:space="preserve">trazable, reproducible y comparable</w:t>
      </w:r>
      <w:r>
        <w:t xml:space="preserve">. Tiene dos mitades:</w:t>
      </w:r>
    </w:p>
    <w:p>
      <w:pPr>
        <w:numPr>
          <w:ilvl w:val="0"/>
          <w:numId w:val="1004"/>
        </w:numPr>
        <w:pStyle w:val="Compact"/>
      </w:pPr>
      <w:r>
        <w:rPr>
          <w:bCs/>
          <w:b/>
        </w:rPr>
        <w:t xml:space="preserve">Tracking</w:t>
      </w:r>
      <w:r>
        <w:t xml:space="preserve"> </w:t>
      </w:r>
      <w:r>
        <w:t xml:space="preserve">— un cuaderno de laboratorio automático. Cada ejecución (</w:t>
      </w:r>
      <w:r>
        <w:rPr>
          <w:rStyle w:val="VerbatimChar"/>
        </w:rPr>
        <w:t xml:space="preserve">start_run</w:t>
      </w:r>
      <w:r>
        <w:t xml:space="preserve">) es una foto de un experimento con tres cosas:</w:t>
      </w:r>
      <w:r>
        <w:t xml:space="preserve"> </w:t>
      </w:r>
      <w:r>
        <w:rPr>
          <w:iCs/>
          <w:i/>
        </w:rPr>
        <w:t xml:space="preserve">params</w:t>
      </w:r>
      <w:r>
        <w:t xml:space="preserve"> </w:t>
      </w:r>
      <w:r>
        <w:t xml:space="preserve">(la receta / hiperparámetros),</w:t>
      </w:r>
      <w:r>
        <w:t xml:space="preserve"> </w:t>
      </w:r>
      <w:r>
        <w:rPr>
          <w:iCs/>
          <w:i/>
        </w:rPr>
        <w:t xml:space="preserve">metrics</w:t>
      </w:r>
      <w:r>
        <w:t xml:space="preserve"> </w:t>
      </w:r>
      <w:r>
        <w:t xml:space="preserve">(el resultado) y</w:t>
      </w:r>
      <w:r>
        <w:t xml:space="preserve"> </w:t>
      </w:r>
      <w:r>
        <w:rPr>
          <w:iCs/>
          <w:i/>
        </w:rPr>
        <w:t xml:space="preserve">artifacts</w:t>
      </w:r>
      <w:r>
        <w:t xml:space="preserve"> </w:t>
      </w:r>
      <w:r>
        <w:t xml:space="preserve">(el modelo entrenado).</w:t>
      </w:r>
    </w:p>
    <w:p>
      <w:pPr>
        <w:numPr>
          <w:ilvl w:val="0"/>
          <w:numId w:val="1004"/>
        </w:numPr>
        <w:pStyle w:val="Compact"/>
      </w:pPr>
      <w:r>
        <w:rPr>
          <w:bCs/>
          <w:b/>
        </w:rPr>
        <w:t xml:space="preserve">Model Registry</w:t>
      </w:r>
      <w:r>
        <w:t xml:space="preserve"> </w:t>
      </w:r>
      <w:r>
        <w:t xml:space="preserve">— un catálogo de los modelos</w:t>
      </w:r>
      <w:r>
        <w:t xml:space="preserve"> </w:t>
      </w:r>
      <w:r>
        <w:t xml:space="preserve">“</w:t>
      </w:r>
      <w:r>
        <w:t xml:space="preserve">buenos</w:t>
      </w:r>
      <w:r>
        <w:t xml:space="preserve">”</w:t>
      </w:r>
      <w:r>
        <w:t xml:space="preserve">. Toma un modelo de una ejecución y le da un nombre estable (</w:t>
      </w:r>
      <w:r>
        <w:rPr>
          <w:rStyle w:val="VerbatimChar"/>
        </w:rPr>
        <w:t xml:space="preserve">spotprice-xgboost</w:t>
      </w:r>
      <w:r>
        <w:t xml:space="preserve">), una versión (v1, v2…) y un alias móvil (</w:t>
      </w:r>
      <w:r>
        <w:rPr>
          <w:rStyle w:val="VerbatimChar"/>
        </w:rPr>
        <w:t xml:space="preserve">@champion</w:t>
      </w:r>
      <w:r>
        <w:t xml:space="preserve">). El servicio no abre un</w:t>
      </w:r>
      <w:r>
        <w:t xml:space="preserve"> </w:t>
      </w:r>
      <w:r>
        <w:rPr>
          <w:rStyle w:val="VerbatimChar"/>
        </w:rPr>
        <w:t xml:space="preserve">.pkl</w:t>
      </w:r>
      <w:r>
        <w:t xml:space="preserve">: pide</w:t>
      </w:r>
      <w:r>
        <w:t xml:space="preserve"> </w:t>
      </w:r>
      <w:r>
        <w:rPr>
          <w:rStyle w:val="VerbatimChar"/>
        </w:rPr>
        <w:t xml:space="preserve">spotprice-xgboost@champion</w:t>
      </w:r>
      <w:r>
        <w:t xml:space="preserve">, desacoplando el servicio del entrenamiento.</w:t>
      </w:r>
    </w:p>
    <w:bookmarkEnd w:id="31"/>
    <w:bookmarkStart w:id="32" w:name="decisiones-de-infraestructura"/>
    <w:p>
      <w:pPr>
        <w:pStyle w:val="Heading3"/>
      </w:pPr>
      <w:r>
        <w:t xml:space="preserve">3.2. Decisiones de infraestructura</w:t>
      </w:r>
    </w:p>
    <w:p>
      <w:pPr>
        <w:numPr>
          <w:ilvl w:val="0"/>
          <w:numId w:val="1005"/>
        </w:numPr>
        <w:pStyle w:val="Compact"/>
      </w:pPr>
      <w:r>
        <w:rPr>
          <w:bCs/>
          <w:b/>
        </w:rPr>
        <w:t xml:space="preserve">Backend SQLite directo, sin servidor HTTP para loguear.</w:t>
      </w:r>
      <w:r>
        <w:t xml:space="preserve"> </w:t>
      </w:r>
      <w:r>
        <w:t xml:space="preserve">El código escribe directo a</w:t>
      </w:r>
      <w:r>
        <w:t xml:space="preserve"> </w:t>
      </w:r>
      <w:r>
        <w:rPr>
          <w:rStyle w:val="VerbatimChar"/>
        </w:rPr>
        <w:t xml:space="preserve">sqlite:///mlflow.db</w:t>
      </w:r>
      <w:r>
        <w:t xml:space="preserve"> </w:t>
      </w:r>
      <w:r>
        <w:t xml:space="preserve">en la raíz del proyecto (ruta absoluta, para no depender del directorio de trabajo de los notebooks). El registry exige un backend de base de datos, por eso SQLite y no el</w:t>
      </w:r>
      <w:r>
        <w:t xml:space="preserve"> </w:t>
      </w:r>
      <w:r>
        <w:rPr>
          <w:iCs/>
          <w:i/>
        </w:rPr>
        <w:t xml:space="preserve">file-store</w:t>
      </w:r>
      <w:r>
        <w:t xml:space="preserve"> </w:t>
      </w:r>
      <w:r>
        <w:t xml:space="preserve">por defecto. Para visualizar,</w:t>
      </w:r>
      <w:r>
        <w:t xml:space="preserve"> </w:t>
      </w:r>
      <w:r>
        <w:rPr>
          <w:rStyle w:val="VerbatimChar"/>
        </w:rPr>
        <w:t xml:space="preserve">python -m mlflow ui</w:t>
      </w:r>
      <w:r>
        <w:t xml:space="preserve">. En Docker (contenerización) se monta ya un servidor MLflow real (</w:t>
      </w:r>
      <w:r>
        <w:rPr>
          <w:rStyle w:val="VerbatimChar"/>
        </w:rPr>
        <w:t xml:space="preserve">docker-compose.yml</w:t>
      </w:r>
      <w:r>
        <w:t xml:space="preserve">).</w:t>
      </w:r>
    </w:p>
    <w:p>
      <w:pPr>
        <w:numPr>
          <w:ilvl w:val="0"/>
          <w:numId w:val="1005"/>
        </w:numPr>
        <w:pStyle w:val="Compact"/>
      </w:pPr>
      <w:r>
        <w:rPr>
          <w:bCs/>
          <w:b/>
        </w:rPr>
        <w:t xml:space="preserve">Invocación por módulo</w:t>
      </w:r>
      <w:r>
        <w:t xml:space="preserve"> </w:t>
      </w:r>
      <w:r>
        <w:t xml:space="preserve">(</w:t>
      </w:r>
      <w:r>
        <w:rPr>
          <w:rStyle w:val="VerbatimChar"/>
        </w:rPr>
        <w:t xml:space="preserve">python -m mlflow …</w:t>
      </w:r>
      <w:r>
        <w:t xml:space="preserve">) por la restricción de</w:t>
      </w:r>
      <w:r>
        <w:t xml:space="preserve"> </w:t>
      </w:r>
      <w:r>
        <w:t xml:space="preserve">“</w:t>
      </w:r>
      <w:r>
        <w:t xml:space="preserve">Control de aplicaciones</w:t>
      </w:r>
      <w:r>
        <w:t xml:space="preserve">”</w:t>
      </w:r>
      <w:r>
        <w:t xml:space="preserve"> </w:t>
      </w:r>
      <w:r>
        <w:t xml:space="preserve">de Windows.</w:t>
      </w:r>
    </w:p>
    <w:p>
      <w:pPr>
        <w:numPr>
          <w:ilvl w:val="0"/>
          <w:numId w:val="1005"/>
        </w:numPr>
        <w:pStyle w:val="Compact"/>
      </w:pPr>
      <w:r>
        <w:rPr>
          <w:bCs/>
          <w:b/>
        </w:rPr>
        <w:t xml:space="preserve">Desactivar la inferencia de entorno en</w:t>
      </w:r>
      <w:r>
        <w:rPr>
          <w:bCs/>
          <w:b/>
        </w:rPr>
        <w:t xml:space="preserve"> </w:t>
      </w:r>
      <w:r>
        <w:rPr>
          <w:rStyle w:val="VerbatimChar"/>
          <w:bCs/>
          <w:b/>
        </w:rPr>
        <w:t xml:space="preserve">log_model</w:t>
      </w:r>
      <w:r>
        <w:t xml:space="preserve"> </w:t>
      </w:r>
      <w:r>
        <w:t xml:space="preserve">pasando</w:t>
      </w:r>
      <w:r>
        <w:t xml:space="preserve"> </w:t>
      </w:r>
      <w:r>
        <w:rPr>
          <w:rStyle w:val="VerbatimChar"/>
        </w:rPr>
        <w:t xml:space="preserve">pip_requirements=["xgboost","scikit-learn"]</w:t>
      </w:r>
      <w:r>
        <w:t xml:space="preserve"> </w:t>
      </w:r>
      <w:r>
        <w:t xml:space="preserve">explícito: la inferencia por defecto lanza un subproceso pip que en este entorno se cuelga. Medido: con inferencia ~3,9 s; sin ella ~0,5 s.</w:t>
      </w:r>
    </w:p>
    <w:bookmarkEnd w:id="32"/>
    <w:bookmarkStart w:id="33" w:name="estructura-de-ejecuciones-runs"/>
    <w:p>
      <w:pPr>
        <w:pStyle w:val="Heading3"/>
      </w:pPr>
      <w:r>
        <w:t xml:space="preserve">3.3. Estructura de ejecuciones (runs)</w:t>
      </w:r>
    </w:p>
    <w:p>
      <w:pPr>
        <w:pStyle w:val="FirstParagraph"/>
      </w:pPr>
      <w:r>
        <w:t xml:space="preserve">Tres ejecuciones bien diferenciadas por el tag</w:t>
      </w:r>
      <w:r>
        <w:t xml:space="preserve"> </w:t>
      </w:r>
      <w:r>
        <w:rPr>
          <w:rStyle w:val="VerbatimChar"/>
        </w:rPr>
        <w:t xml:space="preserve">validacion</w:t>
      </w:r>
      <w:r>
        <w:t xml:space="preserve">, para no confundir nunca el número optimista con el honesto: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 (tag</w:t>
            </w:r>
            <w:r>
              <w:t xml:space="preserve"> </w:t>
            </w:r>
            <w:r>
              <w:rPr>
                <w:rStyle w:val="VerbatimChar"/>
              </w:rPr>
              <w:t xml:space="preserve">validacion</w:t>
            </w:r>
            <w:r>
              <w:t xml:space="preserve">)</w:t>
            </w:r>
          </w:p>
        </w:tc>
        <w:tc>
          <w:tcPr/>
          <w:p>
            <w:pPr>
              <w:pStyle w:val="Compact"/>
              <w:jc w:val="left"/>
            </w:pPr>
            <w:r>
              <w:t xml:space="preserve">Qué es</w:t>
            </w:r>
          </w:p>
        </w:tc>
        <w:tc>
          <w:tcPr/>
          <w:p>
            <w:pPr>
              <w:pStyle w:val="Compact"/>
              <w:jc w:val="left"/>
            </w:pPr>
            <w:r>
              <w:t xml:space="preserve">MAE</w:t>
            </w:r>
          </w:p>
        </w:tc>
        <w:tc>
          <w:tcPr/>
          <w:p>
            <w:pPr>
              <w:pStyle w:val="Compact"/>
              <w:jc w:val="left"/>
            </w:pPr>
            <w:r>
              <w:t xml:space="preserve">Uso</w:t>
            </w:r>
          </w:p>
        </w:tc>
      </w:tr>
      <w:tr>
        <w:tc>
          <w:tcPr/>
          <w:p>
            <w:pPr>
              <w:pStyle w:val="Compact"/>
              <w:jc w:val="left"/>
            </w:pPr>
            <w:r>
              <w:rPr>
                <w:rStyle w:val="VerbatimChar"/>
              </w:rPr>
              <w:t xml:space="preserve">holdout_6m</w:t>
            </w:r>
          </w:p>
        </w:tc>
        <w:tc>
          <w:tcPr/>
          <w:p>
            <w:pPr>
              <w:pStyle w:val="Compact"/>
              <w:jc w:val="left"/>
            </w:pPr>
            <w:r>
              <w:t xml:space="preserve">Entrenamiento único sobre los últimos 6 meses</w:t>
            </w:r>
          </w:p>
        </w:tc>
        <w:tc>
          <w:tcPr/>
          <w:p>
            <w:pPr>
              <w:pStyle w:val="Compact"/>
              <w:jc w:val="left"/>
            </w:pPr>
            <w:r>
              <w:t xml:space="preserve">13,6</w:t>
            </w:r>
          </w:p>
        </w:tc>
        <w:tc>
          <w:tcPr/>
          <w:p>
            <w:pPr>
              <w:pStyle w:val="Compact"/>
              <w:jc w:val="left"/>
            </w:pPr>
            <w:r>
              <w:t xml:space="preserve">Número</w:t>
            </w:r>
            <w:r>
              <w:t xml:space="preserve"> </w:t>
            </w:r>
            <w:r>
              <w:rPr>
                <w:bCs/>
                <w:b/>
              </w:rPr>
              <w:t xml:space="preserve">optimista</w:t>
            </w:r>
          </w:p>
        </w:tc>
      </w:tr>
      <w:tr>
        <w:tc>
          <w:tcPr/>
          <w:p>
            <w:pPr>
              <w:pStyle w:val="Compact"/>
              <w:jc w:val="left"/>
            </w:pPr>
            <w:r>
              <w:rPr>
                <w:rStyle w:val="VerbatimChar"/>
              </w:rPr>
              <w:t xml:space="preserve">walk_forward_expanding</w:t>
            </w:r>
          </w:p>
        </w:tc>
        <w:tc>
          <w:tcPr/>
          <w:p>
            <w:pPr>
              <w:pStyle w:val="Compact"/>
              <w:jc w:val="left"/>
            </w:pPr>
            <w:r>
              <w:t xml:space="preserve">30 reentrenamientos mes a mes (curva por</w:t>
            </w:r>
            <w:r>
              <w:t xml:space="preserve"> </w:t>
            </w:r>
            <w:r>
              <w:rPr>
                <w:rStyle w:val="VerbatimChar"/>
              </w:rPr>
              <w:t xml:space="preserve">step</w:t>
            </w:r>
            <w:r>
              <w:t xml:space="preserve">) + resumen</w:t>
            </w:r>
            <w:r>
              <w:t xml:space="preserve"> </w:t>
            </w:r>
            <w:r>
              <w:rPr>
                <w:rStyle w:val="VerbatimChar"/>
              </w:rPr>
              <w:t xml:space="preserve">MAE_wf_mean</w:t>
            </w:r>
            <w:r>
              <w:t xml:space="preserve">/</w:t>
            </w:r>
            <w:r>
              <w:rPr>
                <w:rStyle w:val="VerbatimChar"/>
              </w:rPr>
              <w:t xml:space="preserve">MAE_wf_std</w:t>
            </w:r>
          </w:p>
        </w:tc>
        <w:tc>
          <w:tcPr/>
          <w:p>
            <w:pPr>
              <w:pStyle w:val="Compact"/>
              <w:jc w:val="left"/>
            </w:pPr>
            <w:r>
              <w:t xml:space="preserve">15,70 ± 5,29</w:t>
            </w:r>
          </w:p>
        </w:tc>
        <w:tc>
          <w:tcPr/>
          <w:p>
            <w:pPr>
              <w:pStyle w:val="Compact"/>
              <w:jc w:val="left"/>
            </w:pPr>
            <w:r>
              <w:t xml:space="preserve">Número</w:t>
            </w:r>
            <w:r>
              <w:t xml:space="preserve"> </w:t>
            </w:r>
            <w:r>
              <w:rPr>
                <w:bCs/>
                <w:b/>
              </w:rPr>
              <w:t xml:space="preserve">honesto</w:t>
            </w:r>
          </w:p>
        </w:tc>
      </w:tr>
      <w:tr>
        <w:tc>
          <w:tcPr/>
          <w:p>
            <w:pPr>
              <w:pStyle w:val="Compact"/>
              <w:jc w:val="left"/>
            </w:pPr>
            <w:r>
              <w:rPr>
                <w:rStyle w:val="VerbatimChar"/>
              </w:rPr>
              <w:t xml:space="preserve">produccion_full_data</w:t>
            </w:r>
          </w:p>
        </w:tc>
        <w:tc>
          <w:tcPr/>
          <w:p>
            <w:pPr>
              <w:pStyle w:val="Compact"/>
              <w:jc w:val="left"/>
            </w:pPr>
            <w:r>
              <w:t xml:space="preserve">Modelo entrenado con TODO el histórico</w:t>
            </w:r>
          </w:p>
        </w:tc>
        <w:tc>
          <w:tcPr/>
          <w:p>
            <w:pPr>
              <w:pStyle w:val="Compact"/>
              <w:jc w:val="left"/>
            </w:pPr>
            <w:r>
              <w:t xml:space="preserve">— (referencia</w:t>
            </w:r>
            <w:r>
              <w:t xml:space="preserve"> </w:t>
            </w:r>
            <w:r>
              <w:rPr>
                <w:rStyle w:val="VerbatimChar"/>
              </w:rPr>
              <w:t xml:space="preserve">MAE_wf_ref</w:t>
            </w:r>
            <w:r>
              <w:t xml:space="preserve">=15,70)</w:t>
            </w:r>
          </w:p>
        </w:tc>
        <w:tc>
          <w:tcPr/>
          <w:p>
            <w:pPr>
              <w:pStyle w:val="Compact"/>
              <w:jc w:val="left"/>
            </w:pPr>
            <w:r>
              <w:t xml:space="preserve">El que va a</w:t>
            </w:r>
            <w:r>
              <w:t xml:space="preserve"> </w:t>
            </w:r>
            <w:r>
              <w:rPr>
                <w:bCs/>
                <w:b/>
              </w:rPr>
              <w:t xml:space="preserve">producción</w:t>
            </w:r>
          </w:p>
        </w:tc>
      </w:tr>
    </w:tbl>
    <w:p>
      <w:pPr>
        <w:pStyle w:val="BodyText"/>
      </w:pPr>
      <w:r>
        <w:t xml:space="preserve">Decisión clave: se</w:t>
      </w:r>
      <w:r>
        <w:t xml:space="preserve"> </w:t>
      </w:r>
      <w:r>
        <w:rPr>
          <w:bCs/>
          <w:b/>
        </w:rPr>
        <w:t xml:space="preserve">valida</w:t>
      </w:r>
      <w:r>
        <w:t xml:space="preserve"> </w:t>
      </w:r>
      <w:r>
        <w:t xml:space="preserve">con walk-forward pero se</w:t>
      </w:r>
      <w:r>
        <w:t xml:space="preserve"> </w:t>
      </w:r>
      <w:r>
        <w:rPr>
          <w:bCs/>
          <w:b/>
        </w:rPr>
        <w:t xml:space="preserve">sirve</w:t>
      </w:r>
      <w:r>
        <w:t xml:space="preserve"> </w:t>
      </w:r>
      <w:r>
        <w:t xml:space="preserve">un modelo entrenado con todos los datos (al predecir mañana usarías todo el histórico hasta hoy, no una versión recortada). Ese modelo de producción no tiene MAE propio (evaluarlo sobre sus datos de entrenamiento sería</w:t>
      </w:r>
      <w:r>
        <w:t xml:space="preserve"> </w:t>
      </w:r>
      <w:r>
        <w:rPr>
          <w:iCs/>
          <w:i/>
        </w:rPr>
        <w:t xml:space="preserve">leakage</w:t>
      </w:r>
      <w:r>
        <w:t xml:space="preserve">), así que se le adjunta como ficha técnica el MAE del walk-forward (</w:t>
      </w:r>
      <w:r>
        <w:rPr>
          <w:rStyle w:val="VerbatimChar"/>
        </w:rPr>
        <w:t xml:space="preserve">MAE_wf_ref</w:t>
      </w:r>
      <w:r>
        <w:t xml:space="preserve"> </w:t>
      </w:r>
      <w:r>
        <w:t xml:space="preserve">= 15,70), que además sirve de línea base para la monitorización de</w:t>
      </w:r>
      <w:r>
        <w:t xml:space="preserve"> </w:t>
      </w:r>
      <w:r>
        <w:rPr>
          <w:iCs/>
          <w:i/>
        </w:rPr>
        <w:t xml:space="preserve">drift</w:t>
      </w:r>
      <w:r>
        <w:t xml:space="preserve">.</w:t>
      </w:r>
    </w:p>
    <w:bookmarkEnd w:id="33"/>
    <w:bookmarkStart w:id="34" w:name="registry-versión-vs-alias"/>
    <w:p>
      <w:pPr>
        <w:pStyle w:val="Heading3"/>
      </w:pPr>
      <w:r>
        <w:t xml:space="preserve">3.4. Registry: versión vs alias</w:t>
      </w:r>
    </w:p>
    <w:p>
      <w:pPr>
        <w:pStyle w:val="FirstParagraph"/>
      </w:pPr>
      <w:r>
        <w:t xml:space="preserve">La versión es una foto inmutable que sube sola (v1, v2…). El alias es una etiqueta móvil pegada a UNA versión. Registrado</w:t>
      </w:r>
      <w:r>
        <w:t xml:space="preserve"> </w:t>
      </w:r>
      <w:r>
        <w:rPr>
          <w:rStyle w:val="VerbatimChar"/>
          <w:bCs/>
          <w:b/>
        </w:rPr>
        <w:t xml:space="preserve">spotprice-xgboost</w:t>
      </w:r>
      <w:r>
        <w:rPr>
          <w:bCs/>
          <w:b/>
        </w:rPr>
        <w:t xml:space="preserve"> </w:t>
      </w:r>
      <w:r>
        <w:rPr>
          <w:bCs/>
          <w:b/>
        </w:rPr>
        <w:t xml:space="preserve">v1 con alias</w:t>
      </w:r>
      <w:r>
        <w:rPr>
          <w:bCs/>
          <w:b/>
        </w:rPr>
        <w:t xml:space="preserve"> </w:t>
      </w:r>
      <w:r>
        <w:rPr>
          <w:rStyle w:val="VerbatimChar"/>
          <w:bCs/>
          <w:b/>
        </w:rPr>
        <w:t xml:space="preserve">@champion</w:t>
      </w:r>
      <w:r>
        <w:t xml:space="preserve">. Cuando se reentrene (monitorización/drift), se registrará la v2 y se moverá el alias; el servicio sirve la nueva versión</w:t>
      </w:r>
      <w:r>
        <w:t xml:space="preserve"> </w:t>
      </w:r>
      <w:r>
        <w:rPr>
          <w:bCs/>
          <w:b/>
        </w:rPr>
        <w:t xml:space="preserve">sin tocar código</w:t>
      </w:r>
      <w:r>
        <w:t xml:space="preserve">.</w:t>
      </w:r>
    </w:p>
    <w:bookmarkEnd w:id="34"/>
    <w:bookmarkStart w:id="35" w:name="Xa2f51672415c161fda2cc42c73e954291f7fb2b"/>
    <w:p>
      <w:pPr>
        <w:pStyle w:val="Heading3"/>
      </w:pPr>
      <w:r>
        <w:t xml:space="preserve">3.5. Integración con el servicio (el pago del registry)</w:t>
      </w:r>
    </w:p>
    <w:p>
      <w:pPr>
        <w:pStyle w:val="FirstParagraph"/>
      </w:pPr>
      <w:r>
        <w:t xml:space="preserve">La API FastAPI carga el modelo una sola vez al arrancar (en el handler</w:t>
      </w:r>
      <w:r>
        <w:t xml:space="preserve"> </w:t>
      </w:r>
      <w:r>
        <w:rPr>
          <w:rStyle w:val="VerbatimChar"/>
        </w:rPr>
        <w:t xml:space="preserve">lifespan</w:t>
      </w:r>
      <w:r>
        <w:t xml:space="preserve">) con:</w:t>
      </w:r>
    </w:p>
    <w:p>
      <w:pPr>
        <w:pStyle w:val="SourceCode"/>
      </w:pPr>
      <w:r>
        <w:rPr>
          <w:rStyle w:val="NormalTok"/>
        </w:rPr>
        <w:t xml:space="preserve">mlflow.pyfunc.load_model(</w:t>
      </w:r>
      <w:r>
        <w:rPr>
          <w:rStyle w:val="StringTok"/>
        </w:rPr>
        <w:t xml:space="preserve">"models:/spotprice-xgboost@champion"</w:t>
      </w:r>
      <w:r>
        <w:rPr>
          <w:rStyle w:val="NormalTok"/>
        </w:rPr>
        <w:t xml:space="preserve">)</w:t>
      </w:r>
    </w:p>
    <w:p>
      <w:pPr>
        <w:pStyle w:val="FirstParagraph"/>
      </w:pPr>
      <w:r>
        <w:t xml:space="preserve">Pide el modelo por alias, sin saber que es la v1 ni dónde está el fichero.</w:t>
      </w:r>
      <w:r>
        <w:t xml:space="preserve"> </w:t>
      </w:r>
      <w:r>
        <w:rPr>
          <w:rStyle w:val="VerbatimChar"/>
        </w:rPr>
        <w:t xml:space="preserve">pyfunc</w:t>
      </w:r>
      <w:r>
        <w:t xml:space="preserve"> </w:t>
      </w:r>
      <w:r>
        <w:t xml:space="preserve">es la interfaz genérica (el mismo</w:t>
      </w:r>
      <w:r>
        <w:t xml:space="preserve"> </w:t>
      </w:r>
      <w:r>
        <w:rPr>
          <w:rStyle w:val="VerbatimChar"/>
        </w:rPr>
        <w:t xml:space="preserve">.predict()</w:t>
      </w:r>
      <w:r>
        <w:t xml:space="preserve"> </w:t>
      </w:r>
      <w:r>
        <w:t xml:space="preserve">sirve para XGBoost o para el futuro LSTM), lo que es clave para el</w:t>
      </w:r>
      <w:r>
        <w:t xml:space="preserve"> </w:t>
      </w:r>
      <w:r>
        <w:rPr>
          <w:iCs/>
          <w:i/>
        </w:rPr>
        <w:t xml:space="preserve">gating</w:t>
      </w:r>
      <w:r>
        <w:t xml:space="preserve"> </w:t>
      </w:r>
      <w:r>
        <w:t xml:space="preserve">por régimen previsto. El endpoint</w:t>
      </w:r>
      <w:r>
        <w:t xml:space="preserve"> </w:t>
      </w:r>
      <w:r>
        <w:rPr>
          <w:rStyle w:val="VerbatimChar"/>
        </w:rPr>
        <w:t xml:space="preserve">/model-info</w:t>
      </w:r>
      <w:r>
        <w:t xml:space="preserve"> </w:t>
      </w:r>
      <w:r>
        <w:t xml:space="preserve">expone nombre, versión resuelta desde</w:t>
      </w:r>
      <w:r>
        <w:t xml:space="preserve"> </w:t>
      </w:r>
      <w:r>
        <w:rPr>
          <w:rStyle w:val="VerbatimChar"/>
        </w:rPr>
        <w:t xml:space="preserve">@champion</w:t>
      </w:r>
      <w:r>
        <w:t xml:space="preserve">,</w:t>
      </w:r>
      <w:r>
        <w:t xml:space="preserve"> </w:t>
      </w:r>
      <w:r>
        <w:rPr>
          <w:rStyle w:val="VerbatimChar"/>
        </w:rPr>
        <w:t xml:space="preserve">run_id</w:t>
      </w:r>
      <w:r>
        <w:t xml:space="preserve"> </w:t>
      </w:r>
      <w:r>
        <w:t xml:space="preserve">y</w:t>
      </w:r>
      <w:r>
        <w:t xml:space="preserve"> </w:t>
      </w:r>
      <w:r>
        <w:rPr>
          <w:rStyle w:val="VerbatimChar"/>
        </w:rPr>
        <w:t xml:space="preserve">MAE_wf_ref</w:t>
      </w:r>
      <w:r>
        <w:t xml:space="preserve">: la API dice</w:t>
      </w:r>
      <w:r>
        <w:t xml:space="preserve"> </w:t>
      </w:r>
      <w:r>
        <w:rPr>
          <w:bCs/>
          <w:b/>
        </w:rPr>
        <w:t xml:space="preserve">qué</w:t>
      </w:r>
      <w:r>
        <w:t xml:space="preserve"> </w:t>
      </w:r>
      <w:r>
        <w:t xml:space="preserve">sirve y</w:t>
      </w:r>
      <w:r>
        <w:t xml:space="preserve"> </w:t>
      </w:r>
      <w:r>
        <w:rPr>
          <w:bCs/>
          <w:b/>
        </w:rPr>
        <w:t xml:space="preserve">cómo de bueno</w:t>
      </w:r>
      <w:r>
        <w:t xml:space="preserve"> </w:t>
      </w:r>
      <w:r>
        <w:t xml:space="preserve">se espera que sea.</w:t>
      </w:r>
    </w:p>
    <w:bookmarkEnd w:id="35"/>
    <w:bookmarkStart w:id="36" w:name="complemento-con-dvc"/>
    <w:p>
      <w:pPr>
        <w:pStyle w:val="Heading3"/>
      </w:pPr>
      <w:r>
        <w:t xml:space="preserve">3.6. Complemento con DVC</w:t>
      </w:r>
    </w:p>
    <w:p>
      <w:pPr>
        <w:pStyle w:val="FirstParagraph"/>
      </w:pPr>
      <w:r>
        <w:t xml:space="preserve">MLflow y DVC se complementan: MLflow dice</w:t>
      </w:r>
      <w:r>
        <w:t xml:space="preserve"> </w:t>
      </w:r>
      <w:r>
        <w:t xml:space="preserve">“</w:t>
      </w:r>
      <w:r>
        <w:t xml:space="preserve">usé el dataset X</w:t>
      </w:r>
      <w:r>
        <w:t xml:space="preserve">”</w:t>
      </w:r>
      <w:r>
        <w:t xml:space="preserve">;</w:t>
      </w:r>
      <w:r>
        <w:t xml:space="preserve"> </w:t>
      </w:r>
      <w:r>
        <w:rPr>
          <w:bCs/>
          <w:b/>
        </w:rPr>
        <w:t xml:space="preserve">DVC</w:t>
      </w:r>
      <w:r>
        <w:t xml:space="preserve"> </w:t>
      </w:r>
      <w:r>
        <w:t xml:space="preserve">garantiza que ese X es reproducible bit a bit. Versionado</w:t>
      </w:r>
      <w:r>
        <w:t xml:space="preserve"> </w:t>
      </w:r>
      <w:r>
        <w:rPr>
          <w:rStyle w:val="VerbatimChar"/>
        </w:rPr>
        <w:t xml:space="preserve">data/processed/tabla_features.parquet</w:t>
      </w:r>
      <w:r>
        <w:t xml:space="preserve"> </w:t>
      </w:r>
      <w:r>
        <w:t xml:space="preserve">con DVC. Juntos cierran la reproducibilidad de extremo a extremo: mismo código (Git) + mismo dato (DVC) + mismo experimento (MLflow).</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alculator.aws/" TargetMode="External" /><Relationship Type="http://schemas.openxmlformats.org/officeDocument/2006/relationships/hyperlink" Id="rId27" Target="https://calculator.aws/#/estimate?id=9b088a8e3914288b90a624625674d0213bcc2f2a" TargetMode="External" /></Relationships>
</file>

<file path=word/_rels/footnotes.xml.rels><?xml version="1.0" encoding="UTF-8"?><Relationships xmlns="http://schemas.openxmlformats.org/package/2006/relationships"><Relationship Type="http://schemas.openxmlformats.org/officeDocument/2006/relationships/hyperlink" Id="rId24" Target="https://calculator.aws/" TargetMode="External" /><Relationship Type="http://schemas.openxmlformats.org/officeDocument/2006/relationships/hyperlink" Id="rId27" Target="https://calculator.aws/#/estimate?id=9b088a8e3914288b90a624625674d0213bcc2f2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Jaime Llorca; Juan Prieto; José Menjívar</dc:creator>
  <cp:keywords/>
  <dcterms:created xsi:type="dcterms:W3CDTF">2026-09-15T20:17:45Z</dcterms:created>
  <dcterms:modified xsi:type="dcterms:W3CDTF">2026-09-15T20:17:45Z</dcterms:modified>
</cp:coreProperties>
</file>

<file path=docProps/custom.xml><?xml version="1.0" encoding="utf-8"?>
<Properties xmlns="http://schemas.openxmlformats.org/officeDocument/2006/custom-properties" xmlns:vt="http://schemas.openxmlformats.org/officeDocument/2006/docPropsVTypes"/>
</file>