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7C15A" w14:textId="77777777" w:rsidR="007B6F90" w:rsidRPr="007B6F90" w:rsidRDefault="007B6F90" w:rsidP="007B6F90">
      <w:pPr>
        <w:rPr>
          <w:b/>
          <w:bCs/>
        </w:rPr>
      </w:pPr>
      <w:r w:rsidRPr="007B6F90">
        <w:rPr>
          <w:rFonts w:ascii="Segoe UI Emoji" w:hAnsi="Segoe UI Emoji" w:cs="Segoe UI Emoji"/>
          <w:b/>
          <w:bCs/>
        </w:rPr>
        <w:t>🏗️</w:t>
      </w:r>
      <w:r w:rsidRPr="007B6F90">
        <w:rPr>
          <w:b/>
          <w:bCs/>
        </w:rPr>
        <w:t xml:space="preserve"> Estructura y Grupos de Interés: Herramienta SFCS</w:t>
      </w:r>
    </w:p>
    <w:p w14:paraId="172181D9" w14:textId="77777777" w:rsidR="007B6F90" w:rsidRPr="007B6F90" w:rsidRDefault="007B6F90" w:rsidP="007B6F90">
      <w:r w:rsidRPr="007B6F90">
        <w:t>La herramienta SFCS es el motor central para clasificar, validar y reportar las operaciones sostenibles del banco. Su funcionamiento depende de una estrecha colaboración entre los equipos funcionales, técnicos y de negocio.</w:t>
      </w:r>
    </w:p>
    <w:p w14:paraId="7B7F27BD" w14:textId="77777777" w:rsidR="007B6F90" w:rsidRPr="007B6F90" w:rsidRDefault="007B6F90" w:rsidP="007B6F90">
      <w:pPr>
        <w:rPr>
          <w:b/>
          <w:bCs/>
        </w:rPr>
      </w:pPr>
      <w:r w:rsidRPr="007B6F90">
        <w:rPr>
          <w:b/>
          <w:bCs/>
        </w:rPr>
        <w:t>1. Núcleo Operativo (Funcional y Técnico)</w:t>
      </w:r>
    </w:p>
    <w:p w14:paraId="5824698E" w14:textId="77777777" w:rsidR="007B6F90" w:rsidRPr="007B6F90" w:rsidRDefault="007B6F90" w:rsidP="007B6F90">
      <w:r w:rsidRPr="007B6F90">
        <w:t xml:space="preserve">Es el </w:t>
      </w:r>
      <w:r w:rsidRPr="007B6F90">
        <w:rPr>
          <w:b/>
          <w:bCs/>
        </w:rPr>
        <w:t>motor de la herramienta</w:t>
      </w:r>
      <w:r w:rsidRPr="007B6F90">
        <w:t>. Se encargan del mantenimiento, el desarrollo de nuevas funcionalidades y de asegurar que el software responda a las necesidades de clasificación del banco.</w:t>
      </w:r>
    </w:p>
    <w:p w14:paraId="07F25C02" w14:textId="77777777" w:rsidR="007B6F90" w:rsidRPr="007B6F90" w:rsidRDefault="007B6F90" w:rsidP="007B6F90">
      <w:pPr>
        <w:numPr>
          <w:ilvl w:val="0"/>
          <w:numId w:val="1"/>
        </w:numPr>
      </w:pPr>
      <w:r w:rsidRPr="007B6F90">
        <w:rPr>
          <w:b/>
          <w:bCs/>
        </w:rPr>
        <w:t>Misión:</w:t>
      </w:r>
      <w:r w:rsidRPr="007B6F90">
        <w:t xml:space="preserve"> Garantizar la estabilidad tecnológica y la correcta implementación de la lógica de clasificación.</w:t>
      </w:r>
    </w:p>
    <w:p w14:paraId="77C07005" w14:textId="77777777" w:rsidR="007B6F90" w:rsidRPr="007B6F90" w:rsidRDefault="007B6F90" w:rsidP="007B6F90">
      <w:pPr>
        <w:rPr>
          <w:b/>
          <w:bCs/>
        </w:rPr>
      </w:pPr>
      <w:r w:rsidRPr="007B6F90">
        <w:rPr>
          <w:b/>
          <w:bCs/>
        </w:rPr>
        <w:t xml:space="preserve">2. Green </w:t>
      </w:r>
      <w:proofErr w:type="spellStart"/>
      <w:r w:rsidRPr="007B6F90">
        <w:rPr>
          <w:b/>
          <w:bCs/>
        </w:rPr>
        <w:t>Finance</w:t>
      </w:r>
      <w:proofErr w:type="spellEnd"/>
      <w:r w:rsidRPr="007B6F90">
        <w:rPr>
          <w:b/>
          <w:bCs/>
        </w:rPr>
        <w:t xml:space="preserve"> (Seguimiento Operativo)</w:t>
      </w:r>
    </w:p>
    <w:p w14:paraId="2C9671F8" w14:textId="77777777" w:rsidR="007B6F90" w:rsidRPr="007B6F90" w:rsidRDefault="007B6F90" w:rsidP="007B6F90">
      <w:r w:rsidRPr="007B6F90">
        <w:t>Este grupo es el "dueño" del proceso de seguimiento. De ellos cuelga directamente la herramienta SFCS.</w:t>
      </w:r>
    </w:p>
    <w:p w14:paraId="229EFE34" w14:textId="77777777" w:rsidR="007B6F90" w:rsidRPr="007B6F90" w:rsidRDefault="007B6F90" w:rsidP="007B6F90">
      <w:pPr>
        <w:numPr>
          <w:ilvl w:val="0"/>
          <w:numId w:val="2"/>
        </w:numPr>
      </w:pPr>
      <w:r w:rsidRPr="007B6F90">
        <w:rPr>
          <w:b/>
          <w:bCs/>
        </w:rPr>
        <w:t>Funciones:</w:t>
      </w:r>
      <w:r w:rsidRPr="007B6F90">
        <w:t xml:space="preserve"> Supervisión continua de todas las operaciones etiquetadas como "verdes".</w:t>
      </w:r>
    </w:p>
    <w:p w14:paraId="488AD2D4" w14:textId="77777777" w:rsidR="007B6F90" w:rsidRPr="007B6F90" w:rsidRDefault="007B6F90" w:rsidP="007B6F90">
      <w:pPr>
        <w:numPr>
          <w:ilvl w:val="0"/>
          <w:numId w:val="2"/>
        </w:numPr>
      </w:pPr>
      <w:r w:rsidRPr="007B6F90">
        <w:rPr>
          <w:b/>
          <w:bCs/>
        </w:rPr>
        <w:t>Contacto Clave:</w:t>
      </w:r>
      <w:r w:rsidRPr="007B6F90">
        <w:t xml:space="preserve"> </w:t>
      </w:r>
      <w:proofErr w:type="spellStart"/>
      <w:r w:rsidRPr="007B6F90">
        <w:rPr>
          <w:b/>
          <w:bCs/>
        </w:rPr>
        <w:t>Jose</w:t>
      </w:r>
      <w:proofErr w:type="spellEnd"/>
      <w:r w:rsidRPr="007B6F90">
        <w:rPr>
          <w:b/>
          <w:bCs/>
        </w:rPr>
        <w:t xml:space="preserve"> María Buján</w:t>
      </w:r>
      <w:r w:rsidRPr="007B6F90">
        <w:t>.</w:t>
      </w:r>
    </w:p>
    <w:p w14:paraId="10C6E2DD" w14:textId="74010062" w:rsidR="007B6F90" w:rsidRPr="007B6F90" w:rsidRDefault="007B6F90" w:rsidP="007B6F90">
      <w:pPr>
        <w:rPr>
          <w:b/>
          <w:bCs/>
        </w:rPr>
      </w:pPr>
      <w:r w:rsidRPr="007B6F90">
        <w:rPr>
          <w:b/>
          <w:bCs/>
        </w:rPr>
        <w:t xml:space="preserve">3. Riesgos HQ </w:t>
      </w:r>
    </w:p>
    <w:p w14:paraId="38F9F594" w14:textId="77777777" w:rsidR="007B6F90" w:rsidRPr="007B6F90" w:rsidRDefault="007B6F90" w:rsidP="007B6F90">
      <w:r w:rsidRPr="007B6F90">
        <w:t xml:space="preserve">Este departamento actúa como el </w:t>
      </w:r>
      <w:r w:rsidRPr="007B6F90">
        <w:rPr>
          <w:b/>
          <w:bCs/>
        </w:rPr>
        <w:t>filtro de prudencia y cumplimiento</w:t>
      </w:r>
      <w:r w:rsidRPr="007B6F90">
        <w:t>.</w:t>
      </w:r>
    </w:p>
    <w:p w14:paraId="684EF891" w14:textId="77777777" w:rsidR="007B6F90" w:rsidRPr="007B6F90" w:rsidRDefault="007B6F90" w:rsidP="007B6F90">
      <w:pPr>
        <w:numPr>
          <w:ilvl w:val="0"/>
          <w:numId w:val="3"/>
        </w:numPr>
      </w:pPr>
      <w:r w:rsidRPr="007B6F90">
        <w:rPr>
          <w:b/>
          <w:bCs/>
        </w:rPr>
        <w:t>Definición:</w:t>
      </w:r>
      <w:r w:rsidRPr="007B6F90">
        <w:t xml:space="preserve"> Se encarga de evaluar que las operaciones clasificadas no solo cumplan con criterios sostenibles, sino que también se ajusten al apetito de riesgo del banco. Supervisan la integridad de los datos para evitar el </w:t>
      </w:r>
      <w:proofErr w:type="spellStart"/>
      <w:r w:rsidRPr="007B6F90">
        <w:rPr>
          <w:i/>
          <w:iCs/>
        </w:rPr>
        <w:t>greenwashing</w:t>
      </w:r>
      <w:proofErr w:type="spellEnd"/>
      <w:r w:rsidRPr="007B6F90">
        <w:t xml:space="preserve"> desde una perspectiva de riesgo reputacional y de crédito.</w:t>
      </w:r>
    </w:p>
    <w:p w14:paraId="38A2CFA8" w14:textId="77777777" w:rsidR="007B6F90" w:rsidRPr="007B6F90" w:rsidRDefault="007B6F90" w:rsidP="007B6F90">
      <w:pPr>
        <w:numPr>
          <w:ilvl w:val="0"/>
          <w:numId w:val="3"/>
        </w:numPr>
      </w:pPr>
      <w:r w:rsidRPr="007B6F90">
        <w:rPr>
          <w:b/>
          <w:bCs/>
        </w:rPr>
        <w:t>Contacto Clave:</w:t>
      </w:r>
      <w:r w:rsidRPr="007B6F90">
        <w:t xml:space="preserve"> </w:t>
      </w:r>
      <w:r w:rsidRPr="007B6F90">
        <w:rPr>
          <w:b/>
          <w:bCs/>
        </w:rPr>
        <w:t>Juan José Dapena</w:t>
      </w:r>
      <w:r w:rsidRPr="007B6F90">
        <w:t>.</w:t>
      </w:r>
    </w:p>
    <w:p w14:paraId="590538F8" w14:textId="77777777" w:rsidR="007B6F90" w:rsidRPr="007B6F90" w:rsidRDefault="007B6F90" w:rsidP="007B6F90">
      <w:pPr>
        <w:rPr>
          <w:b/>
          <w:bCs/>
        </w:rPr>
      </w:pPr>
      <w:r w:rsidRPr="007B6F90">
        <w:rPr>
          <w:b/>
          <w:bCs/>
        </w:rPr>
        <w:t xml:space="preserve">4. </w:t>
      </w:r>
      <w:proofErr w:type="spellStart"/>
      <w:r w:rsidRPr="007B6F90">
        <w:rPr>
          <w:b/>
          <w:bCs/>
        </w:rPr>
        <w:t>Reporting</w:t>
      </w:r>
      <w:proofErr w:type="spellEnd"/>
      <w:r w:rsidRPr="007B6F90">
        <w:rPr>
          <w:b/>
          <w:bCs/>
        </w:rPr>
        <w:t xml:space="preserve"> / Control de Gestión (Visibilidad Exterior)</w:t>
      </w:r>
    </w:p>
    <w:p w14:paraId="3867733C" w14:textId="77777777" w:rsidR="007B6F90" w:rsidRPr="007B6F90" w:rsidRDefault="007B6F90" w:rsidP="007B6F90">
      <w:r w:rsidRPr="007B6F90">
        <w:t>Son los encargados de "contar la historia" a través de los números.</w:t>
      </w:r>
    </w:p>
    <w:p w14:paraId="73BCA946" w14:textId="77777777" w:rsidR="007B6F90" w:rsidRPr="007B6F90" w:rsidRDefault="007B6F90" w:rsidP="007B6F90">
      <w:pPr>
        <w:numPr>
          <w:ilvl w:val="0"/>
          <w:numId w:val="4"/>
        </w:numPr>
      </w:pPr>
      <w:r w:rsidRPr="007B6F90">
        <w:rPr>
          <w:b/>
          <w:bCs/>
        </w:rPr>
        <w:t>Funciones:</w:t>
      </w:r>
      <w:r w:rsidRPr="007B6F90">
        <w:t xml:space="preserve"> Consolidar los datos de SFCS para incluirlos en los informes oficiales, estados financieros y documentos públicos del Grupo Santander.</w:t>
      </w:r>
    </w:p>
    <w:p w14:paraId="27B6D286" w14:textId="77777777" w:rsidR="007B6F90" w:rsidRPr="007B6F90" w:rsidRDefault="007B6F90" w:rsidP="007B6F90">
      <w:pPr>
        <w:numPr>
          <w:ilvl w:val="0"/>
          <w:numId w:val="4"/>
        </w:numPr>
      </w:pPr>
      <w:r w:rsidRPr="007B6F90">
        <w:rPr>
          <w:b/>
          <w:bCs/>
        </w:rPr>
        <w:t>Contacto Clave:</w:t>
      </w:r>
      <w:r w:rsidRPr="007B6F90">
        <w:t xml:space="preserve"> </w:t>
      </w:r>
      <w:r w:rsidRPr="007B6F90">
        <w:rPr>
          <w:b/>
          <w:bCs/>
        </w:rPr>
        <w:t>Zeneida</w:t>
      </w:r>
      <w:r w:rsidRPr="007B6F90">
        <w:t>.</w:t>
      </w:r>
    </w:p>
    <w:p w14:paraId="2BB72E54" w14:textId="77777777" w:rsidR="007B6F90" w:rsidRPr="007B6F90" w:rsidRDefault="007B6F90" w:rsidP="007B6F90">
      <w:pPr>
        <w:rPr>
          <w:b/>
          <w:bCs/>
        </w:rPr>
      </w:pPr>
      <w:r w:rsidRPr="007B6F90">
        <w:rPr>
          <w:b/>
          <w:bCs/>
        </w:rPr>
        <w:t>5. Banca Responsable (Criterios y SCFIS)</w:t>
      </w:r>
    </w:p>
    <w:p w14:paraId="2D792994" w14:textId="77777777" w:rsidR="007B6F90" w:rsidRPr="007B6F90" w:rsidRDefault="007B6F90" w:rsidP="007B6F90">
      <w:r w:rsidRPr="007B6F90">
        <w:t xml:space="preserve">Es el equipo que define la </w:t>
      </w:r>
      <w:r w:rsidRPr="007B6F90">
        <w:rPr>
          <w:b/>
          <w:bCs/>
        </w:rPr>
        <w:t>estrategia y las reglas del juego</w:t>
      </w:r>
      <w:r w:rsidRPr="007B6F90">
        <w:t>.</w:t>
      </w:r>
    </w:p>
    <w:p w14:paraId="1C3CDD2C" w14:textId="77777777" w:rsidR="007B6F90" w:rsidRPr="007B6F90" w:rsidRDefault="007B6F90" w:rsidP="007B6F90">
      <w:pPr>
        <w:numPr>
          <w:ilvl w:val="0"/>
          <w:numId w:val="5"/>
        </w:numPr>
      </w:pPr>
      <w:r w:rsidRPr="007B6F90">
        <w:rPr>
          <w:b/>
          <w:bCs/>
        </w:rPr>
        <w:t>Funciones:</w:t>
      </w:r>
      <w:r w:rsidRPr="007B6F90">
        <w:t xml:space="preserve"> Responsables de la gestión del </w:t>
      </w:r>
      <w:r w:rsidRPr="007B6F90">
        <w:rPr>
          <w:b/>
          <w:bCs/>
        </w:rPr>
        <w:t>SCFIS</w:t>
      </w:r>
      <w:r w:rsidRPr="007B6F90">
        <w:t xml:space="preserve"> (</w:t>
      </w:r>
      <w:proofErr w:type="spellStart"/>
      <w:r w:rsidRPr="007B6F90">
        <w:t>Sustainable</w:t>
      </w:r>
      <w:proofErr w:type="spellEnd"/>
      <w:r w:rsidRPr="007B6F90">
        <w:t xml:space="preserve"> </w:t>
      </w:r>
      <w:proofErr w:type="spellStart"/>
      <w:r w:rsidRPr="007B6F90">
        <w:t>Classification</w:t>
      </w:r>
      <w:proofErr w:type="spellEnd"/>
      <w:r w:rsidRPr="007B6F90">
        <w:t xml:space="preserve"> Framework </w:t>
      </w:r>
      <w:proofErr w:type="spellStart"/>
      <w:r w:rsidRPr="007B6F90">
        <w:t>for</w:t>
      </w:r>
      <w:proofErr w:type="spellEnd"/>
      <w:r w:rsidRPr="007B6F90">
        <w:t xml:space="preserve"> </w:t>
      </w:r>
      <w:proofErr w:type="spellStart"/>
      <w:r w:rsidRPr="007B6F90">
        <w:t>Internal</w:t>
      </w:r>
      <w:proofErr w:type="spellEnd"/>
      <w:r w:rsidRPr="007B6F90">
        <w:t xml:space="preserve"> </w:t>
      </w:r>
      <w:proofErr w:type="spellStart"/>
      <w:r w:rsidRPr="007B6F90">
        <w:t>Sustainable</w:t>
      </w:r>
      <w:proofErr w:type="spellEnd"/>
      <w:r w:rsidRPr="007B6F90">
        <w:t xml:space="preserve"> </w:t>
      </w:r>
      <w:proofErr w:type="spellStart"/>
      <w:r w:rsidRPr="007B6F90">
        <w:t>finance</w:t>
      </w:r>
      <w:proofErr w:type="spellEnd"/>
      <w:r w:rsidRPr="007B6F90">
        <w:t>) y de implementar cualquier cambio normativo o estratégico en los criterios de sostenibilidad.</w:t>
      </w:r>
    </w:p>
    <w:p w14:paraId="65FDA29F" w14:textId="77777777" w:rsidR="007B6F90" w:rsidRPr="007B6F90" w:rsidRDefault="007B6F90" w:rsidP="007B6F90">
      <w:pPr>
        <w:numPr>
          <w:ilvl w:val="0"/>
          <w:numId w:val="5"/>
        </w:numPr>
      </w:pPr>
      <w:r w:rsidRPr="007B6F90">
        <w:rPr>
          <w:b/>
          <w:bCs/>
        </w:rPr>
        <w:t>Contacto Clave:</w:t>
      </w:r>
      <w:r w:rsidRPr="007B6F90">
        <w:t xml:space="preserve"> </w:t>
      </w:r>
      <w:r w:rsidRPr="007B6F90">
        <w:rPr>
          <w:b/>
          <w:bCs/>
        </w:rPr>
        <w:t>Fermín</w:t>
      </w:r>
      <w:r w:rsidRPr="007B6F90">
        <w:t>.</w:t>
      </w:r>
    </w:p>
    <w:p w14:paraId="4E548C19" w14:textId="77777777" w:rsidR="007B6F90" w:rsidRPr="007B6F90" w:rsidRDefault="007B6F90" w:rsidP="007B6F90">
      <w:pPr>
        <w:rPr>
          <w:b/>
          <w:bCs/>
          <w:lang w:val="en-US"/>
        </w:rPr>
      </w:pPr>
      <w:r w:rsidRPr="007B6F90">
        <w:rPr>
          <w:b/>
          <w:bCs/>
          <w:lang w:val="en-US"/>
        </w:rPr>
        <w:t>6. SCIB (Santander Corporate &amp; Investment Banking)</w:t>
      </w:r>
    </w:p>
    <w:p w14:paraId="1C8F68DC" w14:textId="77777777" w:rsidR="007B6F90" w:rsidRPr="007B6F90" w:rsidRDefault="007B6F90" w:rsidP="007B6F90">
      <w:r w:rsidRPr="007B6F90">
        <w:t>Representan el brazo ejecutor en el segmento de banca mayorista.</w:t>
      </w:r>
    </w:p>
    <w:p w14:paraId="44B6883A" w14:textId="77777777" w:rsidR="007B6F90" w:rsidRPr="007B6F90" w:rsidRDefault="007B6F90" w:rsidP="007B6F90">
      <w:pPr>
        <w:numPr>
          <w:ilvl w:val="0"/>
          <w:numId w:val="6"/>
        </w:numPr>
      </w:pPr>
      <w:r w:rsidRPr="007B6F90">
        <w:rPr>
          <w:b/>
          <w:bCs/>
        </w:rPr>
        <w:lastRenderedPageBreak/>
        <w:t>Funciones:</w:t>
      </w:r>
      <w:r w:rsidRPr="007B6F90">
        <w:t xml:space="preserve"> Identificación y reporte de operaciones verdes dentro del ámbito de CIB. Aseguran que las grandes transacciones corporativas queden correctamente registradas en el sistema.</w:t>
      </w:r>
    </w:p>
    <w:p w14:paraId="2994FDC7" w14:textId="77777777" w:rsidR="007B6F90" w:rsidRPr="007B6F90" w:rsidRDefault="007B6F90" w:rsidP="007B6F90">
      <w:pPr>
        <w:numPr>
          <w:ilvl w:val="0"/>
          <w:numId w:val="6"/>
        </w:numPr>
      </w:pPr>
      <w:r w:rsidRPr="007B6F90">
        <w:rPr>
          <w:b/>
          <w:bCs/>
        </w:rPr>
        <w:t>Equipo Clave:</w:t>
      </w:r>
      <w:r w:rsidRPr="007B6F90">
        <w:t xml:space="preserve"> </w:t>
      </w:r>
      <w:r w:rsidRPr="007B6F90">
        <w:rPr>
          <w:b/>
          <w:bCs/>
        </w:rPr>
        <w:t>Inés y Ana</w:t>
      </w:r>
      <w:r w:rsidRPr="007B6F90">
        <w:t>.</w:t>
      </w:r>
    </w:p>
    <w:p w14:paraId="53D87390" w14:textId="77777777" w:rsidR="007B6F90" w:rsidRPr="007B6F90" w:rsidRDefault="007B6F90" w:rsidP="007B6F90">
      <w:r w:rsidRPr="007B6F90">
        <w:pict w14:anchorId="4F233897">
          <v:rect id="_x0000_i1044" style="width:0;height:1.5pt" o:hralign="center" o:hrstd="t" o:hrnoshade="t" o:hr="t" fillcolor="gray" stroked="f"/>
        </w:pict>
      </w:r>
    </w:p>
    <w:p w14:paraId="31D644F6" w14:textId="67D84365" w:rsidR="007B6F90" w:rsidRPr="007B6F90" w:rsidRDefault="007B6F90" w:rsidP="007B6F90">
      <w:pPr>
        <w:rPr>
          <w:b/>
          <w:bCs/>
        </w:rPr>
      </w:pPr>
      <w:r w:rsidRPr="007B6F90">
        <w:rPr>
          <w:rFonts w:ascii="Segoe UI Emoji" w:hAnsi="Segoe UI Emoji" w:cs="Segoe UI Emoji"/>
          <w:b/>
          <w:bCs/>
        </w:rPr>
        <w:t>📋</w:t>
      </w:r>
      <w:r w:rsidRPr="007B6F90">
        <w:rPr>
          <w:b/>
          <w:bCs/>
        </w:rPr>
        <w:t xml:space="preserve"> Resumen de Contactos </w:t>
      </w:r>
    </w:p>
    <w:tbl>
      <w:tblPr>
        <w:tblW w:w="0" w:type="auto"/>
        <w:tblCellSpacing w:w="15" w:type="dxa"/>
        <w:tblCellMar>
          <w:left w:w="0" w:type="dxa"/>
          <w:right w:w="0" w:type="dxa"/>
        </w:tblCellMar>
        <w:tblLook w:val="04A0" w:firstRow="1" w:lastRow="0" w:firstColumn="1" w:lastColumn="0" w:noHBand="0" w:noVBand="1"/>
      </w:tblPr>
      <w:tblGrid>
        <w:gridCol w:w="1884"/>
        <w:gridCol w:w="3936"/>
        <w:gridCol w:w="2117"/>
      </w:tblGrid>
      <w:tr w:rsidR="007B6F90" w:rsidRPr="007B6F90" w14:paraId="5689E7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06F8E" w14:textId="77777777" w:rsidR="007B6F90" w:rsidRPr="007B6F90" w:rsidRDefault="007B6F90" w:rsidP="007B6F90">
            <w:r w:rsidRPr="007B6F90">
              <w:rPr>
                <w:b/>
                <w:bCs/>
              </w:rPr>
              <w:t>Grupo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45A6C" w14:textId="77777777" w:rsidR="007B6F90" w:rsidRPr="007B6F90" w:rsidRDefault="007B6F90" w:rsidP="007B6F90">
            <w:r w:rsidRPr="007B6F90">
              <w:rPr>
                <w:b/>
                <w:bCs/>
              </w:rPr>
              <w:t>Responsabilidad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DD826" w14:textId="77777777" w:rsidR="007B6F90" w:rsidRPr="007B6F90" w:rsidRDefault="007B6F90" w:rsidP="007B6F90">
            <w:r w:rsidRPr="007B6F90">
              <w:rPr>
                <w:b/>
                <w:bCs/>
              </w:rPr>
              <w:t>Contacto</w:t>
            </w:r>
          </w:p>
        </w:tc>
      </w:tr>
      <w:tr w:rsidR="007B6F90" w:rsidRPr="007B6F90" w14:paraId="515C58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1D33E" w14:textId="77777777" w:rsidR="007B6F90" w:rsidRPr="007B6F90" w:rsidRDefault="007B6F90" w:rsidP="007B6F90">
            <w:r w:rsidRPr="007B6F90">
              <w:rPr>
                <w:b/>
                <w:bCs/>
              </w:rPr>
              <w:t xml:space="preserve">Green </w:t>
            </w:r>
            <w:proofErr w:type="spellStart"/>
            <w:r w:rsidRPr="007B6F90">
              <w:rPr>
                <w:b/>
                <w:bCs/>
              </w:rPr>
              <w:t>Finance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1B38A" w14:textId="77777777" w:rsidR="007B6F90" w:rsidRPr="007B6F90" w:rsidRDefault="007B6F90" w:rsidP="007B6F90">
            <w:r w:rsidRPr="007B6F90">
              <w:t>Seguimiento de operaciones verdes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16995" w14:textId="77777777" w:rsidR="007B6F90" w:rsidRPr="007B6F90" w:rsidRDefault="007B6F90" w:rsidP="007B6F90">
            <w:proofErr w:type="spellStart"/>
            <w:r w:rsidRPr="007B6F90">
              <w:t>Jose</w:t>
            </w:r>
            <w:proofErr w:type="spellEnd"/>
            <w:r w:rsidRPr="007B6F90">
              <w:t xml:space="preserve"> María Buján</w:t>
            </w:r>
          </w:p>
        </w:tc>
      </w:tr>
      <w:tr w:rsidR="007B6F90" w:rsidRPr="007B6F90" w14:paraId="44D5C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23BEF" w14:textId="77777777" w:rsidR="007B6F90" w:rsidRPr="007B6F90" w:rsidRDefault="007B6F90" w:rsidP="007B6F90">
            <w:r w:rsidRPr="007B6F90">
              <w:rPr>
                <w:b/>
                <w:bCs/>
              </w:rPr>
              <w:t>Riesgos HQ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23948" w14:textId="77777777" w:rsidR="007B6F90" w:rsidRPr="007B6F90" w:rsidRDefault="007B6F90" w:rsidP="007B6F90">
            <w:r w:rsidRPr="007B6F90">
              <w:t>Validación de riesgos y cumplimiento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C69DC" w14:textId="77777777" w:rsidR="007B6F90" w:rsidRPr="007B6F90" w:rsidRDefault="007B6F90" w:rsidP="007B6F90">
            <w:r w:rsidRPr="007B6F90">
              <w:t>Juan José Dapena</w:t>
            </w:r>
          </w:p>
        </w:tc>
      </w:tr>
      <w:tr w:rsidR="007B6F90" w:rsidRPr="007B6F90" w14:paraId="1AE86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EC17D" w14:textId="77777777" w:rsidR="007B6F90" w:rsidRPr="007B6F90" w:rsidRDefault="007B6F90" w:rsidP="007B6F90">
            <w:proofErr w:type="spellStart"/>
            <w:r w:rsidRPr="007B6F90">
              <w:rPr>
                <w:b/>
                <w:bCs/>
              </w:rPr>
              <w:t>Reporting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1AE33" w14:textId="77777777" w:rsidR="007B6F90" w:rsidRPr="007B6F90" w:rsidRDefault="007B6F90" w:rsidP="007B6F90">
            <w:r w:rsidRPr="007B6F90">
              <w:t>Resultados y documentos oficiales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4D9E9" w14:textId="77777777" w:rsidR="007B6F90" w:rsidRPr="007B6F90" w:rsidRDefault="007B6F90" w:rsidP="007B6F90">
            <w:r w:rsidRPr="007B6F90">
              <w:t>Zeneida</w:t>
            </w:r>
          </w:p>
        </w:tc>
      </w:tr>
      <w:tr w:rsidR="007B6F90" w:rsidRPr="007B6F90" w14:paraId="4D2AD6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ECBE6" w14:textId="77777777" w:rsidR="007B6F90" w:rsidRPr="007B6F90" w:rsidRDefault="007B6F90" w:rsidP="007B6F90">
            <w:r w:rsidRPr="007B6F90">
              <w:rPr>
                <w:b/>
                <w:bCs/>
              </w:rPr>
              <w:t xml:space="preserve">Banca </w:t>
            </w:r>
            <w:proofErr w:type="spellStart"/>
            <w:r w:rsidRPr="007B6F90">
              <w:rPr>
                <w:b/>
                <w:bCs/>
              </w:rPr>
              <w:t>Resp</w:t>
            </w:r>
            <w:proofErr w:type="spellEnd"/>
            <w:r w:rsidRPr="007B6F9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13287" w14:textId="77777777" w:rsidR="007B6F90" w:rsidRPr="007B6F90" w:rsidRDefault="007B6F90" w:rsidP="007B6F90">
            <w:r w:rsidRPr="007B6F90">
              <w:t>Framework (SCFIS) y cambios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C197E" w14:textId="77777777" w:rsidR="007B6F90" w:rsidRPr="007B6F90" w:rsidRDefault="007B6F90" w:rsidP="007B6F90">
            <w:r w:rsidRPr="007B6F90">
              <w:t>Fermín</w:t>
            </w:r>
          </w:p>
        </w:tc>
      </w:tr>
      <w:tr w:rsidR="007B6F90" w:rsidRPr="007B6F90" w14:paraId="6C1A99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C5EE0" w14:textId="77777777" w:rsidR="007B6F90" w:rsidRPr="007B6F90" w:rsidRDefault="007B6F90" w:rsidP="007B6F90">
            <w:r w:rsidRPr="007B6F90">
              <w:rPr>
                <w:b/>
                <w:bCs/>
              </w:rPr>
              <w:t>SCIB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0B0D5" w14:textId="77777777" w:rsidR="007B6F90" w:rsidRPr="007B6F90" w:rsidRDefault="007B6F90" w:rsidP="007B6F90">
            <w:r w:rsidRPr="007B6F90">
              <w:t>Reporte de operaciones CIB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CC628" w14:textId="77777777" w:rsidR="007B6F90" w:rsidRPr="007B6F90" w:rsidRDefault="007B6F90" w:rsidP="007B6F90">
            <w:r w:rsidRPr="007B6F90">
              <w:t>Inés / Ana</w:t>
            </w:r>
          </w:p>
        </w:tc>
      </w:tr>
    </w:tbl>
    <w:p w14:paraId="44FEA054" w14:textId="77777777" w:rsidR="003B2B87" w:rsidRDefault="003B2B87"/>
    <w:sectPr w:rsidR="003B2B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E5A47"/>
    <w:multiLevelType w:val="multilevel"/>
    <w:tmpl w:val="1E9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112E6"/>
    <w:multiLevelType w:val="multilevel"/>
    <w:tmpl w:val="5E5E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54915"/>
    <w:multiLevelType w:val="multilevel"/>
    <w:tmpl w:val="E18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80D11"/>
    <w:multiLevelType w:val="multilevel"/>
    <w:tmpl w:val="DC6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11643"/>
    <w:multiLevelType w:val="multilevel"/>
    <w:tmpl w:val="800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C00C3"/>
    <w:multiLevelType w:val="multilevel"/>
    <w:tmpl w:val="DBB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06381">
    <w:abstractNumId w:val="0"/>
  </w:num>
  <w:num w:numId="2" w16cid:durableId="835270281">
    <w:abstractNumId w:val="2"/>
  </w:num>
  <w:num w:numId="3" w16cid:durableId="210964054">
    <w:abstractNumId w:val="3"/>
  </w:num>
  <w:num w:numId="4" w16cid:durableId="1845778527">
    <w:abstractNumId w:val="1"/>
  </w:num>
  <w:num w:numId="5" w16cid:durableId="336225933">
    <w:abstractNumId w:val="5"/>
  </w:num>
  <w:num w:numId="6" w16cid:durableId="1131052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90"/>
    <w:rsid w:val="003B2B87"/>
    <w:rsid w:val="004A0695"/>
    <w:rsid w:val="006A7BB9"/>
    <w:rsid w:val="007B6F90"/>
    <w:rsid w:val="00A42D74"/>
    <w:rsid w:val="00A6027F"/>
    <w:rsid w:val="00C66A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E639"/>
  <w15:chartTrackingRefBased/>
  <w15:docId w15:val="{54EB97DB-196D-4192-9A51-00CA6C27E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6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6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6F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6F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6F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6F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F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F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F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6F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6F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6F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6F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6F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6F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F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F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F90"/>
    <w:rPr>
      <w:rFonts w:eastAsiaTheme="majorEastAsia" w:cstheme="majorBidi"/>
      <w:color w:val="272727" w:themeColor="text1" w:themeTint="D8"/>
    </w:rPr>
  </w:style>
  <w:style w:type="paragraph" w:styleId="Ttulo">
    <w:name w:val="Title"/>
    <w:basedOn w:val="Normal"/>
    <w:next w:val="Normal"/>
    <w:link w:val="TtuloCar"/>
    <w:uiPriority w:val="10"/>
    <w:qFormat/>
    <w:rsid w:val="007B6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F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F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F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F90"/>
    <w:pPr>
      <w:spacing w:before="160"/>
      <w:jc w:val="center"/>
    </w:pPr>
    <w:rPr>
      <w:i/>
      <w:iCs/>
      <w:color w:val="404040" w:themeColor="text1" w:themeTint="BF"/>
    </w:rPr>
  </w:style>
  <w:style w:type="character" w:customStyle="1" w:styleId="CitaCar">
    <w:name w:val="Cita Car"/>
    <w:basedOn w:val="Fuentedeprrafopredeter"/>
    <w:link w:val="Cita"/>
    <w:uiPriority w:val="29"/>
    <w:rsid w:val="007B6F90"/>
    <w:rPr>
      <w:i/>
      <w:iCs/>
      <w:color w:val="404040" w:themeColor="text1" w:themeTint="BF"/>
    </w:rPr>
  </w:style>
  <w:style w:type="paragraph" w:styleId="Prrafodelista">
    <w:name w:val="List Paragraph"/>
    <w:basedOn w:val="Normal"/>
    <w:uiPriority w:val="34"/>
    <w:qFormat/>
    <w:rsid w:val="007B6F90"/>
    <w:pPr>
      <w:ind w:left="720"/>
      <w:contextualSpacing/>
    </w:pPr>
  </w:style>
  <w:style w:type="character" w:styleId="nfasisintenso">
    <w:name w:val="Intense Emphasis"/>
    <w:basedOn w:val="Fuentedeprrafopredeter"/>
    <w:uiPriority w:val="21"/>
    <w:qFormat/>
    <w:rsid w:val="007B6F90"/>
    <w:rPr>
      <w:i/>
      <w:iCs/>
      <w:color w:val="0F4761" w:themeColor="accent1" w:themeShade="BF"/>
    </w:rPr>
  </w:style>
  <w:style w:type="paragraph" w:styleId="Citadestacada">
    <w:name w:val="Intense Quote"/>
    <w:basedOn w:val="Normal"/>
    <w:next w:val="Normal"/>
    <w:link w:val="CitadestacadaCar"/>
    <w:uiPriority w:val="30"/>
    <w:qFormat/>
    <w:rsid w:val="007B6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6F90"/>
    <w:rPr>
      <w:i/>
      <w:iCs/>
      <w:color w:val="0F4761" w:themeColor="accent1" w:themeShade="BF"/>
    </w:rPr>
  </w:style>
  <w:style w:type="character" w:styleId="Referenciaintensa">
    <w:name w:val="Intense Reference"/>
    <w:basedOn w:val="Fuentedeprrafopredeter"/>
    <w:uiPriority w:val="32"/>
    <w:qFormat/>
    <w:rsid w:val="007B6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2197</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Badia Chinarro</dc:creator>
  <cp:keywords/>
  <dc:description/>
  <cp:lastModifiedBy>Jaime Badia Chinarro  </cp:lastModifiedBy>
  <cp:revision>1</cp:revision>
  <dcterms:created xsi:type="dcterms:W3CDTF">2026-02-16T14:54:00Z</dcterms:created>
  <dcterms:modified xsi:type="dcterms:W3CDTF">2026-02-16T14:55:00Z</dcterms:modified>
</cp:coreProperties>
</file>