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ANELIYA  GEORGIEVA  TODOROVA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DE LA TEJERA, 2 - LOCAL - 20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COLMENAR VIEJO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05732967X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28770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647612322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COSTURA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1408723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