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MMF1941_Project1_Final_Paper</w:t>
      </w:r>
    </w:p>
    <w:bookmarkStart w:id="51" w:name="X26377c3e992082830397fcc821252991d06e2e4"/>
    <w:p>
      <w:pPr>
        <w:pStyle w:val="Heading1"/>
        <w:keepNext/>
      </w:pPr>
      <w:r>
        <w:t xml:space="preserve">Which</w:t>
      </w:r>
      <w:r>
        <w:t xml:space="preserve"> </w:t>
      </w:r>
      <w:r>
        <w:t xml:space="preserve">Daily OHLC Spread Estimator Tracks Realized Intraday Cost? A CS / AR /</w:t>
      </w:r>
      <w:r>
        <w:t xml:space="preserve"> </w:t>
      </w:r>
      <w:r>
        <w:t xml:space="preserve">EDGE Horse-Race</w:t>
      </w:r>
    </w:p>
    <w:bookmarkStart w:id="9" w:name="abstract"/>
    <w:p>
      <w:pPr>
        <w:pStyle w:val="Heading2"/>
        <w:keepNext/>
      </w:pPr>
      <w:r>
        <w:t xml:space="preserve">Abstract</w:t>
      </w:r>
    </w:p>
    <w:p>
      <w:pPr>
        <w:pStyle w:val="FirstParagraph"/>
      </w:pPr>
      <w:r>
        <w:t xml:space="preserve">Daily OHLC prices permit spread estimation when detailed trade and</w:t>
      </w:r>
      <w:r>
        <w:t xml:space="preserve"> </w:t>
      </w:r>
      <w:r>
        <w:t xml:space="preserve">quote records are unavailable. This paper compares daily spread</w:t>
      </w:r>
      <w:r>
        <w:t xml:space="preserve"> </w:t>
      </w:r>
      <w:r>
        <w:t xml:space="preserve">estimators across liquidity-stratified stocks, ETFs, futures and crypto</w:t>
      </w:r>
      <w:r>
        <w:t xml:space="preserve"> </w:t>
      </w:r>
      <w:r>
        <w:t xml:space="preserve">against a common intraday proxy. Corwin–Schultz (CS), Abdi–Ranaldo (AR)</w:t>
      </w:r>
      <w:r>
        <w:t xml:space="preserve"> </w:t>
      </w:r>
      <w:r>
        <w:t xml:space="preserve">and EDGE are compared with a one-minute, simple-return Roll benchmark</w:t>
      </w:r>
      <w:r>
        <w:t xml:space="preserve"> </w:t>
      </w:r>
      <w:r>
        <w:t xml:space="preserve">under frozen source, session, daily-mapping and negative-value</w:t>
      </w:r>
      <w:r>
        <w:t xml:space="preserve"> </w:t>
      </w:r>
      <w:r>
        <w:t xml:space="preserve">conventions. The common-defined sample comprises 24,377 asset-days. EDGE</w:t>
      </w:r>
      <w:r>
        <w:t xml:space="preserve"> </w:t>
      </w:r>
      <w:r>
        <w:t xml:space="preserve">records the lowest overall mean absolute error and root mean squared</w:t>
      </w:r>
      <w:r>
        <w:t xml:space="preserve"> </w:t>
      </w:r>
      <w:r>
        <w:t xml:space="preserve">error, at 53.59 and 122.18 basis points, respectively. Universal EDGE</w:t>
      </w:r>
      <w:r>
        <w:t xml:space="preserve"> </w:t>
      </w:r>
      <w:r>
        <w:t xml:space="preserve">dominance is not supported: ETFs favor CS on both accuracy metrics,</w:t>
      </w:r>
      <w:r>
        <w:t xml:space="preserve"> </w:t>
      </w:r>
      <w:r>
        <w:t xml:space="preserve">while stocks favor EDGE on mean absolute error and CS on root mean</w:t>
      </w:r>
      <w:r>
        <w:t xml:space="preserve"> </w:t>
      </w:r>
      <w:r>
        <w:t xml:space="preserve">squared error. The hypothesis of downward CS bias in low-liquidity cells</w:t>
      </w:r>
      <w:r>
        <w:t xml:space="preserve"> </w:t>
      </w:r>
      <w:r>
        <w:t xml:space="preserve">is contradicted by positive observed bias, and estimator rankings differ</w:t>
      </w:r>
      <w:r>
        <w:t xml:space="preserve"> </w:t>
      </w:r>
      <w:r>
        <w:t xml:space="preserve">across asset classes. Overall EDGE leadership survives the applicable</w:t>
      </w:r>
      <w:r>
        <w:t xml:space="preserve"> </w:t>
      </w:r>
      <w:r>
        <w:t xml:space="preserve">prespecified robustness checks, although stock and thin-ETF conclusions</w:t>
      </w:r>
      <w:r>
        <w:t xml:space="preserve"> </w:t>
      </w:r>
      <w:r>
        <w:t xml:space="preserve">are less stable. Secondary cross-fitted models identify predictable</w:t>
      </w:r>
      <w:r>
        <w:t xml:space="preserve"> </w:t>
      </w:r>
      <w:r>
        <w:t xml:space="preserve">error variation associated with daily price ranges and asset class,</w:t>
      </w:r>
      <w:r>
        <w:t xml:space="preserve"> </w:t>
      </w:r>
      <w:r>
        <w:t xml:space="preserve">without constituting a new spread estimator or a trading forecast. The</w:t>
      </w:r>
      <w:r>
        <w:t xml:space="preserve"> </w:t>
      </w:r>
      <w:r>
        <w:t xml:space="preserve">principal qualification is substantial benchmark undefinedness: accuracy</w:t>
      </w:r>
      <w:r>
        <w:t xml:space="preserve"> </w:t>
      </w:r>
      <w:r>
        <w:t xml:space="preserve">is measured conditional on all methods being defined, rather than on the</w:t>
      </w:r>
      <w:r>
        <w:t xml:space="preserve"> </w:t>
      </w:r>
      <w:r>
        <w:t xml:space="preserve">entire intended universe of trading days. Consequently, the evidence</w:t>
      </w:r>
      <w:r>
        <w:t xml:space="preserve"> </w:t>
      </w:r>
      <w:r>
        <w:t xml:space="preserve">supports asset-class and error-criterion-specific method choice, not</w:t>
      </w:r>
      <w:r>
        <w:t xml:space="preserve"> </w:t>
      </w:r>
      <w:r>
        <w:t xml:space="preserve">universal superiority or inference about true execution costs.</w:t>
      </w:r>
    </w:p>
    <w:bookmarkEnd w:id="9"/>
    <w:bookmarkStart w:id="10" w:name="introduction"/>
    <w:p>
      <w:pPr>
        <w:pStyle w:val="Heading2"/>
        <w:keepNext/>
      </w:pPr>
      <w:r>
        <w:t xml:space="preserve">1. Introduction</w:t>
      </w:r>
    </w:p>
    <w:p>
      <w:pPr>
        <w:pStyle w:val="FirstParagraph"/>
      </w:pPr>
      <w:r>
        <w:t xml:space="preserve">Transaction costs affect portfolio turnover, implementation capacity</w:t>
      </w:r>
      <w:r>
        <w:t xml:space="preserve"> </w:t>
      </w:r>
      <w:r>
        <w:t xml:space="preserve">and the interpretation of apparent return predictability. Yet the</w:t>
      </w:r>
      <w:r>
        <w:t xml:space="preserve"> </w:t>
      </w:r>
      <w:r>
        <w:t xml:space="preserve">information needed to measure effective spreads directly is less readily</w:t>
      </w:r>
      <w:r>
        <w:t xml:space="preserve"> </w:t>
      </w:r>
      <w:r>
        <w:t xml:space="preserve">available than daily price summaries. A daily estimator is attractive</w:t>
      </w:r>
      <w:r>
        <w:t xml:space="preserve"> </w:t>
      </w:r>
      <w:r>
        <w:t xml:space="preserve">because it permits broad coverage without requiring a complete</w:t>
      </w:r>
      <w:r>
        <w:t xml:space="preserve"> </w:t>
      </w:r>
      <w:r>
        <w:t xml:space="preserve">trade-and-quote history. Its practical value nevertheless depends on</w:t>
      </w:r>
      <w:r>
        <w:t xml:space="preserve"> </w:t>
      </w:r>
      <w:r>
        <w:t xml:space="preserve">whether the information discarded by daily aggregation matters</w:t>
      </w:r>
      <w:r>
        <w:t xml:space="preserve"> </w:t>
      </w:r>
      <w:r>
        <w:t xml:space="preserve">differently across market structures and trading activity. A convenient</w:t>
      </w:r>
      <w:r>
        <w:t xml:space="preserve"> </w:t>
      </w:r>
      <w:r>
        <w:t xml:space="preserve">estimator need not be a reliable substitute for the cost concept that</w:t>
      </w:r>
      <w:r>
        <w:t xml:space="preserve"> </w:t>
      </w:r>
      <w:r>
        <w:t xml:space="preserve">motivates its use.</w:t>
      </w:r>
    </w:p>
    <w:p>
      <w:pPr>
        <w:pStyle w:val="BodyText"/>
      </w:pPr>
      <w:r>
        <w:t xml:space="preserve">This paper asks: across asset classes and liquidity tiers, which</w:t>
      </w:r>
      <w:r>
        <w:t xml:space="preserve"> </w:t>
      </w:r>
      <w:r>
        <w:t xml:space="preserve">daily-OHLC spread estimator best matches an intraday benchmark, and</w:t>
      </w:r>
      <w:r>
        <w:t xml:space="preserve"> </w:t>
      </w:r>
      <w:r>
        <w:t xml:space="preserve">where do the methods break down? The comparison concerns Corwin–Schultz,</w:t>
      </w:r>
      <w:r>
        <w:t xml:space="preserve"> </w:t>
      </w:r>
      <w:r>
        <w:t xml:space="preserve">Abdi–Ranaldo and EDGE. The reference is a one-minute Roll-type measure</w:t>
      </w:r>
      <w:r>
        <w:t xml:space="preserve"> </w:t>
      </w:r>
      <w:r>
        <w:t xml:space="preserve">constructed from transaction-price bar closes. The exercise therefore</w:t>
      </w:r>
      <w:r>
        <w:t xml:space="preserve"> </w:t>
      </w:r>
      <w:r>
        <w:t xml:space="preserve">evaluates agreement with a common proxy, rather than identifying the</w:t>
      </w:r>
      <w:r>
        <w:t xml:space="preserve"> </w:t>
      </w:r>
      <w:r>
        <w:t xml:space="preserve">estimator closest to an observed fundamental price or a quote-based</w:t>
      </w:r>
      <w:r>
        <w:t xml:space="preserve"> </w:t>
      </w:r>
      <w:r>
        <w:t xml:space="preserve">ground truth.</w:t>
      </w:r>
    </w:p>
    <w:p>
      <w:pPr>
        <w:pStyle w:val="BodyText"/>
      </w:pPr>
      <w:r>
        <w:t xml:space="preserve">The original expectations were recorded before provider performance</w:t>
      </w:r>
      <w:r>
        <w:t xml:space="preserve"> </w:t>
      </w:r>
      <w:r>
        <w:t xml:space="preserve">was calculated. EDGE was expected to dominate accuracy and</w:t>
      </w:r>
      <w:r>
        <w:t xml:space="preserve"> </w:t>
      </w:r>
      <w:r>
        <w:t xml:space="preserve">negative-estimate rates. CS was expected to exhibit downward bias in</w:t>
      </w:r>
      <w:r>
        <w:t xml:space="preserve"> </w:t>
      </w:r>
      <w:r>
        <w:t xml:space="preserve">thin or non-continuous markets. Estimator rankings were expected to be</w:t>
      </w:r>
      <w:r>
        <w:t xml:space="preserve"> </w:t>
      </w:r>
      <w:r>
        <w:t xml:space="preserve">broadly stable across asset classes, while error levels were expected to</w:t>
      </w:r>
      <w:r>
        <w:t xml:space="preserve"> </w:t>
      </w:r>
      <w:r>
        <w:t xml:space="preserve">diverge most in crypto and low-liquidity equities. These directional</w:t>
      </w:r>
      <w:r>
        <w:t xml:space="preserve"> </w:t>
      </w:r>
      <w:r>
        <w:t xml:space="preserve">expectations remain the benchmark for interpretation even where the</w:t>
      </w:r>
      <w:r>
        <w:t xml:space="preserve"> </w:t>
      </w:r>
      <w:r>
        <w:t xml:space="preserve">results contradict them. The selected equity tiers represent liquidity,</w:t>
      </w:r>
      <w:r>
        <w:t xml:space="preserve"> </w:t>
      </w:r>
      <w:r>
        <w:t xml:space="preserve">not a separately validated small-cap classification.</w:t>
      </w:r>
    </w:p>
    <w:p>
      <w:pPr>
        <w:pStyle w:val="BodyText"/>
      </w:pPr>
      <w:r>
        <w:t xml:space="preserve">The contribution is an explicitly comparable asset-day horse race</w:t>
      </w:r>
      <w:r>
        <w:t xml:space="preserve"> </w:t>
      </w:r>
      <w:r>
        <w:t xml:space="preserve">under a frozen benchmark and transparent daily mappings. Accuracy uses</w:t>
      </w:r>
      <w:r>
        <w:t xml:space="preserve"> </w:t>
      </w:r>
      <w:r>
        <w:t xml:space="preserve">identical observations for competing methods, while failure and</w:t>
      </w:r>
      <w:r>
        <w:t xml:space="preserve"> </w:t>
      </w:r>
      <w:r>
        <w:t xml:space="preserve">raw-negative rates retain their own appropriate denominators. The</w:t>
      </w:r>
      <w:r>
        <w:t xml:space="preserve"> </w:t>
      </w:r>
      <w:r>
        <w:t xml:space="preserve">completed classes span equities, ETFs, futures and crypto; official FX</w:t>
      </w:r>
      <w:r>
        <w:t xml:space="preserve"> </w:t>
      </w:r>
      <w:r>
        <w:t xml:space="preserve">access remains blocked. Within-class liquidity stratification permits</w:t>
      </w:r>
      <w:r>
        <w:t xml:space="preserve"> </w:t>
      </w:r>
      <w:r>
        <w:t xml:space="preserve">conditional comparisons without treating turnover in unlike units as a</w:t>
      </w:r>
      <w:r>
        <w:t xml:space="preserve"> </w:t>
      </w:r>
      <w:r>
        <w:t xml:space="preserve">universal cross-market scale. Prespecified sensitivities examine</w:t>
      </w:r>
      <w:r>
        <w:t xml:space="preserve"> </w:t>
      </w:r>
      <w:r>
        <w:t xml:space="preserve">coverage, weighting, input adjustment and negative correction, while a</w:t>
      </w:r>
      <w:r>
        <w:t xml:space="preserve"> </w:t>
      </w:r>
      <w:r>
        <w:t xml:space="preserve">separate cross-fitted exercise describes error predictability.</w:t>
      </w:r>
    </w:p>
    <w:p>
      <w:pPr>
        <w:pStyle w:val="BodyText"/>
      </w:pPr>
      <w:r>
        <w:t xml:space="preserve">The paper distinguishes confirmatory primary analysis from</w:t>
      </w:r>
      <w:r>
        <w:t xml:space="preserve"> </w:t>
      </w:r>
      <w:r>
        <w:t xml:space="preserve">prespecified robustness and secondary diagnostics. The primary</w:t>
      </w:r>
      <w:r>
        <w:t xml:space="preserve"> </w:t>
      </w:r>
      <w:r>
        <w:t xml:space="preserve">comparison answers the frozen hypotheses; the sensitivities assess their</w:t>
      </w:r>
      <w:r>
        <w:t xml:space="preserve"> </w:t>
      </w:r>
      <w:r>
        <w:t xml:space="preserve">boundaries without replacing the original sample. Predictive error</w:t>
      </w:r>
      <w:r>
        <w:t xml:space="preserve"> </w:t>
      </w:r>
      <w:r>
        <w:t xml:space="preserve">models are interpretive diagnostics rather than a mechanism for</w:t>
      </w:r>
      <w:r>
        <w:t xml:space="preserve"> </w:t>
      </w:r>
      <w:r>
        <w:t xml:space="preserve">correcting spreads or revising the preferred specification. This</w:t>
      </w:r>
      <w:r>
        <w:t xml:space="preserve"> </w:t>
      </w:r>
      <w:r>
        <w:t xml:space="preserve">separation prevents a favorable sensitivity or model fit from being</w:t>
      </w:r>
      <w:r>
        <w:t xml:space="preserve"> </w:t>
      </w:r>
      <w:r>
        <w:t xml:space="preserve">substituted retrospectively for the intended comparison.</w:t>
      </w:r>
    </w:p>
    <w:p>
      <w:pPr>
        <w:pStyle w:val="BodyText"/>
      </w:pPr>
      <w:r>
        <w:t xml:space="preserve">The evidence supports overall EDGE leadership, particularly in</w:t>
      </w:r>
      <w:r>
        <w:t xml:space="preserve"> </w:t>
      </w:r>
      <w:r>
        <w:t xml:space="preserve">futures and crypto, but does not support universal dominance. ETFs favor</w:t>
      </w:r>
      <w:r>
        <w:t xml:space="preserve"> </w:t>
      </w:r>
      <w:r>
        <w:t xml:space="preserve">CS, and stock conclusions depend on the loss function. Estimator ranking</w:t>
      </w:r>
      <w:r>
        <w:t xml:space="preserve"> </w:t>
      </w:r>
      <w:r>
        <w:t xml:space="preserve">is not stable across asset classes, contradicting the original</w:t>
      </w:r>
      <w:r>
        <w:t xml:space="preserve"> </w:t>
      </w:r>
      <w:r>
        <w:t xml:space="preserve">ranking-stability expectation. Positive CS bias in LOW-tier cells</w:t>
      </w:r>
      <w:r>
        <w:t xml:space="preserve"> </w:t>
      </w:r>
      <w:r>
        <w:t xml:space="preserve">contradicts the directional downward-bias expectation. Some</w:t>
      </w:r>
      <w:r>
        <w:t xml:space="preserve"> </w:t>
      </w:r>
      <w:r>
        <w:t xml:space="preserve">negative-rate and error-level expectations receive only partial support.</w:t>
      </w:r>
      <w:r>
        <w:t xml:space="preserve"> </w:t>
      </w:r>
      <w:r>
        <w:t xml:space="preserve">The relevant economic conclusion is thus conditional method choice,</w:t>
      </w:r>
      <w:r>
        <w:t xml:space="preserve"> </w:t>
      </w:r>
      <w:r>
        <w:t xml:space="preserve">subject to benchmark selection and the sampled markets.</w:t>
      </w:r>
    </w:p>
    <w:bookmarkEnd w:id="10"/>
    <w:bookmarkStart w:id="15" w:name="data-and-sample-construction"/>
    <w:p>
      <w:pPr>
        <w:pStyle w:val="Heading2"/>
        <w:keepNext/>
      </w:pPr>
      <w:r>
        <w:t xml:space="preserve">2. Data and Sample</w:t>
      </w:r>
      <w:r>
        <w:t xml:space="preserve"> </w:t>
      </w:r>
      <w:r>
        <w:t xml:space="preserve">Construction</w:t>
      </w:r>
    </w:p>
    <w:p>
      <w:pPr>
        <w:pStyle w:val="FirstParagraph"/>
      </w:pPr>
      <w:r>
        <w:t xml:space="preserve">The original research horizon spans the project’s intended historical</w:t>
      </w:r>
      <w:r>
        <w:t xml:space="preserve"> </w:t>
      </w:r>
      <w:r>
        <w:t xml:space="preserve">study period, but available common support differs by class. The final</w:t>
      </w:r>
      <w:r>
        <w:t xml:space="preserve"> </w:t>
      </w:r>
      <w:r>
        <w:t xml:space="preserve">universe covers stocks, ETFs, futures and crypto. FX remains in scope</w:t>
      </w:r>
      <w:r>
        <w:t xml:space="preserve"> </w:t>
      </w:r>
      <w:r>
        <w:t xml:space="preserve">but unavailable because access to the official RiskLab archive was</w:t>
      </w:r>
      <w:r>
        <w:t xml:space="preserve"> </w:t>
      </w:r>
      <w:r>
        <w:t xml:space="preserve">blocked; no substitute FX data were used. This is a source limitation,</w:t>
      </w:r>
      <w:r>
        <w:t xml:space="preserve"> </w:t>
      </w:r>
      <w:r>
        <w:t xml:space="preserve">not an intentional exclusion based on market behavior or estimator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Stock and ETF estimator inputs are Bloomberg adjusted daily OHLC. The</w:t>
      </w:r>
      <w:r>
        <w:t xml:space="preserve"> </w:t>
      </w:r>
      <w:r>
        <w:t xml:space="preserve">saved acquisition specifies capital-change and normal cash-dividend</w:t>
      </w:r>
      <w:r>
        <w:t xml:space="preserve"> </w:t>
      </w:r>
      <w:r>
        <w:t xml:space="preserve">adjustment, while abnormal-dividend adjustment remains unspecified.</w:t>
      </w:r>
      <w:r>
        <w:t xml:space="preserve"> </w:t>
      </w:r>
      <w:r>
        <w:t xml:space="preserve">Unadjusted Bloomberg data serve only as robustness inputs. Their</w:t>
      </w:r>
      <w:r>
        <w:t xml:space="preserve"> </w:t>
      </w:r>
      <w:r>
        <w:t xml:space="preserve">benchmark uses official First Rate one-minute files accessed through</w:t>
      </w:r>
      <w:r>
        <w:t xml:space="preserve"> </w:t>
      </w:r>
      <w:r>
        <w:t xml:space="preserve">RiskLab. Local equity daily aggregates are validation material;</w:t>
      </w:r>
      <w:r>
        <w:t xml:space="preserve"> </w:t>
      </w:r>
      <w:r>
        <w:t xml:space="preserve">equivalence with Bloomberg sessions and adjustment conventions is not</w:t>
      </w:r>
      <w:r>
        <w:t xml:space="preserve"> </w:t>
      </w:r>
      <w:r>
        <w:t xml:space="preserve">assumed. Bloomberg daily bid and ask fields are not the intraday</w:t>
      </w:r>
      <w:r>
        <w:t xml:space="preserve"> </w:t>
      </w:r>
      <w:r>
        <w:t xml:space="preserve">benchmark.</w:t>
      </w:r>
    </w:p>
    <w:p>
      <w:pPr>
        <w:pStyle w:val="BodyText"/>
      </w:pPr>
      <w:r>
        <w:t xml:space="preserve">Futures daily OHLC and the benchmark originate from individual,</w:t>
      </w:r>
      <w:r>
        <w:t xml:space="preserve"> </w:t>
      </w:r>
      <w:r>
        <w:t xml:space="preserve">unadjusted First Rate contracts selected using the provider’s</w:t>
      </w:r>
      <w:r>
        <w:t xml:space="preserve"> </w:t>
      </w:r>
      <w:r>
        <w:t xml:space="preserve">contract-date mapping. A single selected contract supplies the entire</w:t>
      </w:r>
      <w:r>
        <w:t xml:space="preserve"> </w:t>
      </w:r>
      <w:r>
        <w:t xml:space="preserve">overnight trade-date session. Continuous back-adjusted prices and silent</w:t>
      </w:r>
      <w:r>
        <w:t xml:space="preserve"> </w:t>
      </w:r>
      <w:r>
        <w:t xml:space="preserve">fallback contracts are prohibited, and required estimator context cannot</w:t>
      </w:r>
      <w:r>
        <w:t xml:space="preserve"> </w:t>
      </w:r>
      <w:r>
        <w:t xml:space="preserve">cross a selected-contract boundary. Crypto daily OHLC and Roll similarly</w:t>
      </w:r>
      <w:r>
        <w:t xml:space="preserve"> </w:t>
      </w:r>
      <w:r>
        <w:t xml:space="preserve">derive from validated First Rate minute observations under a common</w:t>
      </w:r>
      <w:r>
        <w:t xml:space="preserve"> </w:t>
      </w:r>
      <w:r>
        <w:t xml:space="preserve">provider quote basis. This shared input source creates dependence</w:t>
      </w:r>
      <w:r>
        <w:t xml:space="preserve"> </w:t>
      </w:r>
      <w:r>
        <w:t xml:space="preserve">between daily estimates and benchmark errors that is absent from a fully</w:t>
      </w:r>
      <w:r>
        <w:t xml:space="preserve"> </w:t>
      </w:r>
      <w:r>
        <w:t xml:space="preserve">independent validation design.</w:t>
      </w:r>
    </w:p>
    <w:p>
      <w:pPr>
        <w:pStyle w:val="BodyText"/>
      </w:pPr>
      <w:r>
        <w:t xml:space="preserve">Each completed class contains 9 selected assets or futures roots,</w:t>
      </w:r>
      <w:r>
        <w:t xml:space="preserve"> </w:t>
      </w:r>
      <w:r>
        <w:t xml:space="preserve">with three assigned to each liquidity tier. Liquidity tiers are</w:t>
      </w:r>
      <w:r>
        <w:t xml:space="preserve"> </w:t>
      </w:r>
      <w:r>
        <w:t xml:space="preserve">descriptive classifications calibrated on 2024 turnover, rather than</w:t>
      </w:r>
      <w:r>
        <w:t xml:space="preserve"> </w:t>
      </w:r>
      <w:r>
        <w:t xml:space="preserve">trading signals or rankings based on estimator outcomes. Ranking is</w:t>
      </w:r>
      <w:r>
        <w:t xml:space="preserve"> </w:t>
      </w:r>
      <w:r>
        <w:t xml:space="preserve">independent within each class, and deterministic within-tier rank</w:t>
      </w:r>
      <w:r>
        <w:t xml:space="preserve"> </w:t>
      </w:r>
      <w:r>
        <w:t xml:space="preserve">targets determine the sample rather than familiar security names.</w:t>
      </w:r>
      <w:r>
        <w:t xml:space="preserve"> </w:t>
      </w:r>
      <w:r>
        <w:t xml:space="preserve">Security-type corrections were made before the analytic comparison. The</w:t>
      </w:r>
      <w:r>
        <w:t xml:space="preserve"> </w:t>
      </w:r>
      <w:r>
        <w:t xml:space="preserve">complete universe appears in the appendix notes; the eligibility and</w:t>
      </w:r>
      <w:r>
        <w:t xml:space="preserve"> </w:t>
      </w:r>
      <w:r>
        <w:t xml:space="preserve">identity audits remain part of the frozen lineage. REIT common shares</w:t>
      </w:r>
      <w:r>
        <w:t xml:space="preserve"> </w:t>
      </w:r>
      <w:r>
        <w:t xml:space="preserve">and ADR/ADS lines are permitted, while unresolved IMDX historical</w:t>
      </w:r>
      <w:r>
        <w:t xml:space="preserve"> </w:t>
      </w:r>
      <w:r>
        <w:t xml:space="preserve">continuity is retained as a limitation rather than repaired by</w:t>
      </w:r>
      <w:r>
        <w:t xml:space="preserve"> </w:t>
      </w:r>
      <w:r>
        <w:t xml:space="preserve">discretionary ticker stitching.</w:t>
      </w:r>
    </w:p>
    <w:p>
      <w:pPr>
        <w:pStyle w:val="BodyText"/>
      </w:pPr>
      <w:r>
        <w:t xml:space="preserve">Stock design support runs from 2019-08-01 through 2025-12-31. ETF</w:t>
      </w:r>
      <w:r>
        <w:t xml:space="preserve"> </w:t>
      </w:r>
      <w:r>
        <w:t xml:space="preserve">design support runs from 2020-09-15 through 2025-12-31. Futures primary</w:t>
      </w:r>
      <w:r>
        <w:t xml:space="preserve"> </w:t>
      </w:r>
      <w:r>
        <w:t xml:space="preserve">support is confined to 2024, from 2024-01-02 through 2024-12-31. Crypto</w:t>
      </w:r>
      <w:r>
        <w:t xml:space="preserve"> </w:t>
      </w:r>
      <w:r>
        <w:t xml:space="preserve">design support runs from 2022-02-01 through 2025-12-31. These are frozen</w:t>
      </w:r>
      <w:r>
        <w:t xml:space="preserve"> </w:t>
      </w:r>
      <w:r>
        <w:t xml:space="preserve">design boundaries, not a claim that every estimator is defined on every</w:t>
      </w:r>
      <w:r>
        <w:t xml:space="preserve"> </w:t>
      </w:r>
      <w:r>
        <w:t xml:space="preserve">endpoint. Within each class, exact common source dates establish</w:t>
      </w:r>
      <w:r>
        <w:t xml:space="preserve"> </w:t>
      </w:r>
      <w:r>
        <w:t xml:space="preserve">temporal comparability across liquidity tiers before outcome-definedness</w:t>
      </w:r>
      <w:r>
        <w:t xml:space="preserve"> </w:t>
      </w:r>
      <w:r>
        <w:t xml:space="preserve">is applied. Extra asset-specific historical support is supplementary.</w:t>
      </w:r>
      <w:r>
        <w:t xml:space="preserve"> </w:t>
      </w:r>
      <w:r>
        <w:t xml:space="preserve">The pooled comparison is neither a single balanced historical panel nor</w:t>
      </w:r>
      <w:r>
        <w:t xml:space="preserve"> </w:t>
      </w:r>
      <w:r>
        <w:t xml:space="preserve">a design that identifies a pure asset-class effect holding calendar</w:t>
      </w:r>
      <w:r>
        <w:t xml:space="preserve"> </w:t>
      </w:r>
      <w:r>
        <w:t xml:space="preserve">conditions fixed.</w:t>
      </w:r>
    </w:p>
    <w:p>
      <w:pPr>
        <w:pStyle w:val="BodyText"/>
      </w:pPr>
      <w:r>
        <w:t xml:space="preserve">Equity benchmark bars are retained only from 09:30 inclusive to 16:00</w:t>
      </w:r>
      <w:r>
        <w:t xml:space="preserve"> </w:t>
      </w:r>
      <w:r>
        <w:t xml:space="preserve">exclusive in America/New_York; crypto uses UTC calendar days, and the</w:t>
      </w:r>
      <w:r>
        <w:t xml:space="preserve"> </w:t>
      </w:r>
      <w:r>
        <w:t xml:space="preserve">selected futures use verified previous-evening 18:00 to trade-date 17:00</w:t>
      </w:r>
      <w:r>
        <w:t xml:space="preserve"> </w:t>
      </w:r>
      <w:r>
        <w:t xml:space="preserve">sessions. Maintenance periods, missing minutes and absent days are not</w:t>
      </w:r>
      <w:r>
        <w:t xml:space="preserve"> </w:t>
      </w:r>
      <w:r>
        <w:t xml:space="preserve">filled. Sparse bars and zero-volume observations are retained with</w:t>
      </w:r>
      <w:r>
        <w:t xml:space="preserve"> </w:t>
      </w:r>
      <w:r>
        <w:t xml:space="preserve">diagnostics. Daily context follows the frozen scheduled-source grid; a</w:t>
      </w:r>
      <w:r>
        <w:t xml:space="preserve"> </w:t>
      </w:r>
      <w:r>
        <w:t xml:space="preserve">missing required period is not replaced by the next available</w:t>
      </w:r>
      <w:r>
        <w:t xml:space="preserve"> </w:t>
      </w:r>
      <w:r>
        <w:t xml:space="preserve">observation. This distinction preserves the intended estimator horizon</w:t>
      </w:r>
      <w:r>
        <w:t xml:space="preserve"> </w:t>
      </w:r>
      <w:r>
        <w:t xml:space="preserve">even when the scored common sample has gaps.</w:t>
      </w:r>
    </w:p>
    <w:p>
      <w:pPr>
        <w:pStyle w:val="BodyText"/>
      </w:pPr>
      <w:r>
        <w:t xml:space="preserve">The frozen design contains 38,232 eligible asset-days, of which</w:t>
      </w:r>
      <w:r>
        <w:t xml:space="preserve"> </w:t>
      </w:r>
      <w:r>
        <w:t xml:space="preserve">24,377 are common-defined for the primary comparison. The common sample</w:t>
      </w:r>
      <w:r>
        <w:t xml:space="preserve"> </w:t>
      </w:r>
      <w:r>
        <w:t xml:space="preserve">contains 9,707 stock, 3,175 ETF, 1,667 futures and 9,828 crypto</w:t>
      </w:r>
      <w:r>
        <w:t xml:space="preserve"> </w:t>
      </w:r>
      <w:r>
        <w:t xml:space="preserve">asset-days. Roll is undefined on 35.93% of all design-eligible days and</w:t>
      </w:r>
      <w:r>
        <w:t xml:space="preserve"> </w:t>
      </w:r>
      <w:r>
        <w:t xml:space="preserve">63.22% of ETF design days. Only 117 further asset-days are lost between</w:t>
      </w:r>
      <w:r>
        <w:t xml:space="preserve"> </w:t>
      </w:r>
      <w:r>
        <w:t xml:space="preserve">the Roll-defined set and the all-method common sample. Method-defined</w:t>
      </w:r>
      <w:r>
        <w:t xml:space="preserve"> </w:t>
      </w:r>
      <w:r>
        <w:t xml:space="preserve">sets overlap, so their individual failure counts cannot be added as</w:t>
      </w:r>
      <w:r>
        <w:t xml:space="preserve"> </w:t>
      </w:r>
      <w:r>
        <w:t xml:space="preserve">sequential losses. The Appendix</w:t>
      </w:r>
      <w:r>
        <w:t xml:space="preserve"> </w:t>
      </w:r>
      <w:r>
        <w:t xml:space="preserve">Table traces these parallel sets, and Figure 4</w:t>
      </w:r>
      <w:r>
        <w:t xml:space="preserve"> </w:t>
      </w:r>
      <w:r>
        <w:t xml:space="preserve">shows benchmark availability and coverage sensitivities. Roll is the</w:t>
      </w:r>
      <w:r>
        <w:t xml:space="preserve"> </w:t>
      </w:r>
      <w:r>
        <w:t xml:space="preserve">principal attrition bottleneck, especially for ETFs. The accuracy</w:t>
      </w:r>
      <w:r>
        <w:t xml:space="preserve"> </w:t>
      </w:r>
      <w:r>
        <w:t xml:space="preserve">estimand is consequently conditional on joint computability, not</w:t>
      </w:r>
      <w:r>
        <w:t xml:space="preserve"> </w:t>
      </w:r>
      <w:r>
        <w:t xml:space="preserve">representative performance over all intended asset-days.</w:t>
      </w:r>
    </w:p>
    <w:bookmarkStart w:id="14" w:name="X712d8720b3af4d6426d55d4a0a2645665b9eb36"/>
    <w:p>
      <w:pPr>
        <w:pStyle w:val="Heading3"/>
        <w:keepNext/>
        <w:pageBreakBefore/>
      </w:pPr>
      <w:r>
        <w:t xml:space="preserve">Figure</w:t>
      </w:r>
      <w:r>
        <w:t xml:space="preserve"> </w:t>
      </w:r>
      <w:r>
        <w:t xml:space="preserve">4. Roll undefinedness and pair-coverage sensitivities. The right panel</w:t>
      </w:r>
      <w:r>
        <w:t xml:space="preserve"> </w:t>
      </w:r>
      <w:r>
        <w:t xml:space="preserve">is robustness evidence, not the primary sample.</w:t>
      </w:r>
    </w:p>
    <w:p>
      <w:pPr>
        <w:pStyle w:val="CaptionedFigure"/>
      </w:pPr>
      <w:r>
        <w:drawing>
          <wp:inline>
            <wp:extent cx="6400800" cy="2839804"/>
            <wp:effectExtent b="0" l="0" r="0" t="0"/>
            <wp:docPr descr="Figure 4. Roll undefinedness and pair-coverage sensitivities. The right panel is robustness evidence, not the primary sample." title="" id="12" name="Picture"/>
            <a:graphic>
              <a:graphicData uri="http://schemas.openxmlformats.org/drawingml/2006/picture">
                <pic:pic>
                  <pic:nvPicPr>
                    <pic:cNvPr descr="figure4_benchmark_cover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3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Roll undefinedness and</w:t>
      </w:r>
      <w:r>
        <w:t xml:space="preserve"> </w:t>
      </w:r>
      <w:r>
        <w:t xml:space="preserve">pair-coverage sensitivities. The right panel is robustness evidence, not</w:t>
      </w:r>
      <w:r>
        <w:t xml:space="preserve"> </w:t>
      </w:r>
      <w:r>
        <w:t xml:space="preserve">the primary sample.</w:t>
      </w:r>
    </w:p>
    <w:bookmarkEnd w:id="14"/>
    <w:bookmarkEnd w:id="15"/>
    <w:bookmarkStart w:id="17" w:name="methodology"/>
    <w:p>
      <w:pPr>
        <w:pStyle w:val="Heading2"/>
        <w:keepNext/>
      </w:pPr>
      <w:r>
        <w:t xml:space="preserve">3. Methodology</w:t>
      </w:r>
    </w:p>
    <w:p>
      <w:pPr>
        <w:pStyle w:val="FirstParagraph"/>
      </w:pPr>
      <w:r>
        <w:t xml:space="preserve">The unit of observation is the asset-day. Table</w:t>
      </w:r>
      <w:r>
        <w:t xml:space="preserve"> </w:t>
      </w:r>
      <w:r>
        <w:t xml:space="preserve">1 summarizes required inputs, daily mappings, output conventions and</w:t>
      </w:r>
      <w:r>
        <w:t xml:space="preserve"> </w:t>
      </w:r>
      <w:r>
        <w:t xml:space="preserve">usable counts. The implementation separates mathematical formulae from</w:t>
      </w:r>
      <w:r>
        <w:t xml:space="preserve"> </w:t>
      </w:r>
      <w:r>
        <w:t xml:space="preserve">project-specific temporal assignment. This matters because applying a</w:t>
      </w:r>
      <w:r>
        <w:t xml:space="preserve"> </w:t>
      </w:r>
      <w:r>
        <w:t xml:space="preserve">spread formula over a short surrounding window is not equivalent to</w:t>
      </w:r>
      <w:r>
        <w:t xml:space="preserve"> </w:t>
      </w:r>
      <w:r>
        <w:t xml:space="preserve">observing a target-day effective spread directly.</w:t>
      </w:r>
    </w:p>
    <w:p>
      <w:pPr>
        <w:pStyle w:val="BodyText"/>
      </w:pPr>
      <w:r>
        <w:t xml:space="preserve">For Roll, simple close-to-close returns are computed only when</w:t>
      </w:r>
      <w:r>
        <w:t xml:space="preserve"> </w:t>
      </w:r>
      <w:r>
        <w:t xml:space="preserve">successive retained timestamps are exactly one minute apart. A lag-one</w:t>
      </w:r>
      <w:r>
        <w:t xml:space="preserve"> </w:t>
      </w:r>
      <w:r>
        <w:t xml:space="preserve">covariance pair requires two consecutive valid returns and therefore a</w:t>
      </w:r>
      <w:r>
        <w:t xml:space="preserve"> </w:t>
      </w:r>
      <w:r>
        <w:t xml:space="preserve">physical chain of three equally spaced closes within the same session.</w:t>
      </w:r>
      <w:r>
        <w:t xml:space="preserve"> </w:t>
      </w:r>
      <w:r>
        <w:t xml:space="preserve">The sample covariance uses separately centered paired-return vectors and</w:t>
      </w:r>
      <w:r>
        <w:t xml:space="preserve"> </w:t>
      </w:r>
      <w:r>
        <w:t xml:space="preserve">the ordinary sample denominator. The mathematical minimum is two valid</w:t>
      </w:r>
      <w:r>
        <w:t xml:space="preserve"> </w:t>
      </w:r>
      <w:r>
        <w:t xml:space="preserve">covariance pairs; for negative covariance the relative spread equals</w:t>
      </w:r>
      <w:r>
        <w:t xml:space="preserve"> </w:t>
      </w:r>
      <w:r>
        <w:t xml:space="preserve">twice the square root of its absolute value. Nonnegative covariance and</w:t>
      </w:r>
      <w:r>
        <w:t xml:space="preserve"> </w:t>
      </w:r>
      <w:r>
        <w:t xml:space="preserve">insufficient pairs leave the benchmark undefined, never converted to</w:t>
      </w:r>
      <w:r>
        <w:t xml:space="preserve"> </w:t>
      </w:r>
      <w:r>
        <w:t xml:space="preserve">zero. No gaps are bridged and no minutes are synthesized. The minimum</w:t>
      </w:r>
      <w:r>
        <w:t xml:space="preserve"> </w:t>
      </w:r>
      <w:r>
        <w:t xml:space="preserve">establishes mathematical computability rather than statistical</w:t>
      </w:r>
      <w:r>
        <w:t xml:space="preserve"> </w:t>
      </w:r>
      <w:r>
        <w:t xml:space="preserve">reliability; coverage diagnostics remain available without imposing an</w:t>
      </w:r>
      <w:r>
        <w:t xml:space="preserve"> </w:t>
      </w:r>
      <w:r>
        <w:t xml:space="preserve">additional primary reliability cutoff.</w:t>
      </w:r>
    </w:p>
    <w:p>
      <w:pPr>
        <w:pStyle w:val="BodyText"/>
      </w:pPr>
      <w:r>
        <w:t xml:space="preserve">The percentage-return adaptation follows the interpretation</w:t>
      </w:r>
      <w:r>
        <w:t xml:space="preserve"> </w:t>
      </w:r>
      <w:r>
        <w:t xml:space="preserve">documented for Roll’s implicit-spread logic. It remains a sampled</w:t>
      </w:r>
      <w:r>
        <w:t xml:space="preserve"> </w:t>
      </w:r>
      <w:r>
        <w:t xml:space="preserve">transaction-close proxy rather than a quote-based effective spread or</w:t>
      </w:r>
      <w:r>
        <w:t xml:space="preserve"> </w:t>
      </w:r>
      <w:r>
        <w:t xml:space="preserve">NBBO execution-cost measure. Aggregation, non-spread price variation and</w:t>
      </w:r>
      <w:r>
        <w:t xml:space="preserve"> </w:t>
      </w:r>
      <w:r>
        <w:t xml:space="preserve">finite-sample covariance behavior can therefore contribute to</w:t>
      </w:r>
      <w:r>
        <w:t xml:space="preserve"> </w:t>
      </w:r>
      <w:r>
        <w:t xml:space="preserve">disagreement. A low error against Roll establishes proximity to this</w:t>
      </w:r>
      <w:r>
        <w:t xml:space="preserve"> </w:t>
      </w:r>
      <w:r>
        <w:t xml:space="preserve">benchmark under the chosen conventions, not accuracy against an</w:t>
      </w:r>
      <w:r>
        <w:t xml:space="preserve"> </w:t>
      </w:r>
      <w:r>
        <w:t xml:space="preserve">independently observed economic cost.</w:t>
      </w:r>
    </w:p>
    <w:p>
      <w:pPr>
        <w:pStyle w:val="BodyText"/>
      </w:pPr>
      <w:r>
        <w:t xml:space="preserve">CS uses high-low information to separate components associated with</w:t>
      </w:r>
      <w:r>
        <w:t xml:space="preserve"> </w:t>
      </w:r>
      <w:r>
        <w:t xml:space="preserve">price variation and spread. The implementation applies the official</w:t>
      </w:r>
      <w:r>
        <w:t xml:space="preserve"> </w:t>
      </w:r>
      <w:r>
        <w:t xml:space="preserve">additive overnight adjustment and computes the nonlinear spread from</w:t>
      </w:r>
      <w:r>
        <w:t xml:space="preserve"> </w:t>
      </w:r>
      <w:r>
        <w:t xml:space="preserve">adjacent-session range moments. The project assigns a daily value by</w:t>
      </w:r>
      <w:r>
        <w:t xml:space="preserve"> </w:t>
      </w:r>
      <w:r>
        <w:t xml:space="preserve">averaging the corrected intervals immediately before and after the</w:t>
      </w:r>
      <w:r>
        <w:t xml:space="preserve"> </w:t>
      </w:r>
      <w:r>
        <w:t xml:space="preserve">target session. Both intervals are required, and each finite raw</w:t>
      </w:r>
      <w:r>
        <w:t xml:space="preserve"> </w:t>
      </w:r>
      <w:r>
        <w:t xml:space="preserve">interval is floored separately before averaging. This is an explicit</w:t>
      </w:r>
      <w:r>
        <w:t xml:space="preserve"> </w:t>
      </w:r>
      <w:r>
        <w:t xml:space="preserve">project mapping supported by overlapping-interval applications, not an</w:t>
      </w:r>
      <w:r>
        <w:t xml:space="preserve"> </w:t>
      </w:r>
      <w:r>
        <w:t xml:space="preserve">additional closed-form estimator attributed to the authors.</w:t>
      </w:r>
    </w:p>
    <w:p>
      <w:pPr>
        <w:pStyle w:val="BodyText"/>
      </w:pPr>
      <w:r>
        <w:t xml:space="preserve">AR combines the target close with the midpoint of daily high and low</w:t>
      </w:r>
      <w:r>
        <w:t xml:space="preserve"> </w:t>
      </w:r>
      <w:r>
        <w:t xml:space="preserve">log prices on the target and next scheduled session. Its two-day moment</w:t>
      </w:r>
      <w:r>
        <w:t xml:space="preserve"> </w:t>
      </w:r>
      <w:r>
        <w:t xml:space="preserve">is assigned to the target date, with the published zero-floor correction</w:t>
      </w:r>
      <w:r>
        <w:t xml:space="preserve"> </w:t>
      </w:r>
      <w:r>
        <w:t xml:space="preserve">applied before taking the square root. A following close is unnecessary</w:t>
      </w:r>
      <w:r>
        <w:t xml:space="preserve"> </w:t>
      </w:r>
      <w:r>
        <w:t xml:space="preserve">for this particular moment. The common primary preprocessing does not</w:t>
      </w:r>
      <w:r>
        <w:t xml:space="preserve"> </w:t>
      </w:r>
      <w:r>
        <w:t xml:space="preserve">import the author empirical implementation’s carry-forward or other</w:t>
      </w:r>
      <w:r>
        <w:t xml:space="preserve"> </w:t>
      </w:r>
      <w:r>
        <w:t xml:space="preserve">sample repairs: missing formula-required inputs remain missing rather</w:t>
      </w:r>
      <w:r>
        <w:t xml:space="preserve"> </w:t>
      </w:r>
      <w:r>
        <w:t xml:space="preserve">than becoming synthetic observations.</w:t>
      </w:r>
    </w:p>
    <w:p>
      <w:pPr>
        <w:pStyle w:val="BodyText"/>
      </w:pPr>
      <w:r>
        <w:t xml:space="preserve">EDGE combines information from all daily OHLC log-price components</w:t>
      </w:r>
      <w:r>
        <w:t xml:space="preserve"> </w:t>
      </w:r>
      <w:r>
        <w:t xml:space="preserve">through its efficient moment combination. The primary project mapping</w:t>
      </w:r>
      <w:r>
        <w:t xml:space="preserve"> </w:t>
      </w:r>
      <w:r>
        <w:t xml:space="preserve">uses the centered three-session sample surrounding the target date and</w:t>
      </w:r>
      <w:r>
        <w:t xml:space="preserve"> </w:t>
      </w:r>
      <w:r>
        <w:t xml:space="preserve">the published paper’s zero-floor convention. This estimates a local</w:t>
      </w:r>
      <w:r>
        <w:t xml:space="preserve"> </w:t>
      </w:r>
      <w:r>
        <w:t xml:space="preserve">root-mean-square spread, not an instantaneous target-day spread. The</w:t>
      </w:r>
      <w:r>
        <w:t xml:space="preserve"> </w:t>
      </w:r>
      <w:r>
        <w:t xml:space="preserve">short centered window is a project choice, not an author recommendation</w:t>
      </w:r>
      <w:r>
        <w:t xml:space="preserve"> </w:t>
      </w:r>
      <w:r>
        <w:t xml:space="preserve">for an optimal daily horizon. The official package’s absolute-root</w:t>
      </w:r>
      <w:r>
        <w:t xml:space="preserve"> </w:t>
      </w:r>
      <w:r>
        <w:t xml:space="preserve">convention is a named sensitivity only. These mappings use</w:t>
      </w:r>
      <w:r>
        <w:t xml:space="preserve"> </w:t>
      </w:r>
      <w:r>
        <w:t xml:space="preserve">future-session context for ex-post measurement and are not executable</w:t>
      </w:r>
      <w:r>
        <w:t xml:space="preserve"> </w:t>
      </w:r>
      <w:r>
        <w:t xml:space="preserve">contemporaneous trading signals.</w:t>
      </w:r>
    </w:p>
    <w:p>
      <w:pPr>
        <w:pStyle w:val="BodyText"/>
      </w:pPr>
      <w:r>
        <w:t xml:space="preserve">The common-defined accuracy sample is the conjunction of design</w:t>
      </w:r>
      <w:r>
        <w:t xml:space="preserve"> </w:t>
      </w:r>
      <w:r>
        <w:t xml:space="preserve">eligibility and defined Roll, CS, AR and EDGE outputs. Competing methods</w:t>
      </w:r>
      <w:r>
        <w:t xml:space="preserve"> </w:t>
      </w:r>
      <w:r>
        <w:t xml:space="preserve">are scored on identical asset-days so that differences in missingness</w:t>
      </w:r>
      <w:r>
        <w:t xml:space="preserve"> </w:t>
      </w:r>
      <w:r>
        <w:t xml:space="preserve">cannot mechanically create different accuracy samples. A finite negative</w:t>
      </w:r>
      <w:r>
        <w:t xml:space="preserve"> </w:t>
      </w:r>
      <w:r>
        <w:t xml:space="preserve">raw estimate remains mathematically computable even when its corrected</w:t>
      </w:r>
      <w:r>
        <w:t xml:space="preserve"> </w:t>
      </w:r>
      <w:r>
        <w:t xml:space="preserve">primary spread equals zero. Failure rates instead use all</w:t>
      </w:r>
      <w:r>
        <w:t xml:space="preserve"> </w:t>
      </w:r>
      <w:r>
        <w:t xml:space="preserve">design-eligible days; raw-negative rates use only the method’s finite</w:t>
      </w:r>
      <w:r>
        <w:t xml:space="preserve"> </w:t>
      </w:r>
      <w:r>
        <w:t xml:space="preserve">raw-computable design days. Neither denominator is replaced by the</w:t>
      </w:r>
      <w:r>
        <w:t xml:space="preserve"> </w:t>
      </w:r>
      <w:r>
        <w:t xml:space="preserve">common accuracy sample.</w:t>
      </w:r>
    </w:p>
    <w:p>
      <w:pPr>
        <w:pStyle w:val="BodyText"/>
      </w:pPr>
      <w:r>
        <w:t xml:space="preserve">Signed error is estimator spread minus Roll spread. Bias is its mean,</w:t>
      </w:r>
      <w:r>
        <w:t xml:space="preserve"> </w:t>
      </w:r>
      <w:r>
        <w:t xml:space="preserve">MAE the mean absolute error, and RMSE the square root of mean squared</w:t>
      </w:r>
      <w:r>
        <w:t xml:space="preserve"> </w:t>
      </w:r>
      <w:r>
        <w:t xml:space="preserve">error. Relative outputs are converted to basis points for presentation.</w:t>
      </w:r>
      <w:r>
        <w:t xml:space="preserve"> </w:t>
      </w:r>
      <w:r>
        <w:t xml:space="preserve">Positive bias means an estimator exceeds Roll on average. Every</w:t>
      </w:r>
      <w:r>
        <w:t xml:space="preserve"> </w:t>
      </w:r>
      <w:r>
        <w:t xml:space="preserve">contributing asset-day has equal primary weight; no trimming,</w:t>
      </w:r>
      <w:r>
        <w:t xml:space="preserve"> </w:t>
      </w:r>
      <w:r>
        <w:t xml:space="preserve">winsorization or magnitude-based exclusion is introduced. MAE measures</w:t>
      </w:r>
      <w:r>
        <w:t xml:space="preserve"> </w:t>
      </w:r>
      <w:r>
        <w:t xml:space="preserve">typical absolute discrepancy, whereas RMSE places greater weight on</w:t>
      </w:r>
      <w:r>
        <w:t xml:space="preserve"> </w:t>
      </w:r>
      <w:r>
        <w:t xml:space="preserve">large errors, allowing the criteria to yield different rankings.</w:t>
      </w:r>
    </w:p>
    <w:p>
      <w:pPr>
        <w:pStyle w:val="BodyText"/>
      </w:pPr>
      <w:r>
        <w:t xml:space="preserve">Inference is restricted to signed bias. The frozen HAC procedure</w:t>
      </w:r>
      <w:r>
        <w:t xml:space="preserve"> </w:t>
      </w:r>
      <w:r>
        <w:t xml:space="preserve">forms chronological date-level mean errors and estimates a</w:t>
      </w:r>
      <w:r>
        <w:t xml:space="preserve"> </w:t>
      </w:r>
      <w:r>
        <w:t xml:space="preserve">count-weighted intercept, preserving the pooled asset-day point</w:t>
      </w:r>
      <w:r>
        <w:t xml:space="preserve"> </w:t>
      </w:r>
      <w:r>
        <w:t xml:space="preserve">estimate. A Bartlett Newey–West covariance estimator uses a</w:t>
      </w:r>
      <w:r>
        <w:t xml:space="preserve"> </w:t>
      </w:r>
      <w:r>
        <w:t xml:space="preserve">deterministic lag rule based only on contributing-date count, without a</w:t>
      </w:r>
      <w:r>
        <w:t xml:space="preserve"> </w:t>
      </w:r>
      <w:r>
        <w:t xml:space="preserve">small-sample correction; normal-reference intervals and two-sided</w:t>
      </w:r>
      <w:r>
        <w:t xml:space="preserve"> </w:t>
      </w:r>
      <w:r>
        <w:t xml:space="preserve">probabilities concern mean bias. No significance test was specified for</w:t>
      </w:r>
      <w:r>
        <w:t xml:space="preserve"> </w:t>
      </w:r>
      <w:r>
        <w:t xml:space="preserve">MAE or RMSE differences. All accuracy rankings are therefore</w:t>
      </w:r>
      <w:r>
        <w:t xml:space="preserve"> </w:t>
      </w:r>
      <w:r>
        <w:t xml:space="preserve">descriptive, and nominal bias inference does not imply a</w:t>
      </w:r>
      <w:r>
        <w:t xml:space="preserve"> </w:t>
      </w:r>
      <w:r>
        <w:t xml:space="preserve">multiplicity-adjusted or comprehensive panel-dependence analysis.</w:t>
      </w:r>
    </w:p>
    <w:bookmarkStart w:id="16" w:name="X96fffc86f7f079a95306d7ece3f8e33af488982"/>
    <w:p>
      <w:pPr>
        <w:pStyle w:val="Heading3"/>
        <w:keepNext/>
      </w:pPr>
      <w:r>
        <w:t xml:space="preserve">Table 1.</w:t>
      </w:r>
      <w:r>
        <w:t xml:space="preserve"> </w:t>
      </w:r>
      <w:r>
        <w:t xml:space="preserve">Estimator definitions and usable observations</w:t>
      </w:r>
    </w:p>
    <w:p>
      <w:pPr>
        <w:pStyle w:val="FirstParagraph"/>
      </w:pPr>
      <w:r>
        <w:t xml:space="preserve">Definedness uses all design days. Raw-negative rates use finite</w:t>
      </w:r>
      <w:r>
        <w:t xml:space="preserve"> </w:t>
      </w:r>
      <w:r>
        <w:t xml:space="preserve">RAW-computable denominators, not failure denominators. Formulas/mappings</w:t>
      </w:r>
      <w:r>
        <w:t xml:space="preserve"> </w:t>
      </w:r>
      <w:r>
        <w:t xml:space="preserve">are concise summaries of the frozen specifications.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</w:tblGrid>
      <w:tr>
        <w:trPr>
          <w:tblHeader w:val="on"/>
          <w:tblHeader/>
        </w:trP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asset class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estimator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design eligible N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defined N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undefined N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failure rate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raw negative rate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raw computable N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start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end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status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ROLL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38232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24494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13738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0.359332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38232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37708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524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0.0137058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0.396255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37708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38232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38136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0.00251099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0.48251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38136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EDGE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38232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38001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0.00604206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0.393726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38001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class-specific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crypto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ROLL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12753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9867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2886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0.2263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2022-02-01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crypto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12753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51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0.00399906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0.347819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2022-02-01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crypto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12753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12723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30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0.00235239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0.498153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12723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2022-02-01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crypto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EDGE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12753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51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0.00399906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0.431428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2022-02-01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etfs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ROLL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8649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3181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5468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0.632212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2020-09-15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etfs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8649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8294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355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0.0410452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0.480468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8294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2020-09-15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etfs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8649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8640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0.00104058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0.470023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8640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2020-09-15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etfs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EDGE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8649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8577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72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0.00832466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0.370176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8577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2020-09-15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futures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ROLL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2331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1730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601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0.257829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2024-01-02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futures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2331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2237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0.040326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0.375056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2237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2024-01-02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futures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2331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2284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47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0.020163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0.476795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2284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2024-01-02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futures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EDGE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2331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2237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0.040326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0.394725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2237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2024-01-02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2024-12-31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stocks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ROLL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14499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9716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4783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0.329885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2019-08-01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stocks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14499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14475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0.00165529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0.393782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14475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2019-08-01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stocks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14499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14489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0.000689703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0.477121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14489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2019-08-01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stocks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EDGE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14499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14485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0.000965584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0.374456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14485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2019-08-01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2025-12-31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PRIMARY FROZEN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fx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unavailable / blocked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IN SCOPE BUT BLOCKED OFFICIAL SOURCE ACCESS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/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on"/>
          <w:tblHeader/>
        </w:trP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conceptual formula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required inputs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daily mapping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negative treatment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units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 sqrt(-sample lag-1 covariance of adjacent simple one-minute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returns)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One-minute close; exact physical three-close chains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Within frozen asset-session/day; ddof=1; minimum 2 pairs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Nonnegative covariance undefined/NaN; never zero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dimensionless relative spread; bps=10000*relative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Overnight-adjusted two-session beta/gamma -&gt; alpha -&gt;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tanh(alpha/2)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H/L at t-1,t,t+1; close at t-1,t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Mean corrected intervals (t-1,t) and (t,t+1); both required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Floor each finite interval separately before averaging; retain raw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daily signed mean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dimensionless relative spread; bps=10000*relative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s2=4(log(C t)-eta t)(log(C t)-eta (t+1)); eta=(log(H)+log(L))/2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H/L at t,t+1; close t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Assigned to target t; no carry-forward or author empirical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imputation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sqrt(max(s2,0)); finite negative raw moment remains defined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dimensionless relative spread; bps=10000*relative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Published Eq26 minimum-variance combination of OHLC log-return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moments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OHLC at t-1,t,t+1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Centered three scheduled sessions; local RMS spread assigned 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sqrt(max(raw s2,0)); abs-root is robustness only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dimensionless relative spread; bps=10000*relative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Stocks: 2019-08-01–2025-12-31; ETFs: 2020-09-15–2025-12-31; futures:</w:t>
      </w:r>
      <w:r>
        <w:t xml:space="preserve"> </w:t>
      </w:r>
      <w:r>
        <w:t xml:space="preserve">2024 only; crypto: 2022-02-01–2025-12-31. FX: in scope but blocked</w:t>
      </w:r>
      <w:r>
        <w:t xml:space="preserve"> </w:t>
      </w:r>
      <w:r>
        <w:t xml:space="preserve">official source access. Roll is a transaction-close proxy, not true</w:t>
      </w:r>
      <w:r>
        <w:t xml:space="preserve"> </w:t>
      </w:r>
      <w:r>
        <w:t xml:space="preserve">effective spread or NBBO cost. Roll undefinedness is the main sample</w:t>
      </w:r>
      <w:r>
        <w:t xml:space="preserve"> </w:t>
      </w:r>
      <w:r>
        <w:t xml:space="preserve">bottleneck; ETF availability is especially low. Common-defined</w:t>
      </w:r>
      <w:r>
        <w:t xml:space="preserve"> </w:t>
      </w:r>
      <w:r>
        <w:t xml:space="preserve">conditioning can create economic selection; no reliability cutoff beyond</w:t>
      </w:r>
      <w:r>
        <w:t xml:space="preserve"> </w:t>
      </w:r>
      <w:r>
        <w:t xml:space="preserve">frozen computability is primary. Classes have different calendar</w:t>
      </w:r>
      <w:r>
        <w:t xml:space="preserve"> </w:t>
      </w:r>
      <w:r>
        <w:t xml:space="preserve">support; this is not a balanced 2015–2025 all-class panel. Futures</w:t>
      </w:r>
      <w:r>
        <w:t xml:space="preserve"> </w:t>
      </w:r>
      <w:r>
        <w:t xml:space="preserve">primary analysis is 2024 only; supplementary heterogeneous histories are</w:t>
      </w:r>
      <w:r>
        <w:t xml:space="preserve"> </w:t>
      </w:r>
      <w:r>
        <w:t xml:space="preserve">not the primary tier comparison. Liquidity tiers use 2024 information,</w:t>
      </w:r>
      <w:r>
        <w:t xml:space="preserve"> </w:t>
      </w:r>
      <w:r>
        <w:t xml:space="preserve">including ex-post/look-ahead classification before 2024 and an</w:t>
      </w:r>
      <w:r>
        <w:t xml:space="preserve"> </w:t>
      </w:r>
      <w:r>
        <w:t xml:space="preserve">in-calibration-year futures comparison. Futures and crypto share minute</w:t>
      </w:r>
      <w:r>
        <w:t xml:space="preserve"> </w:t>
      </w:r>
      <w:r>
        <w:t xml:space="preserve">sources between daily OHLC and Roll, creating mechanical dependence.</w:t>
      </w:r>
      <w:r>
        <w:t xml:space="preserve"> </w:t>
      </w:r>
      <w:r>
        <w:t xml:space="preserve">Crypto formal quote currency remains UNKNOWN; no USD spread claim is</w:t>
      </w:r>
      <w:r>
        <w:t xml:space="preserve"> </w:t>
      </w:r>
      <w:r>
        <w:t xml:space="preserve">made. Bloomberg CshAdjAbnormal is UNKNOWN; acquired adjustment/session</w:t>
      </w:r>
      <w:r>
        <w:t xml:space="preserve"> </w:t>
      </w:r>
      <w:r>
        <w:t xml:space="preserve">equivalence with local First Rate is not certified. IMDX historical</w:t>
      </w:r>
      <w:r>
        <w:t xml:space="preserve"> </w:t>
      </w:r>
      <w:r>
        <w:t xml:space="preserve">economic-identity continuity is not independently certified; no manual</w:t>
      </w:r>
      <w:r>
        <w:t xml:space="preserve"> </w:t>
      </w:r>
      <w:r>
        <w:t xml:space="preserve">OCX stitching. FX remains in scope but blocked by official</w:t>
      </w:r>
      <w:r>
        <w:t xml:space="preserve"> </w:t>
      </w:r>
      <w:r>
        <w:t xml:space="preserve">sharing/synchronization access; no substitute data were used. MAE/RMSE</w:t>
      </w:r>
      <w:r>
        <w:t xml:space="preserve"> </w:t>
      </w:r>
      <w:r>
        <w:t xml:space="preserve">rankings are descriptive; no statistical test of metric differences was</w:t>
      </w:r>
      <w:r>
        <w:t xml:space="preserve"> </w:t>
      </w:r>
      <w:r>
        <w:t xml:space="preserve">specified. HAC applies to signed bias only. Cross-fitted error models</w:t>
      </w:r>
      <w:r>
        <w:t xml:space="preserve"> </w:t>
      </w:r>
      <w:r>
        <w:t xml:space="preserve">describe associations, not causal effects, trading forecasts or a new</w:t>
      </w:r>
      <w:r>
        <w:t xml:space="preserve"> </w:t>
      </w:r>
      <w:r>
        <w:t xml:space="preserve">spread estimator. Feature and importance stability is conditional on the</w:t>
      </w:r>
      <w:r>
        <w:t xml:space="preserve"> </w:t>
      </w:r>
      <w:r>
        <w:t xml:space="preserve">sampled assets/calendars; correlated predictors can share</w:t>
      </w:r>
      <w:r>
        <w:t xml:space="preserve"> </w:t>
      </w:r>
      <w:r>
        <w:t xml:space="preserve">importance.</w:t>
      </w:r>
    </w:p>
    <w:bookmarkEnd w:id="16"/>
    <w:bookmarkEnd w:id="17"/>
    <w:bookmarkStart w:id="32" w:name="primary-results"/>
    <w:p>
      <w:pPr>
        <w:pStyle w:val="Heading2"/>
        <w:keepNext/>
      </w:pPr>
      <w:r>
        <w:t xml:space="preserve">4. Primary Results</w:t>
      </w:r>
    </w:p>
    <w:p>
      <w:pPr>
        <w:pStyle w:val="FirstParagraph"/>
      </w:pPr>
      <w:r>
        <w:t xml:space="preserve">The confirmatory primary horse race is reported in Table 2. CS</w:t>
      </w:r>
      <w:r>
        <w:t xml:space="preserve"> </w:t>
      </w:r>
      <w:r>
        <w:t xml:space="preserve">has overall bias, MAE and RMSE of 110.80, 121.30 and 201.27 bps,</w:t>
      </w:r>
      <w:r>
        <w:t xml:space="preserve"> </w:t>
      </w:r>
      <w:r>
        <w:t xml:space="preserve">respectively. AR has overall bias, MAE and RMSE of 101.68, 127.71 and</w:t>
      </w:r>
      <w:r>
        <w:t xml:space="preserve"> </w:t>
      </w:r>
      <w:r>
        <w:t xml:space="preserve">257.71 bps, respectively. EDGE has overall bias, MAE and RMSE of 25.99,</w:t>
      </w:r>
      <w:r>
        <w:t xml:space="preserve"> </w:t>
      </w:r>
      <w:r>
        <w:t xml:space="preserve">53.59 and 122.18 bps, respectively. EDGE is the descriptive overall</w:t>
      </w:r>
      <w:r>
        <w:t xml:space="preserve"> </w:t>
      </w:r>
      <w:r>
        <w:t xml:space="preserve">accuracy leader, but its mean signed error remains positive under this</w:t>
      </w:r>
      <w:r>
        <w:t xml:space="preserve"> </w:t>
      </w:r>
      <w:r>
        <w:t xml:space="preserve">benchmark. Its nominal HAC confidence interval for mean signed bias</w:t>
      </w:r>
      <w:r>
        <w:t xml:space="preserve"> </w:t>
      </w:r>
      <w:r>
        <w:t xml:space="preserve">extends from 22.43 to 29.55 bps and excludes zero. It should not be</w:t>
      </w:r>
      <w:r>
        <w:t xml:space="preserve"> </w:t>
      </w:r>
      <w:r>
        <w:t xml:space="preserve">characterized as unbiased. The covariance convention supports inference</w:t>
      </w:r>
      <w:r>
        <w:t xml:space="preserve"> </w:t>
      </w:r>
      <w:r>
        <w:t xml:space="preserve">about this signed mean, not a statistical claim that EDGE’s MAE or RMSE</w:t>
      </w:r>
      <w:r>
        <w:t xml:space="preserve"> </w:t>
      </w:r>
      <w:r>
        <w:t xml:space="preserve">is significantly smaller than another method’s.</w:t>
      </w:r>
    </w:p>
    <w:p>
      <w:pPr>
        <w:pStyle w:val="BodyText"/>
      </w:pPr>
      <w:r>
        <w:t xml:space="preserve">Figure</w:t>
      </w:r>
      <w:r>
        <w:t xml:space="preserve"> </w:t>
      </w:r>
      <w:r>
        <w:t xml:space="preserve">1 presents estimator-versus-Roll scatter plots, while Figure 2</w:t>
      </w:r>
      <w:r>
        <w:t xml:space="preserve"> </w:t>
      </w:r>
      <w:r>
        <w:t xml:space="preserve">displays signed-error distributions. Both retain the full finite range</w:t>
      </w:r>
      <w:r>
        <w:t xml:space="preserve"> </w:t>
      </w:r>
      <w:r>
        <w:t xml:space="preserve">using explicitly labeled transformed axes. They complement the aggregate</w:t>
      </w:r>
      <w:r>
        <w:t xml:space="preserve"> </w:t>
      </w:r>
      <w:r>
        <w:t xml:space="preserve">metrics without hiding extreme observations or implying that visual</w:t>
      </w:r>
      <w:r>
        <w:t xml:space="preserve"> </w:t>
      </w:r>
      <w:r>
        <w:t xml:space="preserve">distance from a reference line constitutes a formal test.</w:t>
      </w:r>
      <w:r>
        <w:t xml:space="preserve"> </w:t>
      </w:r>
      <w:r>
        <w:t xml:space="preserve">Benchmark-relative error dispersion, not only mean bias, is central to</w:t>
      </w:r>
      <w:r>
        <w:t xml:space="preserve"> </w:t>
      </w:r>
      <w:r>
        <w:t xml:space="preserve">the comparison.</w:t>
      </w:r>
    </w:p>
    <w:bookmarkStart w:id="21" w:name="Xf84c02c4eafe7ad0cc1e2c547c600948688c2bb"/>
    <w:p>
      <w:pPr>
        <w:pStyle w:val="Heading3"/>
        <w:keepNext/>
        <w:pageBreakBefore/>
      </w:pPr>
      <w:r>
        <w:t xml:space="preserve">Figure</w:t>
      </w:r>
      <w:r>
        <w:t xml:space="preserve"> </w:t>
      </w:r>
      <w:r>
        <w:t xml:space="preserve">2. Signed-error distributions; full-range ECDF, basis points. The</w:t>
      </w:r>
      <w:r>
        <w:t xml:space="preserve"> </w:t>
      </w:r>
      <w:r>
        <w:t xml:space="preserve">zero-error reference is retained.</w:t>
      </w:r>
    </w:p>
    <w:p>
      <w:pPr>
        <w:pStyle w:val="CaptionedFigure"/>
      </w:pPr>
      <w:r>
        <w:drawing>
          <wp:inline>
            <wp:extent cx="6400800" cy="3902794"/>
            <wp:effectExtent b="0" l="0" r="0" t="0"/>
            <wp:docPr descr="Figure 2. Signed-error distributions; full-range ECDF, basis points. The zero-error reference is retained." title="" id="19" name="Picture"/>
            <a:graphic>
              <a:graphicData uri="http://schemas.openxmlformats.org/drawingml/2006/picture">
                <pic:pic>
                  <pic:nvPicPr>
                    <pic:cNvPr descr="figure2_error_distribu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0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Signed-error distributions;</w:t>
      </w:r>
      <w:r>
        <w:t xml:space="preserve"> </w:t>
      </w:r>
      <w:r>
        <w:t xml:space="preserve">full-range ECDF, basis points. The zero-error reference is</w:t>
      </w:r>
      <w:r>
        <w:t xml:space="preserve"> </w:t>
      </w:r>
      <w:r>
        <w:t xml:space="preserve">retained.</w:t>
      </w:r>
    </w:p>
    <w:bookmarkEnd w:id="21"/>
    <w:bookmarkStart w:id="25" w:name="X65fb6957de673a6dc3a3985c8071f5052b9e06c"/>
    <w:p>
      <w:pPr>
        <w:pStyle w:val="Heading3"/>
        <w:keepNext/>
        <w:pageBreakBefore/>
      </w:pPr>
      <w:r>
        <w:t xml:space="preserve">Figure</w:t>
      </w:r>
      <w:r>
        <w:t xml:space="preserve"> </w:t>
      </w:r>
      <w:r>
        <w:t xml:space="preserve">1. Estimator versus Roll; full common-defined sample, basis points. Both</w:t>
      </w:r>
      <w:r>
        <w:t xml:space="preserve"> </w:t>
      </w:r>
      <w:r>
        <w:t xml:space="preserve">axes use the labeled asinh display; no observations clipped.</w:t>
      </w:r>
    </w:p>
    <w:p>
      <w:pPr>
        <w:pStyle w:val="CaptionedFigure"/>
      </w:pPr>
      <w:r>
        <w:drawing>
          <wp:inline>
            <wp:extent cx="6400800" cy="2727279"/>
            <wp:effectExtent b="0" l="0" r="0" t="0"/>
            <wp:docPr descr="Figure 1. Estimator versus Roll; full common-defined sample, basis points. Both axes use the labeled asinh display; no observations clipped." title="" id="23" name="Picture"/>
            <a:graphic>
              <a:graphicData uri="http://schemas.openxmlformats.org/drawingml/2006/picture">
                <pic:pic>
                  <pic:nvPicPr>
                    <pic:cNvPr descr="figure1_estimator_vs_rol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27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Estimator versus Roll; full</w:t>
      </w:r>
      <w:r>
        <w:t xml:space="preserve"> </w:t>
      </w:r>
      <w:r>
        <w:t xml:space="preserve">common-defined sample, basis points. Both axes use the labeled asinh</w:t>
      </w:r>
      <w:r>
        <w:t xml:space="preserve"> </w:t>
      </w:r>
      <w:r>
        <w:t xml:space="preserve">display; no observations clipped.</w:t>
      </w:r>
    </w:p>
    <w:p>
      <w:pPr>
        <w:pStyle w:val="BodyText"/>
      </w:pPr>
      <w:r>
        <w:t xml:space="preserve">For stocks, CS records MAE/RMSE of 104.62/166.42 bps, AR</w:t>
      </w:r>
      <w:r>
        <w:t xml:space="preserve"> </w:t>
      </w:r>
      <w:r>
        <w:t xml:space="preserve">129.06/262.12 bps, and EDGE 84.60/170.67 bps. Stock evidence is mixed:</w:t>
      </w:r>
      <w:r>
        <w:t xml:space="preserve"> </w:t>
      </w:r>
      <w:r>
        <w:t xml:space="preserve">EDGE minimizes typical absolute discrepancy, whereas CS has the smaller</w:t>
      </w:r>
      <w:r>
        <w:t xml:space="preserve"> </w:t>
      </w:r>
      <w:r>
        <w:t xml:space="preserve">squared-error criterion. This distinction is relevant when the economic</w:t>
      </w:r>
      <w:r>
        <w:t xml:space="preserve"> </w:t>
      </w:r>
      <w:r>
        <w:t xml:space="preserve">use places different penalties on routine deviations and extreme errors.</w:t>
      </w:r>
      <w:r>
        <w:t xml:space="preserve"> </w:t>
      </w:r>
      <w:r>
        <w:t xml:space="preserve">The result does not license a universal stock-estimator recommendation,</w:t>
      </w:r>
      <w:r>
        <w:t xml:space="preserve"> </w:t>
      </w:r>
      <w:r>
        <w:t xml:space="preserve">and the influence diagnostics below further qualify its stability.</w:t>
      </w:r>
    </w:p>
    <w:p>
      <w:pPr>
        <w:pStyle w:val="BodyText"/>
      </w:pPr>
      <w:r>
        <w:t xml:space="preserve">For ETFs, CS records MAE/RMSE of 24.74/45.98 bps, AR 42.08/85.70 bps,</w:t>
      </w:r>
      <w:r>
        <w:t xml:space="preserve"> </w:t>
      </w:r>
      <w:r>
        <w:t xml:space="preserve">and EDGE 29.66/58.38 bps. CS leads both ETF criteria, providing a direct</w:t>
      </w:r>
      <w:r>
        <w:t xml:space="preserve"> </w:t>
      </w:r>
      <w:r>
        <w:t xml:space="preserve">boundary to the expectation of universal EDGE dominance. That finding is</w:t>
      </w:r>
      <w:r>
        <w:t xml:space="preserve"> </w:t>
      </w:r>
      <w:r>
        <w:t xml:space="preserve">conditional on particularly limited ETF Roll availability. It describes</w:t>
      </w:r>
      <w:r>
        <w:t xml:space="preserve"> </w:t>
      </w:r>
      <w:r>
        <w:t xml:space="preserve">the retained ETF sample rather than demonstrating that CS is more</w:t>
      </w:r>
      <w:r>
        <w:t xml:space="preserve"> </w:t>
      </w:r>
      <w:r>
        <w:t xml:space="preserve">accurate on the many ETF days for which the comparison cannot be</w:t>
      </w:r>
      <w:r>
        <w:t xml:space="preserve"> </w:t>
      </w:r>
      <w:r>
        <w:t xml:space="preserve">formed.</w:t>
      </w:r>
    </w:p>
    <w:p>
      <w:pPr>
        <w:pStyle w:val="BodyText"/>
      </w:pPr>
      <w:r>
        <w:t xml:space="preserve">For futures, CS records MAE/RMSE of 23.23/36.66 bps, AR 23.33/45.68</w:t>
      </w:r>
      <w:r>
        <w:t xml:space="preserve"> </w:t>
      </w:r>
      <w:r>
        <w:t xml:space="preserve">bps, and EDGE 5.29/11.02 bps. For crypto, CS records MAE/RMSE of</w:t>
      </w:r>
      <w:r>
        <w:t xml:space="preserve"> </w:t>
      </w:r>
      <w:r>
        <w:t xml:space="preserve">185.61/268.73 bps, AR 171.75/306.83 bps, and EDGE 38.88/84.48 bps.</w:t>
      </w:r>
      <w:r>
        <w:t xml:space="preserve"> </w:t>
      </w:r>
      <w:r>
        <w:t xml:space="preserve">EDGE’s benchmark-relative advantage is large in both classes on each</w:t>
      </w:r>
      <w:r>
        <w:t xml:space="preserve"> </w:t>
      </w:r>
      <w:r>
        <w:t xml:space="preserve">loss criterion. Nevertheless, the futures evidence is restricted to its</w:t>
      </w:r>
      <w:r>
        <w:t xml:space="preserve"> </w:t>
      </w:r>
      <w:r>
        <w:t xml:space="preserve">common calibration-year panel, and both classes share minute-source</w:t>
      </w:r>
      <w:r>
        <w:t xml:space="preserve"> </w:t>
      </w:r>
      <w:r>
        <w:t xml:space="preserve">information between benchmark and daily OHLC. These design features</w:t>
      </w:r>
      <w:r>
        <w:t xml:space="preserve"> </w:t>
      </w:r>
      <w:r>
        <w:t xml:space="preserve">preclude attributing the observed ranking solely to superior recovery of</w:t>
      </w:r>
      <w:r>
        <w:t xml:space="preserve"> </w:t>
      </w:r>
      <w:r>
        <w:t xml:space="preserve">independent execution costs.</w:t>
      </w:r>
    </w:p>
    <w:p>
      <w:pPr>
        <w:pStyle w:val="BodyText"/>
      </w:pPr>
      <w:r>
        <w:t xml:space="preserve">The class-by-tier results in Figure 3</w:t>
      </w:r>
      <w:r>
        <w:t xml:space="preserve"> </w:t>
      </w:r>
      <w:r>
        <w:t xml:space="preserve">reinforce heterogeneity rather than a universal liquidity ordering. ETF</w:t>
      </w:r>
      <w:r>
        <w:t xml:space="preserve"> </w:t>
      </w:r>
      <w:r>
        <w:t xml:space="preserve">results favor CS, and futures and crypto favor EDGE across their</w:t>
      </w:r>
      <w:r>
        <w:t xml:space="preserve"> </w:t>
      </w:r>
      <w:r>
        <w:t xml:space="preserve">retained tier cells; stock boundaries depend on metric and tier.</w:t>
      </w:r>
      <w:r>
        <w:t xml:space="preserve"> </w:t>
      </w:r>
      <w:r>
        <w:t xml:space="preserve">Differences between LOW and HIGH cells combine selected securities,</w:t>
      </w:r>
      <w:r>
        <w:t xml:space="preserve"> </w:t>
      </w:r>
      <w:r>
        <w:t xml:space="preserve">fixed tier labels and benchmark availability. They do not identify the</w:t>
      </w:r>
      <w:r>
        <w:t xml:space="preserve"> </w:t>
      </w:r>
      <w:r>
        <w:t xml:space="preserve">causal effect of changing a security’s liquidity.</w:t>
      </w:r>
    </w:p>
    <w:bookmarkEnd w:id="25"/>
    <w:bookmarkStart w:id="29" w:name="X4aa221675972b7ec0dcb3891ad85683eb60b09d"/>
    <w:p>
      <w:pPr>
        <w:pStyle w:val="Heading3"/>
        <w:keepNext/>
        <w:pageBreakBefore/>
      </w:pPr>
      <w:r>
        <w:t xml:space="preserve">Figure</w:t>
      </w:r>
      <w:r>
        <w:t xml:space="preserve"> </w:t>
      </w:r>
      <w:r>
        <w:t xml:space="preserve">3. Primary MAE and RMSE by class and liquidity tier. Panel scales</w:t>
      </w:r>
      <w:r>
        <w:t xml:space="preserve"> </w:t>
      </w:r>
      <w:r>
        <w:t xml:space="preserve">differ; ranks are descriptive.</w:t>
      </w:r>
    </w:p>
    <w:p>
      <w:pPr>
        <w:pStyle w:val="CaptionedFigure"/>
      </w:pPr>
      <w:r>
        <w:drawing>
          <wp:inline>
            <wp:extent cx="6400800" cy="7001076"/>
            <wp:effectExtent b="0" l="0" r="0" t="0"/>
            <wp:docPr descr="Figure 3. Primary MAE and RMSE by class and liquidity tier. Panel scales differ; ranks are descriptive." title="" id="27" name="Picture"/>
            <a:graphic>
              <a:graphicData uri="http://schemas.openxmlformats.org/drawingml/2006/picture">
                <pic:pic>
                  <pic:nvPicPr>
                    <pic:cNvPr descr="figure3_relative_performa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00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Primary MAE and RMSE by class</w:t>
      </w:r>
      <w:r>
        <w:t xml:space="preserve"> </w:t>
      </w:r>
      <w:r>
        <w:t xml:space="preserve">and liquidity tier. Panel scales differ; ranks are</w:t>
      </w:r>
      <w:r>
        <w:t xml:space="preserve"> </w:t>
      </w:r>
      <w:r>
        <w:t xml:space="preserve">descriptive.</w:t>
      </w:r>
    </w:p>
    <w:p>
      <w:pPr>
        <w:pStyle w:val="BodyText"/>
      </w:pPr>
      <w:r>
        <w:t xml:space="preserve">CS LOW-tier bias is positive in every completed class: 114.65 bps for</w:t>
      </w:r>
      <w:r>
        <w:t xml:space="preserve"> </w:t>
      </w:r>
      <w:r>
        <w:t xml:space="preserve">stocks, 11.61 for ETFs, 24.84 for futures and 133.14 for crypto. This</w:t>
      </w:r>
      <w:r>
        <w:t xml:space="preserve"> </w:t>
      </w:r>
      <w:r>
        <w:t xml:space="preserve">directly contradicts the hypothesized downward CS bias in thin or</w:t>
      </w:r>
      <w:r>
        <w:t xml:space="preserve"> </w:t>
      </w:r>
      <w:r>
        <w:t xml:space="preserve">non-continuous settings under the frozen benchmark and mapping. It does</w:t>
      </w:r>
      <w:r>
        <w:t xml:space="preserve"> </w:t>
      </w:r>
      <w:r>
        <w:t xml:space="preserve">not refute every theoretical prediction about CS under other sampling</w:t>
      </w:r>
      <w:r>
        <w:t xml:space="preserve"> </w:t>
      </w:r>
      <w:r>
        <w:t xml:space="preserve">conditions or against another cost measure. The present hypothesis</w:t>
      </w:r>
      <w:r>
        <w:t xml:space="preserve"> </w:t>
      </w:r>
      <w:r>
        <w:t xml:space="preserve">concerns the observed signs in these selected LOW-liquidity cells, and</w:t>
      </w:r>
      <w:r>
        <w:t xml:space="preserve"> </w:t>
      </w:r>
      <w:r>
        <w:t xml:space="preserve">those adverse signs are retained rather than redefined after</w:t>
      </w:r>
      <w:r>
        <w:t xml:space="preserve"> </w:t>
      </w:r>
      <w:r>
        <w:t xml:space="preserve">inspection.</w:t>
      </w:r>
    </w:p>
    <w:p>
      <w:pPr>
        <w:pStyle w:val="BodyText"/>
      </w:pPr>
      <w:r>
        <w:t xml:space="preserve">Overall raw-negative rates are 39.63% for CS, 48.25% for AR and</w:t>
      </w:r>
      <w:r>
        <w:t xml:space="preserve"> </w:t>
      </w:r>
      <w:r>
        <w:t xml:space="preserve">39.37% for EDGE. EDGE has the lowest raw-negative rate overall, narrowly</w:t>
      </w:r>
      <w:r>
        <w:t xml:space="preserve"> </w:t>
      </w:r>
      <w:r>
        <w:t xml:space="preserve">below CS, but CS has the lower rate in futures and crypto. The</w:t>
      </w:r>
      <w:r>
        <w:t xml:space="preserve"> </w:t>
      </w:r>
      <w:r>
        <w:t xml:space="preserve">negative-rate hypothesis therefore receives partial rather than</w:t>
      </w:r>
      <w:r>
        <w:t xml:space="preserve"> </w:t>
      </w:r>
      <w:r>
        <w:t xml:space="preserve">universal support. Table</w:t>
      </w:r>
      <w:r>
        <w:t xml:space="preserve"> </w:t>
      </w:r>
      <w:r>
        <w:t xml:space="preserve">3 keeps failure and raw-negative denominators explicit alongside</w:t>
      </w:r>
      <w:r>
        <w:t xml:space="preserve"> </w:t>
      </w:r>
      <w:r>
        <w:t xml:space="preserve">class rankings and influential-error diagnostics. Negative raw moments</w:t>
      </w:r>
      <w:r>
        <w:t xml:space="preserve"> </w:t>
      </w:r>
      <w:r>
        <w:t xml:space="preserve">are not failures, and zero-floor corrections do not erase their</w:t>
      </w:r>
      <w:r>
        <w:t xml:space="preserve"> </w:t>
      </w:r>
      <w:r>
        <w:t xml:space="preserve">diagnostic frequency. Cross-class rank changes also reject the original</w:t>
      </w:r>
      <w:r>
        <w:t xml:space="preserve"> </w:t>
      </w:r>
      <w:r>
        <w:t xml:space="preserve">stability expectation; heterogeneous error levels alone do not rescue a</w:t>
      </w:r>
      <w:r>
        <w:t xml:space="preserve"> </w:t>
      </w:r>
      <w:r>
        <w:t xml:space="preserve">claim of stable ordering.</w:t>
      </w:r>
    </w:p>
    <w:bookmarkEnd w:id="29"/>
    <w:bookmarkStart w:id="30" w:name="table-2.-primary-horse-race"/>
    <w:p>
      <w:pPr>
        <w:pStyle w:val="Heading3"/>
        <w:keepNext/>
      </w:pPr>
      <w:r>
        <w:t xml:space="preserve">Table 2. Primary horse race</w:t>
      </w:r>
    </w:p>
    <w:p>
      <w:pPr>
        <w:pStyle w:val="FirstParagraph"/>
      </w:pPr>
      <w:r>
        <w:rPr>
          <w:b/>
          <w:bCs/>
        </w:rPr>
        <w:t xml:space="preserve">Primary common-defined sample = 24377 asset-days.</w:t>
      </w:r>
      <w:r>
        <w:t xml:space="preserve"> </w:t>
      </w:r>
      <w:r>
        <w:t xml:space="preserve">Equal weight per asset-day. Signed error=estimator minus Roll; bps. HAC</w:t>
      </w:r>
      <w:r>
        <w:t xml:space="preserve"> </w:t>
      </w:r>
      <w:r>
        <w:t xml:space="preserve">uncertainty concerns BIAS only, not MAE/RMSE differences.</w:t>
      </w:r>
    </w:p>
    <w:p>
      <w:pPr>
        <w:pStyle w:val="BodyText"/>
      </w:pPr>
      <w:r>
        <w:t xml:space="preserve">Panel A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</w:tblGrid>
      <w:tr>
        <w:trPr>
          <w:tblHeader w:val="on"/>
          <w:tblHeader/>
        </w:trP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asset class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liquidity tier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estimator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bias bps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mae bps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rmse bps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N asset days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hac se bps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ci95 low bps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ci95 high bps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p value two sided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CS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110.8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121.304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201.272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24377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2.94268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105.033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116.568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2.93374e-310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AR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101.675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127.712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257.71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24377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3.27072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95.2646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108.086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3.67449e-212</w:t>
            </w:r>
          </w:p>
        </w:tc>
      </w:tr>
      <w:tr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ALL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EDGE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25.9871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53.5921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122.183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24377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1.81557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22.4287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29.5456</w:t>
            </w:r>
          </w:p>
        </w:tc>
        <w:tc>
          <w:tcPr>
            <w:tcW w:type="dxa" w:w="1257"/>
          </w:tcPr>
          <w:p>
            <w:pPr>
              <w:pStyle w:val="Compact"/>
              <w:spacing w:after="60"/>
            </w:pPr>
            <w:r>
              <w:rPr>
                <w:sz w:val="16"/>
              </w:rPr>
              <w:t xml:space="preserve">1.80204e-46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Panel B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on"/>
          <w:tblHeader/>
        </w:trP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liquidity tier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bias bps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mae bps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rmse bps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 asset days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172.344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185.612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268.726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137.796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171.746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306.83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-2.19486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38.8849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84.4821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20.475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24.7442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45.9835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35.0414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42.0797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85.7013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23.8434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29.6631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58.3753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23.0201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23.2345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36.6599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22.6575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23.3281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45.6823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4.68356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5.28744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11.0169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93.1087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104.619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166.422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100.469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129.064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262.119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58.8801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84.605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170.671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Panel C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on"/>
          <w:tblHeader/>
        </w:trP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liquidity tier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bias bps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mae bps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rmse bps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 asset days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173.749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178.015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241.952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3710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147.118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161.052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289.898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3710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5.76952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21.6434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45.5979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3710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133.145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165.491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245.995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2292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101.791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167.391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283.949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2292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-8.0065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65.4078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128.558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2292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194.463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205.033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304.107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3826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150.326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184.725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334.724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3826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-6.43624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39.7147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80.1045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3826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19.4202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20.6074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36.5123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1839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32.3017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34.634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68.2406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1839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21.2826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23.2857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44.4915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1839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11.6106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22.6118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41.3397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245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26.0438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40.6801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78.2687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245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20.2377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31.3118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58.0652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245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24.2436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32.1962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59.3513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1091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41.6801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54.9446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110.223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1091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28.9696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40.0426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76.3095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1091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21.1809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21.42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36.9044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521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20.6343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21.3073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43.4174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521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4.74777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5.33698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11.4586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521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24.8373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25.062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40.1733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590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23.9215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24.6519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50.6097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590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4.51177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5.18961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10.8488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590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22.8152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22.9954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32.2591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556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23.212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23.817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42.1009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556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4.80569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5.34484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10.7688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556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64.8444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67.5093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97.4521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3481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80.8917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88.0038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161.868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3481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50.244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56.171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96.4051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3481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114.652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146.114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216.756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2399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116.092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186.202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326.421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2399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59.3865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125.024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215.481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2399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105.313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112.363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179.333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108.482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130.593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289.215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3827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66.418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85.1311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190.587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3827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Stocks: 2019-08-01–2025-12-31; ETFs: 2020-09-15–2025-12-31; futures:</w:t>
      </w:r>
      <w:r>
        <w:t xml:space="preserve"> </w:t>
      </w:r>
      <w:r>
        <w:t xml:space="preserve">2024 only; crypto: 2022-02-01–2025-12-31. FX: in scope but blocked</w:t>
      </w:r>
      <w:r>
        <w:t xml:space="preserve"> </w:t>
      </w:r>
      <w:r>
        <w:t xml:space="preserve">official source access. Roll is a transaction-close proxy, not true</w:t>
      </w:r>
      <w:r>
        <w:t xml:space="preserve"> </w:t>
      </w:r>
      <w:r>
        <w:t xml:space="preserve">effective spread or NBBO cost. Roll undefinedness is the main sample</w:t>
      </w:r>
      <w:r>
        <w:t xml:space="preserve"> </w:t>
      </w:r>
      <w:r>
        <w:t xml:space="preserve">bottleneck; ETF availability is especially low. Common-defined</w:t>
      </w:r>
      <w:r>
        <w:t xml:space="preserve"> </w:t>
      </w:r>
      <w:r>
        <w:t xml:space="preserve">conditioning can create economic selection; no reliability cutoff beyond</w:t>
      </w:r>
      <w:r>
        <w:t xml:space="preserve"> </w:t>
      </w:r>
      <w:r>
        <w:t xml:space="preserve">frozen computability is primary. Classes have different calendar</w:t>
      </w:r>
      <w:r>
        <w:t xml:space="preserve"> </w:t>
      </w:r>
      <w:r>
        <w:t xml:space="preserve">support; this is not a balanced 2015–2025 all-class panel. Futures</w:t>
      </w:r>
      <w:r>
        <w:t xml:space="preserve"> </w:t>
      </w:r>
      <w:r>
        <w:t xml:space="preserve">primary analysis is 2024 only; supplementary heterogeneous histories are</w:t>
      </w:r>
      <w:r>
        <w:t xml:space="preserve"> </w:t>
      </w:r>
      <w:r>
        <w:t xml:space="preserve">not the primary tier comparison. Liquidity tiers use 2024 information,</w:t>
      </w:r>
      <w:r>
        <w:t xml:space="preserve"> </w:t>
      </w:r>
      <w:r>
        <w:t xml:space="preserve">including ex-post/look-ahead classification before 2024 and an</w:t>
      </w:r>
      <w:r>
        <w:t xml:space="preserve"> </w:t>
      </w:r>
      <w:r>
        <w:t xml:space="preserve">in-calibration-year futures comparison. Futures and crypto share minute</w:t>
      </w:r>
      <w:r>
        <w:t xml:space="preserve"> </w:t>
      </w:r>
      <w:r>
        <w:t xml:space="preserve">sources between daily OHLC and Roll, creating mechanical dependence.</w:t>
      </w:r>
      <w:r>
        <w:t xml:space="preserve"> </w:t>
      </w:r>
      <w:r>
        <w:t xml:space="preserve">Crypto formal quote currency remains UNKNOWN; no USD spread claim is</w:t>
      </w:r>
      <w:r>
        <w:t xml:space="preserve"> </w:t>
      </w:r>
      <w:r>
        <w:t xml:space="preserve">made. Bloomberg CshAdjAbnormal is UNKNOWN; acquired adjustment/session</w:t>
      </w:r>
      <w:r>
        <w:t xml:space="preserve"> </w:t>
      </w:r>
      <w:r>
        <w:t xml:space="preserve">equivalence with local First Rate is not certified. IMDX historical</w:t>
      </w:r>
      <w:r>
        <w:t xml:space="preserve"> </w:t>
      </w:r>
      <w:r>
        <w:t xml:space="preserve">economic-identity continuity is not independently certified; no manual</w:t>
      </w:r>
      <w:r>
        <w:t xml:space="preserve"> </w:t>
      </w:r>
      <w:r>
        <w:t xml:space="preserve">OCX stitching. FX remains in scope but blocked by official</w:t>
      </w:r>
      <w:r>
        <w:t xml:space="preserve"> </w:t>
      </w:r>
      <w:r>
        <w:t xml:space="preserve">sharing/synchronization access; no substitute data were used. MAE/RMSE</w:t>
      </w:r>
      <w:r>
        <w:t xml:space="preserve"> </w:t>
      </w:r>
      <w:r>
        <w:t xml:space="preserve">rankings are descriptive; no statistical test of metric differences was</w:t>
      </w:r>
      <w:r>
        <w:t xml:space="preserve"> </w:t>
      </w:r>
      <w:r>
        <w:t xml:space="preserve">specified. HAC applies to signed bias only. Cross-fitted error models</w:t>
      </w:r>
      <w:r>
        <w:t xml:space="preserve"> </w:t>
      </w:r>
      <w:r>
        <w:t xml:space="preserve">describe associations, not causal effects, trading forecasts or a new</w:t>
      </w:r>
      <w:r>
        <w:t xml:space="preserve"> </w:t>
      </w:r>
      <w:r>
        <w:t xml:space="preserve">spread estimator. Feature and importance stability is conditional on the</w:t>
      </w:r>
      <w:r>
        <w:t xml:space="preserve"> </w:t>
      </w:r>
      <w:r>
        <w:t xml:space="preserve">sampled assets/calendars; correlated predictors can share</w:t>
      </w:r>
      <w:r>
        <w:t xml:space="preserve"> </w:t>
      </w:r>
      <w:r>
        <w:t xml:space="preserve">importance.</w:t>
      </w:r>
    </w:p>
    <w:bookmarkEnd w:id="30"/>
    <w:bookmarkStart w:id="31" w:name="Xbe49c10834c88f4f373f4662771ff03fb376d70"/>
    <w:p>
      <w:pPr>
        <w:pStyle w:val="Heading3"/>
        <w:keepNext/>
      </w:pPr>
      <w:r>
        <w:t xml:space="preserve">Table 3.</w:t>
      </w:r>
      <w:r>
        <w:t xml:space="preserve"> </w:t>
      </w:r>
      <w:r>
        <w:t xml:space="preserve">Failures, raw negatives and influence</w:t>
      </w:r>
    </w:p>
    <w:p>
      <w:pPr>
        <w:pStyle w:val="FirstParagraph"/>
      </w:pPr>
      <w:r>
        <w:t xml:space="preserve">Panel A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failure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failure rate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13738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0.359332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524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0.0137058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0.00251099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0.00604206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2886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0.2263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0.00399906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0.00235239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0.00399906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5468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0.632212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355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0.0410452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0.00104058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0.00832466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601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0.257829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0.040326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0.020163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0.040326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4783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0.329885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0.00165529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0.000689703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0.000965584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Panel B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negative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raw computable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negative rate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14942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37708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0.396255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18401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38136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0.48251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14962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38001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0.393726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4418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12702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0.347819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6338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12723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0.498153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5480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12702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0.431428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3985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8294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0.480468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4061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0.470023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8577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0.370176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839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2237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0.375056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1089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2284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0.476795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883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2237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0.394725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5700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14475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0.393782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6913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14489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0.477121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5424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14485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0.374456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Panel C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mae rank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rmse rank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accuracy leader status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EDGE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EDGE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EDGE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CS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CS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CS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EDGE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EDGE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DESCRIPTIVE LEADER: EDGE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MIXED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MIXED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MIXED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Panel D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on"/>
          <w:tblHeader/>
        </w:trP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estimator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original N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removed N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mae pct change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rmse pct change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-0.14093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-0.531568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-0.245682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-1.00777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-0.747419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-6.15901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-0.971648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-4.72004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-0.635581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-1.70132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-0.673362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-2.04103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-0.677153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-1.8046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-0.863299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-1.83879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-1.07999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-2.49477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-0.290165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-1.74146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-0.757337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-7.18629</w:t>
            </w:r>
          </w:p>
        </w:tc>
      </w:tr>
      <w:tr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-0.549078</w:t>
            </w:r>
          </w:p>
        </w:tc>
        <w:tc>
          <w:tcPr>
            <w:tcW w:type="dxa" w:w="2304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-3.7986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Stocks: 2019-08-01–2025-12-31; ETFs: 2020-09-15–2025-12-31; futures:</w:t>
      </w:r>
      <w:r>
        <w:t xml:space="preserve"> </w:t>
      </w:r>
      <w:r>
        <w:t xml:space="preserve">2024 only; crypto: 2022-02-01–2025-12-31. FX: in scope but blocked</w:t>
      </w:r>
      <w:r>
        <w:t xml:space="preserve"> </w:t>
      </w:r>
      <w:r>
        <w:t xml:space="preserve">official source access. Roll is a transaction-close proxy, not true</w:t>
      </w:r>
      <w:r>
        <w:t xml:space="preserve"> </w:t>
      </w:r>
      <w:r>
        <w:t xml:space="preserve">effective spread or NBBO cost. Roll undefinedness is the main sample</w:t>
      </w:r>
      <w:r>
        <w:t xml:space="preserve"> </w:t>
      </w:r>
      <w:r>
        <w:t xml:space="preserve">bottleneck; ETF availability is especially low. Common-defined</w:t>
      </w:r>
      <w:r>
        <w:t xml:space="preserve"> </w:t>
      </w:r>
      <w:r>
        <w:t xml:space="preserve">conditioning can create economic selection; no reliability cutoff beyond</w:t>
      </w:r>
      <w:r>
        <w:t xml:space="preserve"> </w:t>
      </w:r>
      <w:r>
        <w:t xml:space="preserve">frozen computability is primary. Classes have different calendar</w:t>
      </w:r>
      <w:r>
        <w:t xml:space="preserve"> </w:t>
      </w:r>
      <w:r>
        <w:t xml:space="preserve">support; this is not a balanced 2015–2025 all-class panel. Futures</w:t>
      </w:r>
      <w:r>
        <w:t xml:space="preserve"> </w:t>
      </w:r>
      <w:r>
        <w:t xml:space="preserve">primary analysis is 2024 only; supplementary heterogeneous histories are</w:t>
      </w:r>
      <w:r>
        <w:t xml:space="preserve"> </w:t>
      </w:r>
      <w:r>
        <w:t xml:space="preserve">not the primary tier comparison. Liquidity tiers use 2024 information,</w:t>
      </w:r>
      <w:r>
        <w:t xml:space="preserve"> </w:t>
      </w:r>
      <w:r>
        <w:t xml:space="preserve">including ex-post/look-ahead classification before 2024 and an</w:t>
      </w:r>
      <w:r>
        <w:t xml:space="preserve"> </w:t>
      </w:r>
      <w:r>
        <w:t xml:space="preserve">in-calibration-year futures comparison. Futures and crypto share minute</w:t>
      </w:r>
      <w:r>
        <w:t xml:space="preserve"> </w:t>
      </w:r>
      <w:r>
        <w:t xml:space="preserve">sources between daily OHLC and Roll, creating mechanical dependence.</w:t>
      </w:r>
      <w:r>
        <w:t xml:space="preserve"> </w:t>
      </w:r>
      <w:r>
        <w:t xml:space="preserve">Crypto formal quote currency remains UNKNOWN; no USD spread claim is</w:t>
      </w:r>
      <w:r>
        <w:t xml:space="preserve"> </w:t>
      </w:r>
      <w:r>
        <w:t xml:space="preserve">made. Bloomberg CshAdjAbnormal is UNKNOWN; acquired adjustment/session</w:t>
      </w:r>
      <w:r>
        <w:t xml:space="preserve"> </w:t>
      </w:r>
      <w:r>
        <w:t xml:space="preserve">equivalence with local First Rate is not certified. IMDX historical</w:t>
      </w:r>
      <w:r>
        <w:t xml:space="preserve"> </w:t>
      </w:r>
      <w:r>
        <w:t xml:space="preserve">economic-identity continuity is not independently certified; no manual</w:t>
      </w:r>
      <w:r>
        <w:t xml:space="preserve"> </w:t>
      </w:r>
      <w:r>
        <w:t xml:space="preserve">OCX stitching. FX remains in scope but blocked by official</w:t>
      </w:r>
      <w:r>
        <w:t xml:space="preserve"> </w:t>
      </w:r>
      <w:r>
        <w:t xml:space="preserve">sharing/synchronization access; no substitute data were used. MAE/RMSE</w:t>
      </w:r>
      <w:r>
        <w:t xml:space="preserve"> </w:t>
      </w:r>
      <w:r>
        <w:t xml:space="preserve">rankings are descriptive; no statistical test of metric differences was</w:t>
      </w:r>
      <w:r>
        <w:t xml:space="preserve"> </w:t>
      </w:r>
      <w:r>
        <w:t xml:space="preserve">specified. HAC applies to signed bias only. Cross-fitted error models</w:t>
      </w:r>
      <w:r>
        <w:t xml:space="preserve"> </w:t>
      </w:r>
      <w:r>
        <w:t xml:space="preserve">describe associations, not causal effects, trading forecasts or a new</w:t>
      </w:r>
      <w:r>
        <w:t xml:space="preserve"> </w:t>
      </w:r>
      <w:r>
        <w:t xml:space="preserve">spread estimator. Feature and importance stability is conditional on the</w:t>
      </w:r>
      <w:r>
        <w:t xml:space="preserve"> </w:t>
      </w:r>
      <w:r>
        <w:t xml:space="preserve">sampled assets/calendars; correlated predictors can share</w:t>
      </w:r>
      <w:r>
        <w:t xml:space="preserve"> </w:t>
      </w:r>
      <w:r>
        <w:t xml:space="preserve">importance.</w:t>
      </w:r>
    </w:p>
    <w:bookmarkEnd w:id="31"/>
    <w:bookmarkEnd w:id="32"/>
    <w:bookmarkStart w:id="34" w:name="robustness-and-falsification"/>
    <w:p>
      <w:pPr>
        <w:pStyle w:val="Heading2"/>
        <w:keepNext/>
      </w:pPr>
      <w:r>
        <w:t xml:space="preserve">5. Robustness and</w:t>
      </w:r>
      <w:r>
        <w:t xml:space="preserve"> </w:t>
      </w:r>
      <w:r>
        <w:t xml:space="preserve">Falsification</w:t>
      </w:r>
    </w:p>
    <w:p>
      <w:pPr>
        <w:pStyle w:val="FirstParagraph"/>
      </w:pPr>
      <w:r>
        <w:t xml:space="preserve">The prespecified robustness analysis is summarized in Table 4.</w:t>
      </w:r>
      <w:r>
        <w:t xml:space="preserve"> </w:t>
      </w:r>
      <w:r>
        <w:t xml:space="preserve">These checks investigate the boundaries of the primary result; none</w:t>
      </w:r>
      <w:r>
        <w:t xml:space="preserve"> </w:t>
      </w:r>
      <w:r>
        <w:t xml:space="preserve">becomes a preferred replacement sample. Their interpretation</w:t>
      </w:r>
      <w:r>
        <w:t xml:space="preserve"> </w:t>
      </w:r>
      <w:r>
        <w:t xml:space="preserve">distinguishes benchmark precision, weighting, daily-input convention and</w:t>
      </w:r>
      <w:r>
        <w:t xml:space="preserve"> </w:t>
      </w:r>
      <w:r>
        <w:t xml:space="preserve">influential observations rather than treating every alternative as an</w:t>
      </w:r>
      <w:r>
        <w:t xml:space="preserve"> </w:t>
      </w:r>
      <w:r>
        <w:t xml:space="preserve">interchangeable replication.</w:t>
      </w:r>
    </w:p>
    <w:p>
      <w:pPr>
        <w:pStyle w:val="BodyText"/>
      </w:pPr>
      <w:r>
        <w:t xml:space="preserve">The Roll coverage sensitivities retain observations whose valid pair</w:t>
      </w:r>
      <w:r>
        <w:t xml:space="preserve"> </w:t>
      </w:r>
      <w:r>
        <w:t xml:space="preserve">coverage reaches a quarter or half of the regular-session clock</w:t>
      </w:r>
      <w:r>
        <w:t xml:space="preserve"> </w:t>
      </w:r>
      <w:r>
        <w:t xml:space="preserve">opportunities. Those denominators represent the frozen regular envelope,</w:t>
      </w:r>
      <w:r>
        <w:t xml:space="preserve"> </w:t>
      </w:r>
      <w:r>
        <w:t xml:space="preserve">not an imputed minute sequence or an independently certified early-close</w:t>
      </w:r>
      <w:r>
        <w:t xml:space="preserve"> </w:t>
      </w:r>
      <w:r>
        <w:t xml:space="preserve">schedule. The R25 and R50 diagnostics retain 16,150 and 12,908 common</w:t>
      </w:r>
      <w:r>
        <w:t xml:space="preserve"> </w:t>
      </w:r>
      <w:r>
        <w:t xml:space="preserve">asset-days, respectively. Overall EDGE leadership and the class-level</w:t>
      </w:r>
      <w:r>
        <w:t xml:space="preserve"> </w:t>
      </w:r>
      <w:r>
        <w:t xml:space="preserve">leader patterns remain unchanged under both coverage filters. The LOW</w:t>
      </w:r>
      <w:r>
        <w:t xml:space="preserve"> </w:t>
      </w:r>
      <w:r>
        <w:t xml:space="preserve">ETF cell contracts to 6 observations under R25 and 0 under R50, making</w:t>
      </w:r>
      <w:r>
        <w:t xml:space="preserve"> </w:t>
      </w:r>
      <w:r>
        <w:t xml:space="preserve">its filtered comparison tiny or unavailable. Such depletion cautions</w:t>
      </w:r>
      <w:r>
        <w:t xml:space="preserve"> </w:t>
      </w:r>
      <w:r>
        <w:t xml:space="preserve">against strong conclusions from filtered tier cells. The coverage</w:t>
      </w:r>
      <w:r>
        <w:t xml:space="preserve"> </w:t>
      </w:r>
      <w:r>
        <w:t xml:space="preserve">thresholds were prescribed, not chosen to improve estimator ranking, and</w:t>
      </w:r>
      <w:r>
        <w:t xml:space="preserve"> </w:t>
      </w:r>
      <w:r>
        <w:t xml:space="preserve">are not the primary inclusion rule.</w:t>
      </w:r>
    </w:p>
    <w:p>
      <w:pPr>
        <w:pStyle w:val="BodyText"/>
      </w:pPr>
      <w:r>
        <w:t xml:space="preserve">Equal-asset weighting leaves the overall and class-level MAE and RMSE</w:t>
      </w:r>
      <w:r>
        <w:t xml:space="preserve"> </w:t>
      </w:r>
      <w:r>
        <w:t xml:space="preserve">leaders unchanged. This reduces concern that unequal numbers of</w:t>
      </w:r>
      <w:r>
        <w:t xml:space="preserve"> </w:t>
      </w:r>
      <w:r>
        <w:t xml:space="preserve">available asset-days across securities alone determine the principal</w:t>
      </w:r>
      <w:r>
        <w:t xml:space="preserve"> </w:t>
      </w:r>
      <w:r>
        <w:t xml:space="preserve">ordering. It does not balance calendars across classes or resolve</w:t>
      </w:r>
      <w:r>
        <w:t xml:space="preserve"> </w:t>
      </w:r>
      <w:r>
        <w:t xml:space="preserve">outcome-dependent definedness. Equal-asset weighting addresses a</w:t>
      </w:r>
      <w:r>
        <w:t xml:space="preserve"> </w:t>
      </w:r>
      <w:r>
        <w:t xml:space="preserve">particular weighting sensitivity rather than making the sampled universe</w:t>
      </w:r>
      <w:r>
        <w:t xml:space="preserve"> </w:t>
      </w:r>
      <w:r>
        <w:t xml:space="preserve">representative of all securities in a liquidity regime.</w:t>
      </w:r>
    </w:p>
    <w:p>
      <w:pPr>
        <w:pStyle w:val="BodyText"/>
      </w:pPr>
      <w:r>
        <w:t xml:space="preserve">Matched adjusted-versus-unadjusted Bloomberg comparisons preserve the</w:t>
      </w:r>
      <w:r>
        <w:t xml:space="preserve"> </w:t>
      </w:r>
      <w:r>
        <w:t xml:space="preserve">stock and ETF class-level leader patterns. This comparison uses matched</w:t>
      </w:r>
      <w:r>
        <w:t xml:space="preserve"> </w:t>
      </w:r>
      <w:r>
        <w:t xml:space="preserve">target dates and unchanged Roll values, separating daily-source</w:t>
      </w:r>
      <w:r>
        <w:t xml:space="preserve"> </w:t>
      </w:r>
      <w:r>
        <w:t xml:space="preserve">convention from sample composition. Verified split boundaries can</w:t>
      </w:r>
      <w:r>
        <w:t xml:space="preserve"> </w:t>
      </w:r>
      <w:r>
        <w:t xml:space="preserve">interrupt crossing unadjusted windows, while heuristic</w:t>
      </w:r>
      <w:r>
        <w:t xml:space="preserve"> </w:t>
      </w:r>
      <w:r>
        <w:t xml:space="preserve">adjusted-versus-unadjusted discontinuities remain diagnostics rather</w:t>
      </w:r>
      <w:r>
        <w:t xml:space="preserve"> </w:t>
      </w:r>
      <w:r>
        <w:t xml:space="preserve">than verified corporate actions. The stability of class leaders does not</w:t>
      </w:r>
      <w:r>
        <w:t xml:space="preserve"> </w:t>
      </w:r>
      <w:r>
        <w:t xml:space="preserve">establish perfect adjustment equivalence, especially around individual</w:t>
      </w:r>
      <w:r>
        <w:t xml:space="preserve"> </w:t>
      </w:r>
      <w:r>
        <w:t xml:space="preserve">corporate events or where acquisition settings were incompletely</w:t>
      </w:r>
      <w:r>
        <w:t xml:space="preserve"> </w:t>
      </w:r>
      <w:r>
        <w:t xml:space="preserve">recorded.</w:t>
      </w:r>
    </w:p>
    <w:p>
      <w:pPr>
        <w:pStyle w:val="BodyText"/>
      </w:pPr>
      <w:r>
        <w:t xml:space="preserve">Under the EDGE absolute-root convention, EDGE remains the overall</w:t>
      </w:r>
      <w:r>
        <w:t xml:space="preserve"> </w:t>
      </w:r>
      <w:r>
        <w:t xml:space="preserve">leader, but CS leads both MAE and RMSE for stocks. Stock conclusions are</w:t>
      </w:r>
      <w:r>
        <w:t xml:space="preserve"> </w:t>
      </w:r>
      <w:r>
        <w:t xml:space="preserve">therefore sensitive to how finite negative EDGE moments are translated</w:t>
      </w:r>
      <w:r>
        <w:t xml:space="preserve"> </w:t>
      </w:r>
      <w:r>
        <w:t xml:space="preserve">into nonnegative spreads. The primary convention remains the published</w:t>
      </w:r>
      <w:r>
        <w:t xml:space="preserve"> </w:t>
      </w:r>
      <w:r>
        <w:t xml:space="preserve">zero floor; the absolute-root exercise cannot justify switching</w:t>
      </w:r>
      <w:r>
        <w:t xml:space="preserve"> </w:t>
      </w:r>
      <w:r>
        <w:t xml:space="preserve">conventions retrospectively. The overall accuracy finding survives this</w:t>
      </w:r>
      <w:r>
        <w:t xml:space="preserve"> </w:t>
      </w:r>
      <w:r>
        <w:t xml:space="preserve">change, but the local stock boundary is economically relevant for users</w:t>
      </w:r>
      <w:r>
        <w:t xml:space="preserve"> </w:t>
      </w:r>
      <w:r>
        <w:t xml:space="preserve">interpreting daily measures.</w:t>
      </w:r>
    </w:p>
    <w:p>
      <w:pPr>
        <w:pStyle w:val="BodyText"/>
      </w:pPr>
      <w:r>
        <w:t xml:space="preserve">The leave-one-asset-out MAE leader never changes within a class,</w:t>
      </w:r>
      <w:r>
        <w:t xml:space="preserve"> </w:t>
      </w:r>
      <w:r>
        <w:t xml:space="preserve">whereas stock RMSE leadership changes from CS to EDGE when SNDL is</w:t>
      </w:r>
      <w:r>
        <w:t xml:space="preserve"> </w:t>
      </w:r>
      <w:r>
        <w:t xml:space="preserve">omitted. Removing the largest absolute-error stock AR observation in the</w:t>
      </w:r>
      <w:r>
        <w:t xml:space="preserve"> </w:t>
      </w:r>
      <w:r>
        <w:t xml:space="preserve">saved influence diagnostic reduces that method’s stock RMSE by 7.19%.</w:t>
      </w:r>
      <w:r>
        <w:t xml:space="preserve"> </w:t>
      </w:r>
      <w:r>
        <w:t xml:space="preserve">These are saved sensitivity results, not exclusions applied to the</w:t>
      </w:r>
      <w:r>
        <w:t xml:space="preserve"> </w:t>
      </w:r>
      <w:r>
        <w:t xml:space="preserve">primary paper sample. The single-extreme exercise may remove a different</w:t>
      </w:r>
      <w:r>
        <w:t xml:space="preserve"> </w:t>
      </w:r>
      <w:r>
        <w:t xml:space="preserve">observation for each method and consequently is an influence</w:t>
      </w:r>
      <w:r>
        <w:t xml:space="preserve"> </w:t>
      </w:r>
      <w:r>
        <w:t xml:space="preserve">decomposition rather than a new common-sample horse race. No</w:t>
      </w:r>
      <w:r>
        <w:t xml:space="preserve"> </w:t>
      </w:r>
      <w:r>
        <w:t xml:space="preserve">observations are removed from primary results. Taken together, the</w:t>
      </w:r>
      <w:r>
        <w:t xml:space="preserve"> </w:t>
      </w:r>
      <w:r>
        <w:t xml:space="preserve">applicable checks preserve overall EDGE leadership while identifying</w:t>
      </w:r>
      <w:r>
        <w:t xml:space="preserve"> </w:t>
      </w:r>
      <w:r>
        <w:t xml:space="preserve">fragile stock and sparse-tier conclusions; they do not convert</w:t>
      </w:r>
      <w:r>
        <w:t xml:space="preserve"> </w:t>
      </w:r>
      <w:r>
        <w:t xml:space="preserve">descriptive robustness into a significance test.</w:t>
      </w:r>
    </w:p>
    <w:bookmarkStart w:id="33" w:name="Xf66980ce603d79a9218bb3f611b566ccaca3884"/>
    <w:p>
      <w:pPr>
        <w:pStyle w:val="Heading3"/>
        <w:keepNext/>
      </w:pPr>
      <w:r>
        <w:t xml:space="preserve">Table</w:t>
      </w:r>
      <w:r>
        <w:t xml:space="preserve"> </w:t>
      </w:r>
      <w:r>
        <w:t xml:space="preserve">4. Prespecified robustness and diagnostic summary</w:t>
      </w:r>
    </w:p>
    <w:p>
      <w:pPr>
        <w:pStyle w:val="FirstParagraph"/>
      </w:pPr>
      <w:r>
        <w:t xml:space="preserve">Step19 sensitivities and Step20 diagnostics NEVER replace Step18.</w:t>
      </w:r>
      <w:r>
        <w:t xml:space="preserve"> </w:t>
      </w:r>
      <w:r>
        <w:t xml:space="preserve">Overall EDGE leadership survives applicable accuracy sensitivities.</w:t>
      </w:r>
      <w:r>
        <w:t xml:space="preserve"> </w:t>
      </w:r>
      <w:r>
        <w:t xml:space="preserve">Stock RMSE is fragile; stock EDGE MAE loses leadership under abs-root;</w:t>
      </w:r>
      <w:r>
        <w:t xml:space="preserve"> </w:t>
      </w:r>
      <w:r>
        <w:t xml:space="preserve">LOW ETF R25/R50 cells can be tiny/unavailable. ML/influence-only rows do</w:t>
      </w:r>
      <w:r>
        <w:t xml:space="preserve"> </w:t>
      </w:r>
      <w:r>
        <w:t xml:space="preserve">not define new spread rankings. Full class/tier sensitivity cells are in</w:t>
      </w:r>
      <w:r>
        <w:t xml:space="preserve"> </w:t>
      </w:r>
      <w:r>
        <w:t xml:space="preserve">the CSV.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on"/>
          <w:tblHeader/>
        </w:trP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variant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 class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liquidity tier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sample n display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mae leader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rmse leader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primary conclusion changed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16150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overall.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7436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1151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5896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 x tier.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12908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overall.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6399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732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1652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4125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R50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 x tier.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Equal asset weighting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overall.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Equal asset weighting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Equal asset weighting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Equal asset weighting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Equal asset weighting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Equal asset weighting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 x tier. Notes: ROBUSTNESS / SENSITIVITY only; original Step18 source files remain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primary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Bloomberg unadjusted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Paired adjusted/unadjusted comparison uses identical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unadjusted-common dates; verified incoming split edges broken only 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unadjusted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Bloomberg unadjusted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Paired adjusted/unadjusted comparison uses identical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unadjusted-common dates; verified incoming split edges broken only 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unadjusted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Bloomberg unadjusted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 x tier. Notes: Paired adjusted/unadjusted comparison uses identical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unadjusted-common dates; verified incoming split edges broken only 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unadjusted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abs-root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overall. Notes: CS/AR unchanged; alternative EDGE replaces zero floor only for this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sensitivity; not a raw-negative definition change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abs-root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CS/AR unchanged; alternative EDGE replaces zero floor only for this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sensitivity; not a raw-negative definition change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abs-root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CS/AR unchanged; alternative EDGE replaces zero floor only for this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sensitivity; not a raw-negative definition change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abs-root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CS/AR unchanged; alternative EDGE replaces zero floor only for this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sensitivity; not a raw-negative definition change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abs-root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asset class. Notes: CS/AR unchanged; alternative EDGE replaces zero floor only for this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sensitivity; not a raw-negative definition change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Leave-one-asset-out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8476–9457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class. Notes: Nine deterministic asset omissions within class; not a preferred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alternative sample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Leave-one-asset-out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2462–3154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class. Notes: Nine deterministic asset omissions within class; not a preferred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alternative sample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Leave-one-asset-out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1437–1535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class. Notes: Nine deterministic asset omissions within class; not a preferred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alternative sample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Leave-one-asset-out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8266–9066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CS;EDGE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class. Notes: Nine deterministic asset omissions within class; not a preferred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alternative sample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Single-extreme influence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 x method. Notes: Different single observation per method; diagnostic only, not a new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common-sample horse race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Single-extreme influence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3174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 x method. Notes: Different single observation per method; diagnostic only, not a new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common-sample horse race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Single-extreme influence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 x method. Notes: Different single observation per method; diagnostic only, not a new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common-sample horse race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Single-extreme influence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9706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RANKED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class x method. Notes: Different single observation per method; diagnostic only, not a new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common-sample horse race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Cross-fitted error model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absolute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Cross-fitted error model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signed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Cross-fitted error model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absolute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Cross-fitted error model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signed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Cross-fitted error model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absolute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Cross-fitted error model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signed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Lagged placebo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absolute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Lagged placebo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signed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Lagged placebo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absolute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Lagged placebo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signed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Lagged placebo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absolute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  <w:tr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Lagged placebo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ALL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W w:type="dxa" w:w="197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 RETESTED</w:t>
            </w:r>
          </w:p>
        </w:tc>
      </w:tr>
      <w:tr>
        <w:tc>
          <w:tcPr>
            <w:tcW w:type="dxa" w:w="1975"/>
            <w:gridSpan w:val="7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Scope: signed error bps. Notes: Prediction of errors, not spread accuracy or a new estimator;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association only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Stocks: 2019-08-01–2025-12-31; ETFs: 2020-09-15–2025-12-31; futures:</w:t>
      </w:r>
      <w:r>
        <w:t xml:space="preserve"> </w:t>
      </w:r>
      <w:r>
        <w:t xml:space="preserve">2024 only; crypto: 2022-02-01–2025-12-31. FX: in scope but blocked</w:t>
      </w:r>
      <w:r>
        <w:t xml:space="preserve"> </w:t>
      </w:r>
      <w:r>
        <w:t xml:space="preserve">official source access. Roll is a transaction-close proxy, not true</w:t>
      </w:r>
      <w:r>
        <w:t xml:space="preserve"> </w:t>
      </w:r>
      <w:r>
        <w:t xml:space="preserve">effective spread or NBBO cost. Roll undefinedness is the main sample</w:t>
      </w:r>
      <w:r>
        <w:t xml:space="preserve"> </w:t>
      </w:r>
      <w:r>
        <w:t xml:space="preserve">bottleneck; ETF availability is especially low. Common-defined</w:t>
      </w:r>
      <w:r>
        <w:t xml:space="preserve"> </w:t>
      </w:r>
      <w:r>
        <w:t xml:space="preserve">conditioning can create economic selection; no reliability cutoff beyond</w:t>
      </w:r>
      <w:r>
        <w:t xml:space="preserve"> </w:t>
      </w:r>
      <w:r>
        <w:t xml:space="preserve">frozen computability is primary. Classes have different calendar</w:t>
      </w:r>
      <w:r>
        <w:t xml:space="preserve"> </w:t>
      </w:r>
      <w:r>
        <w:t xml:space="preserve">support; this is not a balanced 2015–2025 all-class panel. Futures</w:t>
      </w:r>
      <w:r>
        <w:t xml:space="preserve"> </w:t>
      </w:r>
      <w:r>
        <w:t xml:space="preserve">primary analysis is 2024 only; supplementary heterogeneous histories are</w:t>
      </w:r>
      <w:r>
        <w:t xml:space="preserve"> </w:t>
      </w:r>
      <w:r>
        <w:t xml:space="preserve">not the primary tier comparison. Liquidity tiers use 2024 information,</w:t>
      </w:r>
      <w:r>
        <w:t xml:space="preserve"> </w:t>
      </w:r>
      <w:r>
        <w:t xml:space="preserve">including ex-post/look-ahead classification before 2024 and an</w:t>
      </w:r>
      <w:r>
        <w:t xml:space="preserve"> </w:t>
      </w:r>
      <w:r>
        <w:t xml:space="preserve">in-calibration-year futures comparison. Futures and crypto share minute</w:t>
      </w:r>
      <w:r>
        <w:t xml:space="preserve"> </w:t>
      </w:r>
      <w:r>
        <w:t xml:space="preserve">sources between daily OHLC and Roll, creating mechanical dependence.</w:t>
      </w:r>
      <w:r>
        <w:t xml:space="preserve"> </w:t>
      </w:r>
      <w:r>
        <w:t xml:space="preserve">Crypto formal quote currency remains UNKNOWN; no USD spread claim is</w:t>
      </w:r>
      <w:r>
        <w:t xml:space="preserve"> </w:t>
      </w:r>
      <w:r>
        <w:t xml:space="preserve">made. Bloomberg CshAdjAbnormal is UNKNOWN; acquired adjustment/session</w:t>
      </w:r>
      <w:r>
        <w:t xml:space="preserve"> </w:t>
      </w:r>
      <w:r>
        <w:t xml:space="preserve">equivalence with local First Rate is not certified. IMDX historical</w:t>
      </w:r>
      <w:r>
        <w:t xml:space="preserve"> </w:t>
      </w:r>
      <w:r>
        <w:t xml:space="preserve">economic-identity continuity is not independently certified; no manual</w:t>
      </w:r>
      <w:r>
        <w:t xml:space="preserve"> </w:t>
      </w:r>
      <w:r>
        <w:t xml:space="preserve">OCX stitching. FX remains in scope but blocked by official</w:t>
      </w:r>
      <w:r>
        <w:t xml:space="preserve"> </w:t>
      </w:r>
      <w:r>
        <w:t xml:space="preserve">sharing/synchronization access; no substitute data were used. MAE/RMSE</w:t>
      </w:r>
      <w:r>
        <w:t xml:space="preserve"> </w:t>
      </w:r>
      <w:r>
        <w:t xml:space="preserve">rankings are descriptive; no statistical test of metric differences was</w:t>
      </w:r>
      <w:r>
        <w:t xml:space="preserve"> </w:t>
      </w:r>
      <w:r>
        <w:t xml:space="preserve">specified. HAC applies to signed bias only. Cross-fitted error models</w:t>
      </w:r>
      <w:r>
        <w:t xml:space="preserve"> </w:t>
      </w:r>
      <w:r>
        <w:t xml:space="preserve">describe associations, not causal effects, trading forecasts or a new</w:t>
      </w:r>
      <w:r>
        <w:t xml:space="preserve"> </w:t>
      </w:r>
      <w:r>
        <w:t xml:space="preserve">spread estimator. Feature and importance stability is conditional on the</w:t>
      </w:r>
      <w:r>
        <w:t xml:space="preserve"> </w:t>
      </w:r>
      <w:r>
        <w:t xml:space="preserve">sampled assets/calendars; correlated predictors can share</w:t>
      </w:r>
      <w:r>
        <w:t xml:space="preserve"> </w:t>
      </w:r>
      <w:r>
        <w:t xml:space="preserve">importance.</w:t>
      </w:r>
    </w:p>
    <w:bookmarkEnd w:id="33"/>
    <w:bookmarkEnd w:id="34"/>
    <w:bookmarkStart w:id="39" w:name="cross-fitted-error-diagnostics"/>
    <w:p>
      <w:pPr>
        <w:pStyle w:val="Heading2"/>
        <w:keepNext/>
      </w:pPr>
      <w:r>
        <w:t xml:space="preserve">6. Cross-Fitted Error</w:t>
      </w:r>
      <w:r>
        <w:t xml:space="preserve"> </w:t>
      </w:r>
      <w:r>
        <w:t xml:space="preserve">Diagnostics</w:t>
      </w:r>
    </w:p>
    <w:p>
      <w:pPr>
        <w:pStyle w:val="FirstParagraph"/>
      </w:pPr>
      <w:r>
        <w:t xml:space="preserve">This section is secondary diagnostic and robustness analysis,</w:t>
      </w:r>
      <w:r>
        <w:t xml:space="preserve"> </w:t>
      </w:r>
      <w:r>
        <w:t xml:space="preserve">distinct from primary estimator performance. A fixed</w:t>
      </w:r>
      <w:r>
        <w:t xml:space="preserve"> </w:t>
      </w:r>
      <w:r>
        <w:t xml:space="preserve">HistGradientBoostingRegressor predicts signed and absolute</w:t>
      </w:r>
      <w:r>
        <w:t xml:space="preserve"> </w:t>
      </w:r>
      <w:r>
        <w:t xml:space="preserve">benchmark-relative errors, with no hyperparameter search or</w:t>
      </w:r>
      <w:r>
        <w:t xml:space="preserve"> </w:t>
      </w:r>
      <w:r>
        <w:t xml:space="preserve">outcome-driven feature selection. The diagnostic uses the same 24,377</w:t>
      </w:r>
      <w:r>
        <w:t xml:space="preserve"> </w:t>
      </w:r>
      <w:r>
        <w:t xml:space="preserve">common-defined observations, with five chronological test folds and an</w:t>
      </w:r>
      <w:r>
        <w:t xml:space="preserve"> </w:t>
      </w:r>
      <w:r>
        <w:t xml:space="preserve">embargo of one percent, equivalent to 21 subsequent target dates where</w:t>
      </w:r>
      <w:r>
        <w:t xml:space="preserve"> </w:t>
      </w:r>
      <w:r>
        <w:t xml:space="preserve">available. Training rows whose actual estimator-information intervals</w:t>
      </w:r>
      <w:r>
        <w:t xml:space="preserve"> </w:t>
      </w:r>
      <w:r>
        <w:t xml:space="preserve">overlap test information are purged. Numerical preprocessing and</w:t>
      </w:r>
      <w:r>
        <w:t xml:space="preserve"> </w:t>
      </w:r>
      <w:r>
        <w:t xml:space="preserve">category encoding use training data only, and permutation importance is</w:t>
      </w:r>
      <w:r>
        <w:t xml:space="preserve"> </w:t>
      </w:r>
      <w:r>
        <w:t xml:space="preserve">evaluated on held-out raw feature columns.</w:t>
      </w:r>
    </w:p>
    <w:p>
      <w:pPr>
        <w:pStyle w:val="BodyText"/>
      </w:pPr>
      <w:r>
        <w:t xml:space="preserve">For absolute-error targets, pooled cross-fitted R² is 0.305 for CS,</w:t>
      </w:r>
      <w:r>
        <w:t xml:space="preserve"> </w:t>
      </w:r>
      <w:r>
        <w:t xml:space="preserve">0.162 for AR and 0.239 for EDGE. Estimator errors contain some</w:t>
      </w:r>
      <w:r>
        <w:t xml:space="preserve"> </w:t>
      </w:r>
      <w:r>
        <w:t xml:space="preserve">predictable structure, but these fits neither correct the primary</w:t>
      </w:r>
      <w:r>
        <w:t xml:space="preserve"> </w:t>
      </w:r>
      <w:r>
        <w:t xml:space="preserve">estimates nor produce a new spread estimator. Pooled predictability can</w:t>
      </w:r>
      <w:r>
        <w:t xml:space="preserve"> </w:t>
      </w:r>
      <w:r>
        <w:t xml:space="preserve">coexist with negative class-specific predictive fit, so aggregate</w:t>
      </w:r>
      <w:r>
        <w:t xml:space="preserve"> </w:t>
      </w:r>
      <w:r>
        <w:t xml:space="preserve">performance should not be read as uniform diagnostic success. Block</w:t>
      </w:r>
      <w:r>
        <w:t xml:space="preserve"> </w:t>
      </w:r>
      <w:r>
        <w:t xml:space="preserve">cross-fitting may train on later non-overlapping periods; it measures</w:t>
      </w:r>
      <w:r>
        <w:t xml:space="preserve"> </w:t>
      </w:r>
      <w:r>
        <w:t xml:space="preserve">ex-post association rather than forward-only forecast performance or</w:t>
      </w:r>
      <w:r>
        <w:t xml:space="preserve"> </w:t>
      </w:r>
      <w:r>
        <w:t xml:space="preserve">trading usefulness.</w:t>
      </w:r>
    </w:p>
    <w:p>
      <w:pPr>
        <w:pStyle w:val="BodyText"/>
      </w:pPr>
      <w:r>
        <w:t xml:space="preserve">Daily high-low range dominates CS absolute-error importance; range</w:t>
      </w:r>
      <w:r>
        <w:t xml:space="preserve"> </w:t>
      </w:r>
      <w:r>
        <w:t xml:space="preserve">and open-close movement dominate AR, while asset class and range are</w:t>
      </w:r>
      <w:r>
        <w:t xml:space="preserve"> </w:t>
      </w:r>
      <w:r>
        <w:t xml:space="preserve">especially important for EDGE. Figure 5</w:t>
      </w:r>
      <w:r>
        <w:t xml:space="preserve"> </w:t>
      </w:r>
      <w:r>
        <w:t xml:space="preserve">reports test-set permutation importance and fold variation, not causal</w:t>
      </w:r>
      <w:r>
        <w:t xml:space="preserve"> </w:t>
      </w:r>
      <w:r>
        <w:t xml:space="preserve">coefficients or confidence intervals. Liquidity-tier importance is small</w:t>
      </w:r>
      <w:r>
        <w:t xml:space="preserve"> </w:t>
      </w:r>
      <w:r>
        <w:t xml:space="preserve">and unstable conditional on other included features. This does not</w:t>
      </w:r>
      <w:r>
        <w:t xml:space="preserve"> </w:t>
      </w:r>
      <w:r>
        <w:t xml:space="preserve">establish that liquidity is economically irrelevant: correlated asset,</w:t>
      </w:r>
      <w:r>
        <w:t xml:space="preserve"> </w:t>
      </w:r>
      <w:r>
        <w:t xml:space="preserve">class, tier and price-condition variables can substitute for one</w:t>
      </w:r>
      <w:r>
        <w:t xml:space="preserve"> </w:t>
      </w:r>
      <w:r>
        <w:t xml:space="preserve">another, while different price and volume units complicate economic</w:t>
      </w:r>
      <w:r>
        <w:t xml:space="preserve"> </w:t>
      </w:r>
      <w:r>
        <w:t xml:space="preserve">interpretation.</w:t>
      </w:r>
    </w:p>
    <w:bookmarkStart w:id="38" w:name="X3c226ff6f47438439594ff08494b31302976840"/>
    <w:p>
      <w:pPr>
        <w:pStyle w:val="Heading3"/>
        <w:keepNext/>
        <w:pageBreakBefore/>
      </w:pPr>
      <w:r>
        <w:t xml:space="preserve">Figure</w:t>
      </w:r>
      <w:r>
        <w:t xml:space="preserve"> </w:t>
      </w:r>
      <w:r>
        <w:t xml:space="preserve">5. Secondary diagnostic: absolute-error permutation importance, mean and</w:t>
      </w:r>
      <w:r>
        <w:t xml:space="preserve"> </w:t>
      </w:r>
      <w:r>
        <w:t xml:space="preserve">fold standard deviation, not confidence intervals or causal</w:t>
      </w:r>
      <w:r>
        <w:t xml:space="preserve"> </w:t>
      </w:r>
      <w:r>
        <w:t xml:space="preserve">effects.</w:t>
      </w:r>
    </w:p>
    <w:p>
      <w:pPr>
        <w:pStyle w:val="CaptionedFigure"/>
      </w:pPr>
      <w:r>
        <w:drawing>
          <wp:inline>
            <wp:extent cx="6400800" cy="2923002"/>
            <wp:effectExtent b="0" l="0" r="0" t="0"/>
            <wp:docPr descr="Figure 5. Secondary diagnostic: absolute-error permutation importance, mean and fold standard deviation, not confidence intervals or causal effects." title="" id="36" name="Picture"/>
            <a:graphic>
              <a:graphicData uri="http://schemas.openxmlformats.org/drawingml/2006/picture">
                <pic:pic>
                  <pic:nvPicPr>
                    <pic:cNvPr descr="figure5_error_predicto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Secondary diagnostic:</w:t>
      </w:r>
      <w:r>
        <w:t xml:space="preserve"> </w:t>
      </w:r>
      <w:r>
        <w:t xml:space="preserve">absolute-error permutation importance, mean and fold standard deviation,</w:t>
      </w:r>
      <w:r>
        <w:t xml:space="preserve"> </w:t>
      </w:r>
      <w:r>
        <w:t xml:space="preserve">not confidence intervals or causal effects.</w:t>
      </w:r>
    </w:p>
    <w:p>
      <w:pPr>
        <w:pStyle w:val="BodyText"/>
      </w:pPr>
      <w:r>
        <w:t xml:space="preserve">Range and open-close conditions also overlap conceptually with the</w:t>
      </w:r>
      <w:r>
        <w:t xml:space="preserve"> </w:t>
      </w:r>
      <w:r>
        <w:t xml:space="preserve">estimators’ own inputs. Their predictive importance is partly mechanical</w:t>
      </w:r>
      <w:r>
        <w:t xml:space="preserve"> </w:t>
      </w:r>
      <w:r>
        <w:t xml:space="preserve">and may describe the benchmark proxy’s behavior as well as estimator</w:t>
      </w:r>
      <w:r>
        <w:t xml:space="preserve"> </w:t>
      </w:r>
      <w:r>
        <w:t xml:space="preserve">error. Permuting a feature can create combinations outside observed</w:t>
      </w:r>
      <w:r>
        <w:t xml:space="preserve"> </w:t>
      </w:r>
      <w:r>
        <w:t xml:space="preserve">support; importance is conditional on the fitted model, sampled assets</w:t>
      </w:r>
      <w:r>
        <w:t xml:space="preserve"> </w:t>
      </w:r>
      <w:r>
        <w:t xml:space="preserve">and calendar. These qualifications are especially important where daily</w:t>
      </w:r>
      <w:r>
        <w:t xml:space="preserve"> </w:t>
      </w:r>
      <w:r>
        <w:t xml:space="preserve">OHLC and Roll share their underlying minute source.</w:t>
      </w:r>
    </w:p>
    <w:p>
      <w:pPr>
        <w:pStyle w:val="BodyText"/>
      </w:pPr>
      <w:r>
        <w:t xml:space="preserve">The lagged placebo preserves substantial predictability: pooled</w:t>
      </w:r>
      <w:r>
        <w:t xml:space="preserve"> </w:t>
      </w:r>
      <w:r>
        <w:t xml:space="preserve">absolute-error R² is 0.310 for CS, 0.099 for AR and 0.156 for EDGE. By</w:t>
      </w:r>
      <w:r>
        <w:t xml:space="preserve"> </w:t>
      </w:r>
      <w:r>
        <w:t xml:space="preserve">pooled R² and RMSE, AR and EDGE weaken under lagged alignment, whereas</w:t>
      </w:r>
      <w:r>
        <w:t xml:space="preserve"> </w:t>
      </w:r>
      <w:r>
        <w:t xml:space="preserve">CS does not. Temporal persistence therefore limits a strong</w:t>
      </w:r>
      <w:r>
        <w:t xml:space="preserve"> </w:t>
      </w:r>
      <w:r>
        <w:t xml:space="preserve">interpretation of exact same-day feature alignment. This falsification</w:t>
      </w:r>
      <w:r>
        <w:t xml:space="preserve"> </w:t>
      </w:r>
      <w:r>
        <w:t xml:space="preserve">retains the immediately preceding scheduled feature period rather than</w:t>
      </w:r>
      <w:r>
        <w:t xml:space="preserve"> </w:t>
      </w:r>
      <w:r>
        <w:t xml:space="preserve">compressing available observations or importing future predictors.</w:t>
      </w:r>
      <w:r>
        <w:t xml:space="preserve"> </w:t>
      </w:r>
      <w:r>
        <w:t xml:space="preserve">Neither the placebo nor the importance results support causality, a new</w:t>
      </w:r>
      <w:r>
        <w:t xml:space="preserve"> </w:t>
      </w:r>
      <w:r>
        <w:t xml:space="preserve">trading strategy, or a revised primary estimator ranking.</w:t>
      </w:r>
    </w:p>
    <w:bookmarkEnd w:id="38"/>
    <w:bookmarkEnd w:id="39"/>
    <w:bookmarkStart w:id="40" w:name="limitations"/>
    <w:p>
      <w:pPr>
        <w:pStyle w:val="Heading2"/>
        <w:keepNext/>
      </w:pPr>
      <w:r>
        <w:t xml:space="preserve">7. Limitations</w:t>
      </w:r>
    </w:p>
    <w:p>
      <w:pPr>
        <w:pStyle w:val="FirstParagraph"/>
      </w:pPr>
      <w:r>
        <w:t xml:space="preserve">The benchmark is not ground truth. Roll estimates an implicit spread</w:t>
      </w:r>
      <w:r>
        <w:t xml:space="preserve"> </w:t>
      </w:r>
      <w:r>
        <w:t xml:space="preserve">from sampled transaction-price closes and cannot recover NBBO costs or</w:t>
      </w:r>
      <w:r>
        <w:t xml:space="preserve"> </w:t>
      </w:r>
      <w:r>
        <w:t xml:space="preserve">effective execution spreads directly. Roll undefinedness affects 35.93%</w:t>
      </w:r>
      <w:r>
        <w:t xml:space="preserve"> </w:t>
      </w:r>
      <w:r>
        <w:t xml:space="preserve">of design days overall and 63.22% for ETFs. Joint definedness may select</w:t>
      </w:r>
      <w:r>
        <w:t xml:space="preserve"> </w:t>
      </w:r>
      <w:r>
        <w:t xml:space="preserve">particular price dynamics and trading conditions, making common-sample</w:t>
      </w:r>
      <w:r>
        <w:t xml:space="preserve"> </w:t>
      </w:r>
      <w:r>
        <w:t xml:space="preserve">accuracy economically selective. Mathematical computability with few</w:t>
      </w:r>
      <w:r>
        <w:t xml:space="preserve"> </w:t>
      </w:r>
      <w:r>
        <w:t xml:space="preserve">pairs does not certify precision, and the quality sensitivities cannot</w:t>
      </w:r>
      <w:r>
        <w:t xml:space="preserve"> </w:t>
      </w:r>
      <w:r>
        <w:t xml:space="preserve">recover information on undefined days.</w:t>
      </w:r>
    </w:p>
    <w:p>
      <w:pPr>
        <w:pStyle w:val="BodyText"/>
      </w:pPr>
      <w:r>
        <w:t xml:space="preserve">Temporal and sampling comparability are also limited. Class calendars</w:t>
      </w:r>
      <w:r>
        <w:t xml:space="preserve"> </w:t>
      </w:r>
      <w:r>
        <w:t xml:space="preserve">differ, the futures primary panel covers only its verified common year,</w:t>
      </w:r>
      <w:r>
        <w:t xml:space="preserve"> </w:t>
      </w:r>
      <w:r>
        <w:t xml:space="preserve">and the selected assets are not a market-wide probability sample. The</w:t>
      </w:r>
      <w:r>
        <w:t xml:space="preserve"> </w:t>
      </w:r>
      <w:r>
        <w:t xml:space="preserve">use of 2024 liquidity calibration introduces look-ahead classification</w:t>
      </w:r>
      <w:r>
        <w:t xml:space="preserve"> </w:t>
      </w:r>
      <w:r>
        <w:t xml:space="preserve">for earlier observations and makes the futures comparison conditional on</w:t>
      </w:r>
      <w:r>
        <w:t xml:space="preserve"> </w:t>
      </w:r>
      <w:r>
        <w:t xml:space="preserve">its calibration year. Historical supplementary panels cannot be pooled</w:t>
      </w:r>
      <w:r>
        <w:t xml:space="preserve"> </w:t>
      </w:r>
      <w:r>
        <w:t xml:space="preserve">with changing composition and interpreted solely as liquidity effects.</w:t>
      </w:r>
      <w:r>
        <w:t xml:space="preserve"> </w:t>
      </w:r>
      <w:r>
        <w:t xml:space="preserve">In particular, liquidity-stratified equity results do not establish a</w:t>
      </w:r>
      <w:r>
        <w:t xml:space="preserve"> </w:t>
      </w:r>
      <w:r>
        <w:t xml:space="preserve">separate small-cap result without a validated capitalization</w:t>
      </w:r>
      <w:r>
        <w:t xml:space="preserve"> </w:t>
      </w:r>
      <w:r>
        <w:t xml:space="preserve">classification.</w:t>
      </w:r>
    </w:p>
    <w:p>
      <w:pPr>
        <w:pStyle w:val="BodyText"/>
      </w:pPr>
      <w:r>
        <w:t xml:space="preserve">Source dependence and acquisition conventions constrain</w:t>
      </w:r>
      <w:r>
        <w:t xml:space="preserve"> </w:t>
      </w:r>
      <w:r>
        <w:t xml:space="preserve">interpretation. Futures and crypto use the same minute provider for OHLC</w:t>
      </w:r>
      <w:r>
        <w:t xml:space="preserve"> </w:t>
      </w:r>
      <w:r>
        <w:t xml:space="preserve">and Roll, so their agreement is not an independent-source cost</w:t>
      </w:r>
      <w:r>
        <w:t xml:space="preserve"> </w:t>
      </w:r>
      <w:r>
        <w:t xml:space="preserve">validation. Crypto’s formal quote currency remains UNKNOWN despite a</w:t>
      </w:r>
      <w:r>
        <w:t xml:space="preserve"> </w:t>
      </w:r>
      <w:r>
        <w:t xml:space="preserve">verified common quote basis; dimensionless and basis-point outputs do</w:t>
      </w:r>
      <w:r>
        <w:t xml:space="preserve"> </w:t>
      </w:r>
      <w:r>
        <w:t xml:space="preserve">not establish USD denomination. Bloomberg’s abnormal-dividend adjustment</w:t>
      </w:r>
      <w:r>
        <w:t xml:space="preserve"> </w:t>
      </w:r>
      <w:r>
        <w:t xml:space="preserve">setting is UNKNOWN, and equivalence between daily acquisition sessions</w:t>
      </w:r>
      <w:r>
        <w:t xml:space="preserve"> </w:t>
      </w:r>
      <w:r>
        <w:t xml:space="preserve">and local intraday conventions is uncertified. These are documented</w:t>
      </w:r>
      <w:r>
        <w:t xml:space="preserve"> </w:t>
      </w:r>
      <w:r>
        <w:t xml:space="preserve">limitations rather than defaults inferred from the results.</w:t>
      </w:r>
    </w:p>
    <w:p>
      <w:pPr>
        <w:pStyle w:val="BodyText"/>
      </w:pPr>
      <w:r>
        <w:t xml:space="preserve">IMDX economic-identity continuity is not independently certified, and</w:t>
      </w:r>
      <w:r>
        <w:t xml:space="preserve"> </w:t>
      </w:r>
      <w:r>
        <w:t xml:space="preserve">no discretionary OCX stitching resolves that uncertainty. FX remains</w:t>
      </w:r>
      <w:r>
        <w:t xml:space="preserve"> </w:t>
      </w:r>
      <w:r>
        <w:t xml:space="preserve">unavailable because of official source-access restrictions, with no</w:t>
      </w:r>
      <w:r>
        <w:t xml:space="preserve"> </w:t>
      </w:r>
      <w:r>
        <w:t xml:space="preserve">substitute introduced. These issues narrow the completed evidence</w:t>
      </w:r>
      <w:r>
        <w:t xml:space="preserve"> </w:t>
      </w:r>
      <w:r>
        <w:t xml:space="preserve">without changing the frozen universe after performance was observed.</w:t>
      </w:r>
      <w:r>
        <w:t xml:space="preserve"> </w:t>
      </w:r>
      <w:r>
        <w:t xml:space="preserve">Earlier source-defined history is not retroactively certified by its</w:t>
      </w:r>
      <w:r>
        <w:t xml:space="preserve"> </w:t>
      </w:r>
      <w:r>
        <w:t xml:space="preserve">inclusion in a validated analytic pipeline.</w:t>
      </w:r>
    </w:p>
    <w:p>
      <w:pPr>
        <w:pStyle w:val="BodyText"/>
      </w:pPr>
      <w:r>
        <w:t xml:space="preserve">Finally, descriptive ranking should not be mistaken for statistical</w:t>
      </w:r>
      <w:r>
        <w:t xml:space="preserve"> </w:t>
      </w:r>
      <w:r>
        <w:t xml:space="preserve">superiority. HAC inference is confined to signed bias and does not</w:t>
      </w:r>
      <w:r>
        <w:t xml:space="preserve"> </w:t>
      </w:r>
      <w:r>
        <w:t xml:space="preserve">exhaust all panel dependence or multiplicity concerns. Centered</w:t>
      </w:r>
      <w:r>
        <w:t xml:space="preserve"> </w:t>
      </w:r>
      <w:r>
        <w:t xml:space="preserve">estimator context is appropriate for ex-post measurement but is</w:t>
      </w:r>
      <w:r>
        <w:t xml:space="preserve"> </w:t>
      </w:r>
      <w:r>
        <w:t xml:space="preserve">unavailable as a contemporaneous signal. Cross-fitted predictions and</w:t>
      </w:r>
      <w:r>
        <w:t xml:space="preserve"> </w:t>
      </w:r>
      <w:r>
        <w:t xml:space="preserve">permutation importance are associative diagnostics, conditional on</w:t>
      </w:r>
      <w:r>
        <w:t xml:space="preserve"> </w:t>
      </w:r>
      <w:r>
        <w:t xml:space="preserve">shared inputs and sampled support. Their predictability is neither</w:t>
      </w:r>
      <w:r>
        <w:t xml:space="preserve"> </w:t>
      </w:r>
      <w:r>
        <w:t xml:space="preserve">causal evidence nor proof of economic value. The paper preserves these</w:t>
      </w:r>
      <w:r>
        <w:t xml:space="preserve"> </w:t>
      </w:r>
      <w:r>
        <w:t xml:space="preserve">boundaries rather than using them to recast adverse findings as</w:t>
      </w:r>
      <w:r>
        <w:t xml:space="preserve"> </w:t>
      </w:r>
      <w:r>
        <w:t xml:space="preserve">confirmed hypotheses.</w:t>
      </w:r>
    </w:p>
    <w:bookmarkEnd w:id="40"/>
    <w:bookmarkStart w:id="48" w:name="conclusion"/>
    <w:p>
      <w:pPr>
        <w:pStyle w:val="Heading2"/>
        <w:keepNext/>
      </w:pPr>
      <w:r>
        <w:t xml:space="preserve">8. Conclusion</w:t>
      </w:r>
    </w:p>
    <w:p>
      <w:pPr>
        <w:pStyle w:val="FirstParagraph"/>
      </w:pPr>
      <w:r>
        <w:t xml:space="preserve">EDGE is the strongest overall estimator against the frozen one-minute</w:t>
      </w:r>
      <w:r>
        <w:t xml:space="preserve"> </w:t>
      </w:r>
      <w:r>
        <w:t xml:space="preserve">Roll benchmark within the sampled universe, but no estimator dominates</w:t>
      </w:r>
      <w:r>
        <w:t xml:space="preserve"> </w:t>
      </w:r>
      <w:r>
        <w:t xml:space="preserve">universally. The strongest evidence for EDGE occurs in futures and</w:t>
      </w:r>
      <w:r>
        <w:t xml:space="preserve"> </w:t>
      </w:r>
      <w:r>
        <w:t xml:space="preserve">crypto; CS is strongest in ETFs, while stocks favor EDGE under MAE and</w:t>
      </w:r>
      <w:r>
        <w:t xml:space="preserve"> </w:t>
      </w:r>
      <w:r>
        <w:t xml:space="preserve">CS under RMSE. Positive LOW-tier CS bias rejects the directional</w:t>
      </w:r>
      <w:r>
        <w:t xml:space="preserve"> </w:t>
      </w:r>
      <w:r>
        <w:t xml:space="preserve">downward-bias hypothesis, and changing class rankings reject the</w:t>
      </w:r>
      <w:r>
        <w:t xml:space="preserve"> </w:t>
      </w:r>
      <w:r>
        <w:t xml:space="preserve">original stability expectation. The raw-negative-rate expectation</w:t>
      </w:r>
      <w:r>
        <w:t xml:space="preserve"> </w:t>
      </w:r>
      <w:r>
        <w:t xml:space="preserve">receives only partial support because EDGE’s overall lead is narrow and</w:t>
      </w:r>
      <w:r>
        <w:t xml:space="preserve"> </w:t>
      </w:r>
      <w:r>
        <w:t xml:space="preserve">has class exceptions.</w:t>
      </w:r>
    </w:p>
    <w:p>
      <w:pPr>
        <w:pStyle w:val="BodyText"/>
      </w:pPr>
      <w:r>
        <w:t xml:space="preserve">The overall EDGE advantage survives the major applicable prespecified</w:t>
      </w:r>
      <w:r>
        <w:t xml:space="preserve"> </w:t>
      </w:r>
      <w:r>
        <w:t xml:space="preserve">sensitivities, but stock and thin-tier results are less stable. Error</w:t>
      </w:r>
      <w:r>
        <w:t xml:space="preserve"> </w:t>
      </w:r>
      <w:r>
        <w:t xml:space="preserve">diagnostics reveal predictable association with price conditions and</w:t>
      </w:r>
      <w:r>
        <w:t xml:space="preserve"> </w:t>
      </w:r>
      <w:r>
        <w:t xml:space="preserve">asset class without creating a new cost measure. All conclusions remain</w:t>
      </w:r>
      <w:r>
        <w:t xml:space="preserve"> </w:t>
      </w:r>
      <w:r>
        <w:t xml:space="preserve">conditional on Roll availability, frozen mappings, selected securities</w:t>
      </w:r>
      <w:r>
        <w:t xml:space="preserve"> </w:t>
      </w:r>
      <w:r>
        <w:t xml:space="preserve">and unequal class calendars. Daily OHLC spread estimators are not</w:t>
      </w:r>
      <w:r>
        <w:t xml:space="preserve"> </w:t>
      </w:r>
      <w:r>
        <w:t xml:space="preserve">interchangeable across market structures: method choice should depend on</w:t>
      </w:r>
      <w:r>
        <w:t xml:space="preserve"> </w:t>
      </w:r>
      <w:r>
        <w:t xml:space="preserve">asset class and the intended error criterion, with explicit recognition</w:t>
      </w:r>
      <w:r>
        <w:t xml:space="preserve"> </w:t>
      </w:r>
      <w:r>
        <w:t xml:space="preserve">of what the benchmark can and cannot measure.</w:t>
      </w:r>
    </w:p>
    <w:bookmarkStart w:id="47" w:name="X1ed712e3038566572e228a9a4ed4d1c4e3a037e"/>
    <w:p>
      <w:pPr>
        <w:pStyle w:val="Heading3"/>
        <w:keepNext/>
      </w:pPr>
      <w:r>
        <w:t xml:space="preserve">Appendix Table. Data</w:t>
      </w:r>
      <w:r>
        <w:t xml:space="preserve"> </w:t>
      </w:r>
      <w:r>
        <w:t xml:space="preserve">lineage and attrition</w:t>
      </w:r>
    </w:p>
    <w:p>
      <w:pPr>
        <w:pStyle w:val="FirstParagraph"/>
      </w:pPr>
      <w:r>
        <w:t xml:space="preserve">Raw source -&gt; frozen universe -&gt; class calendar -&gt; design</w:t>
      </w:r>
      <w:r>
        <w:t xml:space="preserve"> </w:t>
      </w:r>
      <w:r>
        <w:t xml:space="preserve">-&gt; parallel method-defined sets -&gt; common conjunction. Roll</w:t>
      </w:r>
      <w:r>
        <w:t xml:space="preserve"> </w:t>
      </w:r>
      <w:r>
        <w:t xml:space="preserve">undefinedness is the principal loss, especially ETFs; additional method</w:t>
      </w:r>
      <w:r>
        <w:t xml:space="preserve"> </w:t>
      </w:r>
      <w:r>
        <w:t xml:space="preserve">losses are not additive.</w:t>
      </w:r>
    </w:p>
    <w:bookmarkStart w:id="41" w:name="asset-class-stocks"/>
    <w:p>
      <w:pPr>
        <w:pStyle w:val="Heading4"/>
        <w:keepNext/>
      </w:pPr>
      <w:r>
        <w:t xml:space="preserve">Asset class: stocks</w:t>
      </w:r>
    </w:p>
    <w:p>
      <w:pPr>
        <w:pStyle w:val="FirstParagraph"/>
      </w:pPr>
      <w:r>
        <w:t xml:space="preserve">primary start: 2019-08-01; primary end: 2025-12-31; status: FROZEN; source result file: outputs/results/primary/failure rates.csv;</w:t>
      </w:r>
      <w:r>
        <w:t xml:space="preserve"> </w:t>
      </w:r>
      <w:r>
        <w:t xml:space="preserve">outputs/results/primary/primary accuracy results.csv; source role: Bloomberg adjusted estimator inputs + First Rate minute Roll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stage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raw selected universe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assets/roots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Selected streams/roots, not count of individual futures files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primary calendar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1611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class-specific dates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Overall has no single balanced primary calendar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design eligible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Independent of estimator/benchmark outcomes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9716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14475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14489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14485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common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9707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14499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Exact conjunction; no extra pair, magnitude, zero or outlier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loss after 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9716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method attrition conditional on Roll defined; do not sum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overlapping failures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bookmarkEnd w:id="41"/>
    <w:bookmarkStart w:id="42" w:name="asset-class-etfs"/>
    <w:p>
      <w:pPr>
        <w:pStyle w:val="Heading4"/>
        <w:keepNext/>
      </w:pPr>
      <w:r>
        <w:t xml:space="preserve">Asset class: etfs</w:t>
      </w:r>
    </w:p>
    <w:p>
      <w:pPr>
        <w:pStyle w:val="FirstParagraph"/>
      </w:pPr>
      <w:r>
        <w:t xml:space="preserve">primary start: 2020-09-15; primary end: 2025-12-31; status: FROZEN; source result file: outputs/results/primary/failure rates.csv;</w:t>
      </w:r>
      <w:r>
        <w:t xml:space="preserve"> </w:t>
      </w:r>
      <w:r>
        <w:t xml:space="preserve">outputs/results/primary/primary accuracy results.csv; source role: Bloomberg adjusted estimator inputs + First Rate minute Roll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stage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raw selected universe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assets/roots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Selected streams/roots, not count of individual futures files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primary calendar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961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class-specific dates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Overall has no single balanced primary calendar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design eligible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Independent of estimator/benchmark outcomes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3181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8294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8577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common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3175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8649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Exact conjunction; no extra pair, magnitude, zero or outlier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loss after 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3181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method attrition conditional on Roll defined; do not sum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overlapping failures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bookmarkEnd w:id="42"/>
    <w:bookmarkStart w:id="43" w:name="asset-class-futures"/>
    <w:p>
      <w:pPr>
        <w:pStyle w:val="Heading4"/>
        <w:keepNext/>
      </w:pPr>
      <w:r>
        <w:t xml:space="preserve">Asset class: futures</w:t>
      </w:r>
    </w:p>
    <w:p>
      <w:pPr>
        <w:pStyle w:val="FirstParagraph"/>
      </w:pPr>
      <w:r>
        <w:t xml:space="preserve">primary start: 2024-01-02; primary end: 2024-12-31; status: FROZEN; source result file: outputs/results/primary/failure rates.csv;</w:t>
      </w:r>
      <w:r>
        <w:t xml:space="preserve"> </w:t>
      </w:r>
      <w:r>
        <w:t xml:space="preserve">outputs/results/primary/primary accuracy results.csv; source role: First Rate individual unadjusted contracts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stage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raw selected universe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assets/roots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Selected streams/roots, not count of individual futures files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primary calendar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259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class-specific dates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Overall has no single balanced primary calendar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design eligible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Independent of estimator/benchmark outcomes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1730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2237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2284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2237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common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1667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2331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Exact conjunction; no extra pair, magnitude, zero or outlier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loss after 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1730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method attrition conditional on Roll defined; do not sum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overlapping failures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bookmarkEnd w:id="43"/>
    <w:bookmarkStart w:id="44" w:name="asset-class-crypto"/>
    <w:p>
      <w:pPr>
        <w:pStyle w:val="Heading4"/>
        <w:keepNext/>
      </w:pPr>
      <w:r>
        <w:t xml:space="preserve">Asset class: crypto</w:t>
      </w:r>
    </w:p>
    <w:p>
      <w:pPr>
        <w:pStyle w:val="FirstParagraph"/>
      </w:pPr>
      <w:r>
        <w:t xml:space="preserve">primary start: 2022-02-01; primary end: 2025-12-31; status: FROZEN; source result file: outputs/results/primary/failure rates.csv;</w:t>
      </w:r>
      <w:r>
        <w:t xml:space="preserve"> </w:t>
      </w:r>
      <w:r>
        <w:t xml:space="preserve">outputs/results/primary/primary accuracy results.csv; source role: First Rate UTC daily/minute common-quote-basis; formal quote</w:t>
      </w:r>
      <w:r>
        <w:t xml:space="preserve"> </w:t>
      </w:r>
      <w:r>
        <w:t xml:space="preserve">UNKNOWN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stage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raw selected universe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assets/roots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Selected streams/roots, not count of individual futures files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primary calendar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1417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class-specific dates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Overall has no single balanced primary calendar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design eligible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Independent of estimator/benchmark outcomes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9867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12702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12723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12702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common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9828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12753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Exact conjunction; no extra pair, magnitude, zero or outlier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loss after 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9867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method attrition conditional on Roll defined; do not sum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overlapping failures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bookmarkEnd w:id="44"/>
    <w:bookmarkStart w:id="45" w:name="asset-class-all"/>
    <w:p>
      <w:pPr>
        <w:pStyle w:val="Heading4"/>
        <w:keepNext/>
      </w:pPr>
      <w:r>
        <w:t xml:space="preserve">Asset class: ALL</w:t>
      </w:r>
    </w:p>
    <w:p>
      <w:pPr>
        <w:pStyle w:val="FirstParagraph"/>
      </w:pPr>
      <w:r>
        <w:t xml:space="preserve">primary start: class-specific; primary end: class-specific; status: FROZEN; source result file: outputs/results/primary/failure rates.csv;</w:t>
      </w:r>
      <w:r>
        <w:t xml:space="preserve"> </w:t>
      </w:r>
      <w:r>
        <w:t xml:space="preserve">outputs/results/primary/primary accuracy results.csv; source role: Four completed classes; FX blocked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stage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raw selected universe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assets/roots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Selected streams/roots, not count of individual futures files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primary calendar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class-specific dates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Overall has no single balanced primary calendar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design eligible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Independent of estimator/benchmark outcomes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24494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CS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37708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AR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38136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EDGE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38001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Parallel method-defined sets; not sequential/cumulative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exclusions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common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24377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38232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Exact conjunction; no extra pair, magnitude, zero or outlier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loss after Roll defined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asset-days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24494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Additional method attrition conditional on Roll defined; do not sum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overlapping failures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bookmarkEnd w:id="45"/>
    <w:bookmarkStart w:id="46" w:name="asset-class-fx"/>
    <w:p>
      <w:pPr>
        <w:pStyle w:val="Heading4"/>
        <w:keepNext/>
      </w:pPr>
      <w:r>
        <w:t xml:space="preserve">Asset class: fx</w:t>
      </w:r>
    </w:p>
    <w:p>
      <w:pPr>
        <w:pStyle w:val="FirstParagraph"/>
      </w:pPr>
      <w:r>
        <w:t xml:space="preserve">primary start: unavailable / blocked; primary end: unavailable / blocked; status: IN SCOPE BUT BLOCKED OFFICIAL SOURCE ACCESS; source result file: outputs/diagnostics/final universe/fx final/fx final spec.yaml; source role: Official RiskLab intraday data/fx only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on"/>
          <w:tblHeader/>
        </w:trP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stage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denominator n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notes</w:t>
            </w:r>
          </w:p>
        </w:tc>
      </w:tr>
      <w:tr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official source access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unavailable / blocked</w:t>
            </w:r>
          </w:p>
        </w:tc>
        <w:tc>
          <w:tcPr>
            <w:tcW w:type="dxa" w:w="2765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No substitute; no fabricated inventory or zero sample count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bookmarkEnd w:id="46"/>
    <w:p>
      <w:pPr>
        <w:pStyle w:val="BodyText"/>
      </w:pPr>
      <w:r>
        <w:t xml:space="preserve">Stocks: 2019-08-01–2025-12-31; ETFs: 2020-09-15–2025-12-31; futures:</w:t>
      </w:r>
      <w:r>
        <w:t xml:space="preserve"> </w:t>
      </w:r>
      <w:r>
        <w:t xml:space="preserve">2024 only; crypto: 2022-02-01–2025-12-31. FX: in scope but blocked</w:t>
      </w:r>
      <w:r>
        <w:t xml:space="preserve"> </w:t>
      </w:r>
      <w:r>
        <w:t xml:space="preserve">official source access. Roll is a transaction-close proxy, not true</w:t>
      </w:r>
      <w:r>
        <w:t xml:space="preserve"> </w:t>
      </w:r>
      <w:r>
        <w:t xml:space="preserve">effective spread or NBBO cost. Roll undefinedness is the main sample</w:t>
      </w:r>
      <w:r>
        <w:t xml:space="preserve"> </w:t>
      </w:r>
      <w:r>
        <w:t xml:space="preserve">bottleneck; ETF availability is especially low. Common-defined</w:t>
      </w:r>
      <w:r>
        <w:t xml:space="preserve"> </w:t>
      </w:r>
      <w:r>
        <w:t xml:space="preserve">conditioning can create economic selection; no reliability cutoff beyond</w:t>
      </w:r>
      <w:r>
        <w:t xml:space="preserve"> </w:t>
      </w:r>
      <w:r>
        <w:t xml:space="preserve">frozen computability is primary. Classes have different calendar</w:t>
      </w:r>
      <w:r>
        <w:t xml:space="preserve"> </w:t>
      </w:r>
      <w:r>
        <w:t xml:space="preserve">support; this is not a balanced 2015–2025 all-class panel. Futures</w:t>
      </w:r>
      <w:r>
        <w:t xml:space="preserve"> </w:t>
      </w:r>
      <w:r>
        <w:t xml:space="preserve">primary analysis is 2024 only; supplementary heterogeneous histories are</w:t>
      </w:r>
      <w:r>
        <w:t xml:space="preserve"> </w:t>
      </w:r>
      <w:r>
        <w:t xml:space="preserve">not the primary tier comparison. Liquidity tiers use 2024 information,</w:t>
      </w:r>
      <w:r>
        <w:t xml:space="preserve"> </w:t>
      </w:r>
      <w:r>
        <w:t xml:space="preserve">including ex-post/look-ahead classification before 2024 and an</w:t>
      </w:r>
      <w:r>
        <w:t xml:space="preserve"> </w:t>
      </w:r>
      <w:r>
        <w:t xml:space="preserve">in-calibration-year futures comparison. Futures and crypto share minute</w:t>
      </w:r>
      <w:r>
        <w:t xml:space="preserve"> </w:t>
      </w:r>
      <w:r>
        <w:t xml:space="preserve">sources between daily OHLC and Roll, creating mechanical dependence.</w:t>
      </w:r>
      <w:r>
        <w:t xml:space="preserve"> </w:t>
      </w:r>
      <w:r>
        <w:t xml:space="preserve">Crypto formal quote currency remains UNKNOWN; no USD spread claim is</w:t>
      </w:r>
      <w:r>
        <w:t xml:space="preserve"> </w:t>
      </w:r>
      <w:r>
        <w:t xml:space="preserve">made. Bloomberg CshAdjAbnormal is UNKNOWN; acquired adjustment/session</w:t>
      </w:r>
      <w:r>
        <w:t xml:space="preserve"> </w:t>
      </w:r>
      <w:r>
        <w:t xml:space="preserve">equivalence with local First Rate is not certified. IMDX historical</w:t>
      </w:r>
      <w:r>
        <w:t xml:space="preserve"> </w:t>
      </w:r>
      <w:r>
        <w:t xml:space="preserve">economic-identity continuity is not independently certified; no manual</w:t>
      </w:r>
      <w:r>
        <w:t xml:space="preserve"> </w:t>
      </w:r>
      <w:r>
        <w:t xml:space="preserve">OCX stitching. FX remains in scope but blocked by official</w:t>
      </w:r>
      <w:r>
        <w:t xml:space="preserve"> </w:t>
      </w:r>
      <w:r>
        <w:t xml:space="preserve">sharing/synchronization access; no substitute data were used. MAE/RMSE</w:t>
      </w:r>
      <w:r>
        <w:t xml:space="preserve"> </w:t>
      </w:r>
      <w:r>
        <w:t xml:space="preserve">rankings are descriptive; no statistical test of metric differences was</w:t>
      </w:r>
      <w:r>
        <w:t xml:space="preserve"> </w:t>
      </w:r>
      <w:r>
        <w:t xml:space="preserve">specified. HAC applies to signed bias only. Cross-fitted error models</w:t>
      </w:r>
      <w:r>
        <w:t xml:space="preserve"> </w:t>
      </w:r>
      <w:r>
        <w:t xml:space="preserve">describe associations, not causal effects, trading forecasts or a new</w:t>
      </w:r>
      <w:r>
        <w:t xml:space="preserve"> </w:t>
      </w:r>
      <w:r>
        <w:t xml:space="preserve">spread estimator. Feature and importance stability is conditional on the</w:t>
      </w:r>
      <w:r>
        <w:t xml:space="preserve"> </w:t>
      </w:r>
      <w:r>
        <w:t xml:space="preserve">sampled assets/calendars; correlated predictors can share</w:t>
      </w:r>
      <w:r>
        <w:t xml:space="preserve"> </w:t>
      </w:r>
      <w:r>
        <w:t xml:space="preserve">importance.</w:t>
      </w:r>
    </w:p>
    <w:bookmarkEnd w:id="47"/>
    <w:bookmarkEnd w:id="48"/>
    <w:bookmarkStart w:id="49" w:name="references"/>
    <w:p>
      <w:pPr>
        <w:pStyle w:val="Heading2"/>
        <w:keepNext/>
      </w:pPr>
      <w:r>
        <w:t xml:space="preserve">References</w:t>
      </w:r>
    </w:p>
    <w:p>
      <w:pPr>
        <w:pStyle w:val="FirstParagraph"/>
      </w:pPr>
      <w:r>
        <w:t xml:space="preserve">Abdi, F., and A. Ranaldo. 2017. “A Simple Estimation of Bid-Ask</w:t>
      </w:r>
      <w:r>
        <w:t xml:space="preserve"> </w:t>
      </w:r>
      <w:r>
        <w:t xml:space="preserve">Spreads from Daily Close, High, and Low Prices.”</w:t>
      </w:r>
      <w:r>
        <w:t xml:space="preserve"> </w:t>
      </w:r>
      <w:r>
        <w:rPr>
          <w:i/>
          <w:iCs/>
        </w:rPr>
        <w:t xml:space="preserve">Review of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Studies</w:t>
      </w:r>
      <w:r>
        <w:t xml:space="preserve"> </w:t>
      </w:r>
      <w:r>
        <w:t xml:space="preserve">30(12), 4437–4480. Bibliographic metadata reproduced from</w:t>
      </w:r>
      <w:r>
        <w:t xml:space="preserve"> </w:t>
      </w:r>
      <w:r>
        <w:t xml:space="preserve">the stored EDGE paper’s references; the project’s AR method</w:t>
      </w:r>
      <w:r>
        <w:t xml:space="preserve"> </w:t>
      </w:r>
      <w:r>
        <w:t xml:space="preserve">review identifies the published article.</w:t>
      </w:r>
    </w:p>
    <w:p>
      <w:pPr>
        <w:pStyle w:val="BodyText"/>
      </w:pPr>
      <w:r>
        <w:t xml:space="preserve">Ardia, D., E. Guidotti, and T. A. Kroencke. 2024. “Efficient</w:t>
      </w:r>
      <w:r>
        <w:t xml:space="preserve"> </w:t>
      </w:r>
      <w:r>
        <w:t xml:space="preserve">Estimation of Bid–Ask Spreads from Open, High, Low, and Close Prices.”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161, article 103916. DOI:</w:t>
      </w:r>
      <w:r>
        <w:t xml:space="preserve"> </w:t>
      </w:r>
      <w:r>
        <w:t xml:space="preserve">10.1016/j.jfineco.2024.103916. Metadata and published</w:t>
      </w:r>
      <w:r>
        <w:t xml:space="preserve"> </w:t>
      </w:r>
      <w:r>
        <w:t xml:space="preserve">negative-correction convention are documented in the stored source</w:t>
      </w:r>
      <w:r>
        <w:t xml:space="preserve"> </w:t>
      </w:r>
      <w:r>
        <w:t xml:space="preserve">and method review.</w:t>
      </w:r>
    </w:p>
    <w:p>
      <w:pPr>
        <w:pStyle w:val="BodyText"/>
      </w:pPr>
      <w:r>
        <w:t xml:space="preserve">Corwin, S. A., and P. Schultz. 2012. “A Simple Way to Estimate</w:t>
      </w:r>
      <w:r>
        <w:t xml:space="preserve"> </w:t>
      </w:r>
      <w:r>
        <w:t xml:space="preserve">Bid-Ask Spreads from Daily High and Low Prices.”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Finance</w:t>
      </w:r>
      <w:r>
        <w:t xml:space="preserve"> </w:t>
      </w:r>
      <w:r>
        <w:t xml:space="preserve">67(2), 719–760. Metadata is documented in the stored author</w:t>
      </w:r>
      <w:r>
        <w:t xml:space="preserve"> </w:t>
      </w:r>
      <w:r>
        <w:t xml:space="preserve">program description and EDGE paper’s references; see the frozen method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Roll, R. 1984. “A Simple Implicit Measure of the Effective Bid-Ask</w:t>
      </w:r>
      <w:r>
        <w:t xml:space="preserve"> </w:t>
      </w:r>
      <w:r>
        <w:t xml:space="preserve">Spread in an Efficient Market.”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39(4),</w:t>
      </w:r>
      <w:r>
        <w:t xml:space="preserve"> </w:t>
      </w:r>
      <w:r>
        <w:t xml:space="preserve">1127–1139. DOI: 10.1111/j.1540-6261.1984.tb03897.x. The benchmark</w:t>
      </w:r>
      <w:r>
        <w:t xml:space="preserve"> </w:t>
      </w:r>
      <w:r>
        <w:t xml:space="preserve">specification records the percentage-return interpretation and</w:t>
      </w:r>
      <w:r>
        <w:t xml:space="preserve"> </w:t>
      </w:r>
      <w:r>
        <w:t xml:space="preserve">source locations.</w:t>
      </w:r>
    </w:p>
    <w:p>
      <w:pPr>
        <w:pStyle w:val="BodyText"/>
      </w:pPr>
      <w:r>
        <w:t xml:space="preserve">Bloomberg. Student-acquired daily OHLCV, daily quote and reference</w:t>
      </w:r>
      <w:r>
        <w:t xml:space="preserve"> </w:t>
      </w:r>
      <w:r>
        <w:t xml:space="preserve">workbooks, acquired under the saved adjustment settings. Source log and</w:t>
      </w:r>
      <w:r>
        <w:t xml:space="preserve"> </w:t>
      </w:r>
      <w:r>
        <w:t xml:space="preserve">field-validation notes are preserved with the immutable licensed</w:t>
      </w:r>
      <w:r>
        <w:t xml:space="preserve"> </w:t>
      </w:r>
      <w:r>
        <w:t xml:space="preserve">acquisition; the data</w:t>
      </w:r>
      <w:r>
        <w:t xml:space="preserve"> </w:t>
      </w:r>
      <w:r>
        <w:t xml:space="preserve">manifest records their roles and limitations.</w:t>
      </w:r>
    </w:p>
    <w:p>
      <w:pPr>
        <w:pStyle w:val="BodyText"/>
      </w:pPr>
      <w:r>
        <w:t xml:space="preserve">First Rate Data / RiskLab. Official shared one-minute archives for</w:t>
      </w:r>
      <w:r>
        <w:t xml:space="preserve"> </w:t>
      </w:r>
      <w:r>
        <w:t xml:space="preserve">stocks, ETFs, individual futures contracts and crypto. Provider</w:t>
      </w:r>
      <w:r>
        <w:t xml:space="preserve"> </w:t>
      </w:r>
      <w:r>
        <w:t xml:space="preserve">metadata, session evidence and source fingerprints are retained in the</w:t>
      </w:r>
      <w:r>
        <w:t xml:space="preserve"> </w:t>
      </w:r>
      <w:r>
        <w:t xml:space="preserve">frozen project artifacts. Existing shared raw files are referenced</w:t>
      </w:r>
      <w:r>
        <w:t xml:space="preserve"> </w:t>
      </w:r>
      <w:r>
        <w:t xml:space="preserve">rather than duplicated; official FX access remained blocked.</w:t>
      </w:r>
    </w:p>
    <w:bookmarkEnd w:id="49"/>
    <w:bookmarkStart w:id="50" w:name="appendix-references-notes"/>
    <w:p>
      <w:pPr>
        <w:pStyle w:val="Heading2"/>
        <w:keepNext/>
      </w:pPr>
      <w:r>
        <w:t xml:space="preserve">Appendix references / notes</w:t>
      </w:r>
    </w:p>
    <w:p>
      <w:pPr>
        <w:pStyle w:val="FirstParagraph"/>
      </w:pPr>
      <w:r>
        <w:t xml:space="preserve">The selected universe is reproduced below from the frozen universe</w:t>
      </w:r>
      <w:r>
        <w:t xml:space="preserve"> </w:t>
      </w:r>
      <w:r>
        <w:t xml:space="preserve">metadata, without a new selection exercise.</w:t>
      </w:r>
    </w:p>
    <w:p>
      <w:pPr>
        <w:sectPr>
          <w:type w:val="nextPage"/>
          <w:pgSz w:w="12240" w:h="15840"/>
          <w:pgMar w:top="1008" w:bottom="1008" w:left="1008" w:right="1008" w:header="360" w:footer="360" w:gutter="0"/>
        </w:sectPr>
      </w:pP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456"/>
        <w:gridCol w:w="3456"/>
        <w:gridCol w:w="3456"/>
        <w:gridCol w:w="3456"/>
      </w:tblGrid>
      <w:tr>
        <w:trPr>
          <w:tblHeader w:val="on"/>
          <w:tblHeader/>
        </w:trPr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Class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Stocks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IMDX, AIRG, CCBG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ANGO, SNDL, FCPT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FDS, XPO, BIDU</w:t>
            </w:r>
          </w:p>
        </w:tc>
      </w:tr>
      <w:tr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ETFs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SDCI, AAA, JSML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PGJ, PJAN, FSMD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SPBO, SCHM, MCHI</w:t>
            </w:r>
          </w:p>
        </w:tc>
      </w:tr>
      <w:tr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Futures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HG, AD, B6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J1, GC, E6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NQ, ZF, ES</w:t>
            </w:r>
          </w:p>
        </w:tc>
      </w:tr>
      <w:tr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Crypto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ICX, NEO, DASH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ZEC, ALGO, MKR</w:t>
            </w:r>
          </w:p>
        </w:tc>
        <w:tc>
          <w:tcPr>
            <w:tcW w:type="dxa" w:w="3456"/>
          </w:tcPr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NEAR, LINK, DOGE</w:t>
            </w:r>
          </w:p>
        </w:tc>
      </w:tr>
    </w:tbl>
    <w:p>
      <w:pPr>
        <w:sectPr>
          <w:type w:val="nextPage"/>
          <w:pgSz w:w="15840" w:h="12240" w:orient="landscape"/>
          <w:pgMar w:top="1008" w:bottom="1008" w:left="1008" w:right="1008" w:header="360" w:footer="360" w:gutter="0"/>
        </w:sectPr>
      </w:pPr>
    </w:p>
    <w:p>
      <w:pPr>
        <w:pStyle w:val="BodyText"/>
      </w:pPr>
      <w:r>
        <w:t xml:space="preserve">All exhibit numbers refer to existing frozen outputs, not newly</w:t>
      </w:r>
      <w:r>
        <w:t xml:space="preserve"> </w:t>
      </w:r>
      <w:r>
        <w:t xml:space="preserve">estimated paper tables. Tables are available as linked Markdown and</w:t>
      </w:r>
      <w:r>
        <w:t xml:space="preserve"> </w:t>
      </w:r>
      <w:r>
        <w:t xml:space="preserve">companion CSV; each figure has a PNG and PDF version. Definitions and</w:t>
      </w:r>
      <w:r>
        <w:t xml:space="preserve"> </w:t>
      </w:r>
      <w:r>
        <w:t xml:space="preserve">coverage are in Table</w:t>
      </w:r>
      <w:r>
        <w:t xml:space="preserve"> </w:t>
      </w:r>
      <w:r>
        <w:t xml:space="preserve">1; primary results in Table 2;</w:t>
      </w:r>
      <w:r>
        <w:t xml:space="preserve"> </w:t>
      </w:r>
      <w:r>
        <w:t xml:space="preserve">failures, raw-negative rates and influence in Table</w:t>
      </w:r>
      <w:r>
        <w:t xml:space="preserve"> </w:t>
      </w:r>
      <w:r>
        <w:t xml:space="preserve">3; sensitivities in Table 4;</w:t>
      </w:r>
      <w:r>
        <w:t xml:space="preserve"> </w:t>
      </w:r>
      <w:r>
        <w:t xml:space="preserve">and lineage in the Appendix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The analysis hierarchy is fixed: Step 18 is primary, Step 19</w:t>
      </w:r>
      <w:r>
        <w:t xml:space="preserve"> </w:t>
      </w:r>
      <w:r>
        <w:t xml:space="preserve">prespecified robustness and Step 20 secondary diagnostics. The master ledger</w:t>
      </w:r>
      <w:r>
        <w:t xml:space="preserve"> </w:t>
      </w:r>
      <w:r>
        <w:t xml:space="preserve">reconciles final aggregate values to their source rows; the paper claims audit records</w:t>
      </w:r>
      <w:r>
        <w:t xml:space="preserve"> </w:t>
      </w:r>
      <w:r>
        <w:t xml:space="preserve">sentence-level evidence for this draft. Methodological choices are</w:t>
      </w:r>
      <w:r>
        <w:t xml:space="preserve"> </w:t>
      </w:r>
      <w:r>
        <w:t xml:space="preserve">recorded in design_decisions.md and</w:t>
      </w:r>
      <w:r>
        <w:t xml:space="preserve"> </w:t>
      </w:r>
      <w:r>
        <w:t xml:space="preserve">the frozen benchmark, daily-input, estimator and statistical</w:t>
      </w:r>
      <w:r>
        <w:t xml:space="preserve"> </w:t>
      </w:r>
      <w:r>
        <w:t xml:space="preserve">specifications.</w:t>
      </w:r>
    </w:p>
    <w:p>
      <w:pPr>
        <w:pStyle w:val="BodyText"/>
      </w:pPr>
      <w:r>
        <w:t xml:space="preserve">The reproduction</w:t>
      </w:r>
      <w:r>
        <w:t xml:space="preserve"> </w:t>
      </w:r>
      <w:r>
        <w:t xml:space="preserve">guide distinguishes frozen-derived verification from licensed</w:t>
      </w:r>
      <w:r>
        <w:t xml:space="preserve"> </w:t>
      </w:r>
      <w:r>
        <w:t xml:space="preserve">full-source construction. No new statistical analysis was performed for</w:t>
      </w:r>
      <w:r>
        <w:t xml:space="preserve"> </w:t>
      </w:r>
      <w:r>
        <w:t xml:space="preserve">this draft, and no frozen result, raw workbook or hypothesis was</w:t>
      </w:r>
      <w:r>
        <w:t xml:space="preserve"> </w:t>
      </w:r>
      <w:r>
        <w:t xml:space="preserve">modified. Granular provider observations remain private. Repository</w:t>
      </w:r>
      <w:r>
        <w:t xml:space="preserve"> </w:t>
      </w:r>
      <w:r>
        <w:t xml:space="preserve">publication and history-cleanup status is recorded separately in</w:t>
      </w:r>
      <w:r>
        <w:t xml:space="preserve"> </w:t>
      </w:r>
      <w:r>
        <w:t xml:space="preserve">outputs/reproducibility/git_history_cleanup_report.md; provider</w:t>
      </w:r>
      <w:r>
        <w:t xml:space="preserve"> </w:t>
      </w:r>
      <w:r>
        <w:t xml:space="preserve">observations are not included in the public paper.</w:t>
      </w:r>
    </w:p>
    <w:bookmarkEnd w:id="50"/>
    <w:bookmarkEnd w:id="51"/>
    <w:sectPr>
      <w:footnotePr>
        <w:numRestart w:val="eachSect"/>
      </w:footnote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8" Type="http://schemas.openxmlformats.org/officeDocument/2006/relationships/image" Target="media/rId18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35" Type="http://schemas.openxmlformats.org/officeDocument/2006/relationships/image" Target="media/rId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MMF1941_Project1_Final_Paper</dc:title>
  <dc:creator/>
  <cp:keywords/>
  <dcterms:created xsi:type="dcterms:W3CDTF">2026-10-19T22:43:25Z</dcterms:created>
  <dcterms:modified xsi:type="dcterms:W3CDTF">2026-10-19T22:43:25Z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