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 de Integración LT ↔ CCR</w:t>
      </w:r>
    </w:p>
    <w:p>
      <w:pPr>
        <w:pStyle w:val="Subtitle"/>
      </w:pPr>
      <w:r>
        <w:t xml:space="preserve">Documentación técnica para el proveedor LT</w:t>
      </w:r>
    </w:p>
    <w:p>
      <w:pPr>
        <w:pStyle w:val="Author"/>
      </w:pPr>
      <w:r>
        <w:t xml:space="preserve">D-Tech Consulting</w:t>
      </w:r>
    </w:p>
    <w:p>
      <w:pPr>
        <w:pStyle w:val="Date"/>
      </w:pPr>
      <w:r>
        <w:t xml:space="preserve">31 de mayo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709"/>
        <w:gridCol w:w="521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CCR Paraguay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Proveedor</w:t>
            </w:r>
          </w:p>
        </w:tc>
        <w:tc>
          <w:tcPr/>
          <w:p>
            <w:pPr>
              <w:pStyle w:val="Compact"/>
            </w:pPr>
            <w:r>
              <w:t xml:space="preserve">LT (sistema POS)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del documento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31 de mayo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D-Tech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</w:tr>
    </w:tbl>
    <w:bookmarkStart w:id="9" w:name="datos-de-conexión-resumen"/>
    <w:p>
      <w:pPr>
        <w:pStyle w:val="Heading1"/>
      </w:pPr>
      <w:r>
        <w:t xml:space="preserve">1. Datos de conexión (resumen)</w:t>
      </w:r>
    </w:p>
    <w:p>
      <w:pPr>
        <w:pStyle w:val="FirstParagraph"/>
      </w:pPr>
      <w:r>
        <w:t xml:space="preserve">Esta sección resume los datos esenciales para conectarse a la API. El resto del documento desarrolla cada punto en detalle.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http://200.108.131.206:8051/ccr-rest-api/lt/api/v1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Bearer Token estático en cabecera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de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ltk_KFYQNxRAls24J46tSwndn68UYPfp9_SfyumbVCa9_es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Cabecera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ltk_KFYQNxRAls24J46tSwndn68UYPfp9_SfyumbVCa9_es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(todos los endpoints)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/sucursales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/tickets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/personas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token es</w:t>
      </w:r>
      <w:r>
        <w:t xml:space="preserve"> </w:t>
      </w:r>
      <w:r>
        <w:rPr>
          <w:b/>
          <w:bCs/>
        </w:rPr>
        <w:t xml:space="preserve">confidencial</w:t>
      </w:r>
      <w:r>
        <w:t xml:space="preserve">. No debe compartirse por canales no seguros ni incluirse en repositorios de código públicos. En caso de compromiso, contactar inmediatamente al equipo CCR para regenerarlo.</w:t>
      </w:r>
    </w:p>
    <w:bookmarkEnd w:id="9"/>
    <w:bookmarkStart w:id="13" w:name="introducción-y-alcance"/>
    <w:p>
      <w:pPr>
        <w:pStyle w:val="Heading1"/>
      </w:pPr>
      <w:r>
        <w:t xml:space="preserve">2. Introducción y alcance</w:t>
      </w:r>
    </w:p>
    <w:p>
      <w:pPr>
        <w:pStyle w:val="FirstParagraph"/>
      </w:pPr>
      <w:r>
        <w:t xml:space="preserve">Este documento describe la API REST expuesta por</w:t>
      </w:r>
      <w:r>
        <w:t xml:space="preserve"> </w:t>
      </w:r>
      <w:r>
        <w:rPr>
          <w:b/>
          <w:bCs/>
        </w:rPr>
        <w:t xml:space="preserve">CCR</w:t>
      </w:r>
      <w:r>
        <w:t xml:space="preserve"> </w:t>
      </w:r>
      <w:r>
        <w:t xml:space="preserve">para recibir cargas de datos transaccionales y maestros desde el sistema POS del proveedor</w:t>
      </w:r>
      <w:r>
        <w:t xml:space="preserve"> </w:t>
      </w:r>
      <w:r>
        <w:rPr>
          <w:b/>
          <w:bCs/>
        </w:rPr>
        <w:t xml:space="preserve">LT</w:t>
      </w:r>
      <w:r>
        <w:t xml:space="preserve">. La integración permite a CCR consolidar información de ventas, productos, sucursales y compradores para sus reportes analíticos.</w:t>
      </w:r>
    </w:p>
    <w:p>
      <w:pPr>
        <w:pStyle w:val="BodyText"/>
      </w:pPr>
      <w:r>
        <w:t xml:space="preserve">La API está orientada a procesos batch: el sistema LT envía lotes JSON vía HTTP POST, y CCR los procesa con lógica de</w:t>
      </w:r>
      <w:r>
        <w:t xml:space="preserve"> </w:t>
      </w:r>
      <w:r>
        <w:rPr>
          <w:i/>
          <w:iCs/>
        </w:rPr>
        <w:t xml:space="preserve">upsert</w:t>
      </w:r>
      <w:r>
        <w:t xml:space="preserve"> </w:t>
      </w:r>
      <w:r>
        <w:t xml:space="preserve">(inserción o actualización según la clave única de cada entidad).</w:t>
      </w:r>
    </w:p>
    <w:bookmarkStart w:id="10" w:name="audiencia"/>
    <w:p>
      <w:pPr>
        <w:pStyle w:val="Heading2"/>
      </w:pPr>
      <w:r>
        <w:t xml:space="preserve">Audiencia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Equipo técnico de LT:</w:t>
      </w:r>
      <w:r>
        <w:t xml:space="preserve"> </w:t>
      </w:r>
      <w:r>
        <w:t xml:space="preserve">implementadores de los procesos de envío.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Equipo CCR:</w:t>
      </w:r>
      <w:r>
        <w:t xml:space="preserve"> </w:t>
      </w:r>
      <w:r>
        <w:t xml:space="preserve">referencia funcional y operativa de la integración.</w:t>
      </w:r>
    </w:p>
    <w:bookmarkEnd w:id="10"/>
    <w:bookmarkStart w:id="11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La especificación cubre los cuatro endpoints disponibles para la carga de datos:</w:t>
      </w:r>
      <w:r>
        <w:t xml:space="preserve"> </w:t>
      </w:r>
      <w:r>
        <w:rPr>
          <w:rStyle w:val="VerbatimChar"/>
        </w:rPr>
        <w:t xml:space="preserve">/sucursales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/tickets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/personas</w:t>
      </w:r>
      <w:r>
        <w:t xml:space="preserve">. Incluye autenticación, formato de mensajes, códigos de respuesta y ejemplos.</w:t>
      </w:r>
    </w:p>
    <w:bookmarkEnd w:id="11"/>
    <w:bookmarkStart w:id="12" w:name="convenciones"/>
    <w:p>
      <w:pPr>
        <w:pStyle w:val="Heading2"/>
      </w:pPr>
      <w:r>
        <w:t xml:space="preserve">Convenciones</w:t>
      </w:r>
    </w:p>
    <w:p>
      <w:pPr>
        <w:pStyle w:val="Compact"/>
        <w:numPr>
          <w:ilvl w:val="0"/>
          <w:numId w:val="1002"/>
        </w:numPr>
      </w:pPr>
      <w:r>
        <w:t xml:space="preserve">Todos los textos en formato</w:t>
      </w:r>
      <w:r>
        <w:t xml:space="preserve"> </w:t>
      </w:r>
      <w:r>
        <w:rPr>
          <w:rStyle w:val="VerbatimChar"/>
        </w:rPr>
        <w:t xml:space="preserve">código</w:t>
      </w:r>
      <w:r>
        <w:t xml:space="preserve"> </w:t>
      </w:r>
      <w:r>
        <w:t xml:space="preserve">deben copiarse literalmente.</w:t>
      </w:r>
    </w:p>
    <w:p>
      <w:pPr>
        <w:pStyle w:val="Compact"/>
        <w:numPr>
          <w:ilvl w:val="0"/>
          <w:numId w:val="1002"/>
        </w:numPr>
      </w:pPr>
      <w:r>
        <w:t xml:space="preserve">Los ejemplos JSON son ilustrativos; los valores reales los provee el sistema LT.</w:t>
      </w:r>
    </w:p>
    <w:p>
      <w:pPr>
        <w:pStyle w:val="Compact"/>
        <w:numPr>
          <w:ilvl w:val="0"/>
          <w:numId w:val="1002"/>
        </w:numPr>
      </w:pPr>
      <w:r>
        <w:t xml:space="preserve">Las claves marcadas como</w:t>
      </w:r>
      <w:r>
        <w:t xml:space="preserve"> </w:t>
      </w:r>
      <w:r>
        <w:rPr>
          <w:b/>
          <w:bCs/>
        </w:rPr>
        <w:t xml:space="preserve">Requerido: Sí</w:t>
      </w:r>
      <w:r>
        <w:t xml:space="preserve"> </w:t>
      </w:r>
      <w:r>
        <w:t xml:space="preserve">son obligatorias para que el registro sea procesado.</w:t>
      </w:r>
    </w:p>
    <w:bookmarkEnd w:id="12"/>
    <w:bookmarkEnd w:id="13"/>
    <w:bookmarkStart w:id="14" w:name="url-de-servicio"/>
    <w:p>
      <w:pPr>
        <w:pStyle w:val="Heading1"/>
      </w:pPr>
      <w:r>
        <w:t xml:space="preserve">3. URL de servicio</w:t>
      </w:r>
    </w:p>
    <w:p>
      <w:pPr>
        <w:pStyle w:val="FirstParagraph"/>
      </w:pPr>
      <w:r>
        <w:t xml:space="preserve">La API está disponible en la siguiente URL base de producción:</w:t>
      </w:r>
    </w:p>
    <w:p>
      <w:pPr>
        <w:pStyle w:val="SourceCode"/>
      </w:pPr>
      <w:r>
        <w:rPr>
          <w:rStyle w:val="VerbatimChar"/>
        </w:rPr>
        <w:t xml:space="preserve">http://200.108.131.206:8051/ccr-rest-api/lt/api/v1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todos los endpoints documentados se ubican bajo esta URL base. Por ejemplo,</w:t>
      </w:r>
      <w:r>
        <w:t xml:space="preserve"> </w:t>
      </w:r>
      <w:r>
        <w:rPr>
          <w:rStyle w:val="VerbatimChar"/>
        </w:rPr>
        <w:t xml:space="preserve">/sucursales</w:t>
      </w:r>
      <w:r>
        <w:t xml:space="preserve"> </w:t>
      </w:r>
      <w:r>
        <w:t xml:space="preserve">se invoca como</w:t>
      </w:r>
      <w:r>
        <w:t xml:space="preserve"> </w:t>
      </w:r>
      <w:r>
        <w:rPr>
          <w:rStyle w:val="VerbatimChar"/>
        </w:rPr>
        <w:t xml:space="preserve">http://200.108.131.206:8051/ccr-rest-api/lt/api/v1/sucursales</w:t>
      </w:r>
      <w:r>
        <w:t xml:space="preserve">.</w:t>
      </w:r>
    </w:p>
    <w:bookmarkEnd w:id="14"/>
    <w:bookmarkStart w:id="18" w:name="autenticación"/>
    <w:p>
      <w:pPr>
        <w:pStyle w:val="Heading1"/>
      </w:pPr>
      <w:r>
        <w:t xml:space="preserve">4. Autenticación</w:t>
      </w:r>
    </w:p>
    <w:p>
      <w:pPr>
        <w:pStyle w:val="FirstParagraph"/>
      </w:pPr>
      <w:r>
        <w:t xml:space="preserve">Todos los endpoints requieren un</w:t>
      </w:r>
      <w:r>
        <w:t xml:space="preserve"> </w:t>
      </w:r>
      <w:r>
        <w:rPr>
          <w:b/>
          <w:bCs/>
        </w:rPr>
        <w:t xml:space="preserve">Bearer Token estático</w:t>
      </w:r>
      <w:r>
        <w:t xml:space="preserve"> </w:t>
      </w:r>
      <w:r>
        <w:t xml:space="preserve">en la cabecera HTTP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 CCR provee al proveedor LT una única clave de acceso, válida para todos los endpoints.</w:t>
      </w:r>
    </w:p>
    <w:bookmarkStart w:id="15" w:name="cabecera-requerida"/>
    <w:p>
      <w:pPr>
        <w:pStyle w:val="Heading2"/>
      </w:pPr>
      <w:r>
        <w:t xml:space="preserve">Cabecera requerida</w:t>
      </w:r>
    </w:p>
    <w:p>
      <w:pPr>
        <w:pStyle w:val="SourceCode"/>
      </w:pPr>
      <w:r>
        <w:rPr>
          <w:rStyle w:val="VerbatimChar"/>
        </w:rPr>
        <w:t xml:space="preserve">Authorization: Bearer &lt;api-key&gt;</w:t>
      </w:r>
    </w:p>
    <w:bookmarkEnd w:id="15"/>
    <w:bookmarkStart w:id="16" w:name="clave-de-acceso-provista"/>
    <w:p>
      <w:pPr>
        <w:pStyle w:val="Heading2"/>
      </w:pPr>
      <w:r>
        <w:t xml:space="preserve">Clave de acceso provista</w:t>
      </w:r>
    </w:p>
    <w:p>
      <w:pPr>
        <w:pStyle w:val="SourceCode"/>
      </w:pPr>
      <w:r>
        <w:rPr>
          <w:rStyle w:val="VerbatimChar"/>
        </w:rPr>
        <w:t xml:space="preserve">ltk_KFYQNxRAls24J46tSwndn68UYPfp9_SfyumbVCa9_es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esta clave es</w:t>
      </w:r>
      <w:r>
        <w:t xml:space="preserve"> </w:t>
      </w:r>
      <w:r>
        <w:rPr>
          <w:b/>
          <w:bCs/>
        </w:rPr>
        <w:t xml:space="preserve">confidencial</w:t>
      </w:r>
      <w:r>
        <w:t xml:space="preserve">. No debe compartirse por canales no seguros (chats públicos, repositorios de código, capturas en correos masivos). Debe almacenarse cifrada o en un gestor de secretos. En caso de compromiso, contactar inmediatamente al equipo CCR para regenerarla.</w:t>
      </w:r>
    </w:p>
    <w:bookmarkEnd w:id="16"/>
    <w:bookmarkStart w:id="17" w:name="respuesta-ante-autenticación-inválida"/>
    <w:p>
      <w:pPr>
        <w:pStyle w:val="Heading2"/>
      </w:pPr>
      <w:r>
        <w:t xml:space="preserve">Respuesta ante autenticación inválida</w:t>
      </w:r>
    </w:p>
    <w:p>
      <w:pPr>
        <w:pStyle w:val="FirstParagraph"/>
      </w:pPr>
      <w:r>
        <w:t xml:space="preserve">Si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está ausente o la clave es incorrecta, la API responde</w:t>
      </w:r>
      <w:r>
        <w:t xml:space="preserve"> </w:t>
      </w:r>
      <w:r>
        <w:rPr>
          <w:rStyle w:val="VerbatimChar"/>
        </w:rPr>
        <w:t xml:space="preserve">HTTP 401 Unauthorized</w:t>
      </w:r>
      <w:r>
        <w:t xml:space="preserve"> </w:t>
      </w:r>
      <w:r>
        <w:t xml:space="preserve">con el siguiente cuerpo: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key inválida"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17"/>
    <w:bookmarkEnd w:id="18"/>
    <w:bookmarkStart w:id="23" w:name="formato-general-de-mensajes"/>
    <w:p>
      <w:pPr>
        <w:pStyle w:val="Heading1"/>
      </w:pPr>
      <w:r>
        <w:t xml:space="preserve">5. Formato general de mensajes</w:t>
      </w:r>
    </w:p>
    <w:bookmarkStart w:id="19" w:name="cabeceras-obligatorias"/>
    <w:p>
      <w:pPr>
        <w:pStyle w:val="Heading2"/>
      </w:pPr>
      <w:r>
        <w:t xml:space="preserve">Cabeceras obligatorias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3"/>
        <w:gridCol w:w="62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Cabecera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ltk_KFYQNxRAls24J46tSwndn68UYPfp9_SfyumbVCa9_es</w:t>
            </w:r>
          </w:p>
        </w:tc>
      </w:tr>
    </w:tbl>
    <w:bookmarkEnd w:id="19"/>
    <w:bookmarkStart w:id="20" w:name="características-del-request"/>
    <w:p>
      <w:pPr>
        <w:pStyle w:val="Heading2"/>
      </w:pPr>
      <w:r>
        <w:t xml:space="preserve">Características del request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 HTTP: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en todos los endpoints.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array JSON con uno o más registros.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UTF-8.</w:t>
      </w:r>
    </w:p>
    <w:bookmarkEnd w:id="20"/>
    <w:bookmarkStart w:id="21" w:name="estructura-de-respuesta-exitosa"/>
    <w:p>
      <w:pPr>
        <w:pStyle w:val="Heading2"/>
      </w:pPr>
      <w:r>
        <w:t xml:space="preserve">Estructura de respuesta exitosa</w:t>
      </w:r>
    </w:p>
    <w:p>
      <w:pPr>
        <w:pStyle w:val="FirstParagraph"/>
      </w:pPr>
      <w:r>
        <w:t xml:space="preserve">Una respuesta correcta devuelve HTTP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con el siguiente formato: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"Sucursales guardadas"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844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"OK"</w:t>
            </w:r>
            <w:r>
              <w:t xml:space="preserve"> </w:t>
            </w:r>
            <w:r>
              <w:t xml:space="preserve">si todo fue procesado correctamente.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Descripción legible del resultado.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Cantidad de registros procesados.</w:t>
            </w:r>
          </w:p>
        </w:tc>
      </w:tr>
    </w:tbl>
    <w:bookmarkEnd w:id="21"/>
    <w:bookmarkStart w:id="22" w:name="comportamiento-de-upsert"/>
    <w:p>
      <w:pPr>
        <w:pStyle w:val="Heading2"/>
      </w:pPr>
      <w:r>
        <w:t xml:space="preserve">Comportamiento de upsert</w:t>
      </w:r>
    </w:p>
    <w:p>
      <w:pPr>
        <w:pStyle w:val="FirstParagraph"/>
      </w:pPr>
      <w:r>
        <w:t xml:space="preserve">Si un registro ya existe en la base de datos (identificado por su clave única), se</w:t>
      </w:r>
      <w:r>
        <w:t xml:space="preserve"> </w:t>
      </w:r>
      <w:r>
        <w:rPr>
          <w:b/>
          <w:bCs/>
        </w:rPr>
        <w:t xml:space="preserve">actualiza</w:t>
      </w:r>
      <w:r>
        <w:t xml:space="preserve">. Si no existe, se</w:t>
      </w:r>
      <w:r>
        <w:t xml:space="preserve"> </w:t>
      </w:r>
      <w:r>
        <w:rPr>
          <w:b/>
          <w:bCs/>
        </w:rPr>
        <w:t xml:space="preserve">inserta</w:t>
      </w:r>
      <w:r>
        <w:t xml:space="preserve">.</w:t>
      </w:r>
      <w:r>
        <w:t xml:space="preserve"> </w:t>
      </w:r>
      <w:r>
        <w:rPr>
          <w:b/>
          <w:bCs/>
        </w:rPr>
        <w:t xml:space="preserve">No se generan duplicados al reenviar el mismo batch</w:t>
      </w:r>
      <w:r>
        <w:t xml:space="preserve">, lo que permite reintentos seguros.</w:t>
      </w:r>
    </w:p>
    <w:bookmarkEnd w:id="22"/>
    <w:bookmarkEnd w:id="23"/>
    <w:bookmarkStart w:id="40" w:name="endpoints"/>
    <w:p>
      <w:pPr>
        <w:pStyle w:val="Heading1"/>
      </w:pPr>
      <w:r>
        <w:t xml:space="preserve">6. Endpoints</w:t>
      </w:r>
    </w:p>
    <w:bookmarkStart w:id="27" w:name="post-sucursales"/>
    <w:p>
      <w:pPr>
        <w:pStyle w:val="Heading2"/>
      </w:pPr>
      <w:r>
        <w:t xml:space="preserve">6.1 POST /sucursales</w:t>
      </w:r>
    </w:p>
    <w:p>
      <w:pPr>
        <w:pStyle w:val="FirstParagraph"/>
      </w:pPr>
      <w:r>
        <w:t xml:space="preserve">Carga o actualiza el maestro de sucursales (puntos de venta).</w:t>
      </w:r>
    </w:p>
    <w:p>
      <w:pPr>
        <w:pStyle w:val="BodyText"/>
      </w:pPr>
      <w:r>
        <w:rPr>
          <w:b/>
          <w:bCs/>
        </w:rPr>
        <w:t xml:space="preserve">Clave única:</w:t>
      </w:r>
      <w:r>
        <w:t xml:space="preserve"> </w:t>
      </w:r>
      <w:r>
        <w:rPr>
          <w:rStyle w:val="VerbatimChar"/>
        </w:rPr>
        <w:t xml:space="preserve">punto</w:t>
      </w:r>
    </w:p>
    <w:bookmarkStart w:id="24" w:name="body-del-request"/>
    <w:p>
      <w:pPr>
        <w:pStyle w:val="Heading3"/>
      </w:pPr>
      <w:r>
        <w:t xml:space="preserve">Body del request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"GRAL ELIZARDO AQUINO Y C.A. LOPEZ"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"ciudad"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"ASUNCION"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"mts2"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 3 General Elizardo Aquino"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ASIGNAR"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"ciudad"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ASIGNAR"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"mts2"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4"/>
    <w:bookmarkStart w:id="25" w:name="definición-de-campos"/>
    <w:p>
      <w:pPr>
        <w:pStyle w:val="Heading3"/>
      </w:pPr>
      <w:r>
        <w:t xml:space="preserve">Definición de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0"/>
        <w:gridCol w:w="1003"/>
        <w:gridCol w:w="1227"/>
        <w:gridCol w:w="4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único de la sucursal.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Dirección física.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provincia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Provincia o departamento.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ciudad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Ciudad.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mts2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Superficie en metros cuadrados.</w:t>
            </w:r>
          </w:p>
        </w:tc>
      </w:tr>
    </w:tbl>
    <w:bookmarkEnd w:id="25"/>
    <w:bookmarkStart w:id="26" w:name="respuesta-exitosa"/>
    <w:p>
      <w:pPr>
        <w:pStyle w:val="Heading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"Sucursales guardadas"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Start w:id="31" w:name="post-productos"/>
    <w:p>
      <w:pPr>
        <w:pStyle w:val="Heading2"/>
      </w:pPr>
      <w:r>
        <w:t xml:space="preserve">6.2 POST /productos</w:t>
      </w:r>
    </w:p>
    <w:p>
      <w:pPr>
        <w:pStyle w:val="FirstParagraph"/>
      </w:pPr>
      <w:r>
        <w:t xml:space="preserve">Carga o actualiza el catálogo de productos.</w:t>
      </w:r>
    </w:p>
    <w:p>
      <w:pPr>
        <w:pStyle w:val="BodyText"/>
      </w:pPr>
      <w:r>
        <w:rPr>
          <w:b/>
          <w:bCs/>
        </w:rPr>
        <w:t xml:space="preserve">Clave única:</w:t>
      </w:r>
      <w:r>
        <w:t xml:space="preserve"> </w:t>
      </w:r>
      <w:r>
        <w:rPr>
          <w:rStyle w:val="VerbatimChar"/>
        </w:rPr>
        <w:t xml:space="preserve">eancode</w:t>
      </w:r>
    </w:p>
    <w:p>
      <w:pPr>
        <w:pStyle w:val="BlockText"/>
      </w:pPr>
      <w:r>
        <w:rPr>
          <w:b/>
          <w:bCs/>
        </w:rPr>
        <w:t xml:space="preserve">Atención:</w:t>
      </w:r>
      <w:r>
        <w:t xml:space="preserve"> </w:t>
      </w:r>
      <w:r>
        <w:t xml:space="preserve">los campos</w:t>
      </w:r>
      <w:r>
        <w:t xml:space="preserve"> </w:t>
      </w:r>
      <w:r>
        <w:rPr>
          <w:rStyle w:val="VerbatimChar"/>
        </w:rPr>
        <w:t xml:space="preserve">id_Sector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id_Seccion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id_Categoria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id_Subcategoria</w:t>
      </w:r>
      <w:r>
        <w:t xml:space="preserve"> </w:t>
      </w:r>
      <w:r>
        <w:t xml:space="preserve">deben enviarse exactamente con la primera letra en mayúscula (notación camelCase mostrada en el ejemplo). Cualquier variación será ignorada.</w:t>
      </w:r>
    </w:p>
    <w:bookmarkStart w:id="28" w:name="body-del-request-1"/>
    <w:p>
      <w:pPr>
        <w:pStyle w:val="Heading3"/>
      </w:pPr>
      <w:r>
        <w:t xml:space="preserve">Body del request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247573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"JGO 3PZC PLANGANA/COLADOR/TAPER REF:559688"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PERECEDEROS"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"id_Seccion"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TRADICIONALES"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"BAZAR"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"id_Subcategoria"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"PLASTICOS"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"fabricante"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"FORTALEZA EMPRENDIMIENTO SRL"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"INDEFINIDA"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"pesovolumen"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"unidadMedida"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8"/>
    <w:bookmarkStart w:id="29" w:name="definición-de-campos-1"/>
    <w:p>
      <w:pPr>
        <w:pStyle w:val="Heading3"/>
      </w:pPr>
      <w:r>
        <w:t xml:space="preserve">Definición de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9"/>
        <w:gridCol w:w="672"/>
        <w:gridCol w:w="821"/>
        <w:gridCol w:w="5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eancode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Código EAN del producto. Puede superar el rango de int (32 bits).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Descripción del producto.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id_Sector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del sector.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del sector.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de la sección.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 la sección.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id_Categoria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de la 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 la 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id_Subcategoria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 de la subcategoría.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subcategoria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 la subcategoría.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fabricante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del fabricante.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Marca del producto.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Cantidad de contenido.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pesovolumen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Peso o volumen.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unidadMedida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Unidad de medida (ej.:</w:t>
            </w:r>
            <w:r>
              <w:t xml:space="preserve"> </w:t>
            </w:r>
            <w:r>
              <w:rPr>
                <w:rStyle w:val="VerbatimChar"/>
              </w:rPr>
              <w:t xml:space="preserve">"Unid"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"Kg"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"Lt"</w:t>
            </w:r>
            <w:r>
              <w:t xml:space="preserve">).</w:t>
            </w:r>
          </w:p>
        </w:tc>
      </w:tr>
    </w:tbl>
    <w:bookmarkEnd w:id="29"/>
    <w:bookmarkStart w:id="30" w:name="respuesta-exitosa-1"/>
    <w:p>
      <w:pPr>
        <w:pStyle w:val="Heading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"Productos guardados"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Start w:id="35" w:name="post-tickets"/>
    <w:p>
      <w:pPr>
        <w:pStyle w:val="Heading2"/>
      </w:pPr>
      <w:r>
        <w:t xml:space="preserve">6.3 POST /tickets</w:t>
      </w:r>
    </w:p>
    <w:p>
      <w:pPr>
        <w:pStyle w:val="FirstParagraph"/>
      </w:pPr>
      <w:r>
        <w:t xml:space="preserve">Carga o actualiza las líneas de tickets de venta.</w:t>
      </w:r>
    </w:p>
    <w:p>
      <w:pPr>
        <w:pStyle w:val="BodyText"/>
      </w:pPr>
      <w:r>
        <w:rPr>
          <w:b/>
          <w:bCs/>
        </w:rPr>
        <w:t xml:space="preserve">Clave única:</w:t>
      </w:r>
      <w:r>
        <w:t xml:space="preserve"> </w:t>
      </w:r>
      <w:r>
        <w:t xml:space="preserve">combinación de</w:t>
      </w:r>
      <w:r>
        <w:t xml:space="preserve"> </w:t>
      </w:r>
      <w:r>
        <w:rPr>
          <w:rStyle w:val="VerbatimChar"/>
        </w:rPr>
        <w:t xml:space="preserve">punto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nroTicket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eancode</w:t>
      </w:r>
    </w:p>
    <w:bookmarkStart w:id="32" w:name="body-del-request-2"/>
    <w:p>
      <w:pPr>
        <w:pStyle w:val="Heading3"/>
      </w:pPr>
      <w:r>
        <w:t xml:space="preserve">Body del request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"nroTicket"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"0010120219942"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"19:14:00"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7500435019828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"ean_desc"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"2EN1 H&amp;S SUAVE Y MANEJ X 375ML"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"unidades_vendidas"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"precio_regular"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"precio_promocional"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"tipo_venta"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2"/>
    <w:bookmarkStart w:id="33" w:name="definición-de-campos-2"/>
    <w:p>
      <w:pPr>
        <w:pStyle w:val="Heading3"/>
      </w:pPr>
      <w:r>
        <w:t xml:space="preserve">Definición de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3"/>
        <w:gridCol w:w="766"/>
        <w:gridCol w:w="936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de la sucursal donde se realizó la venta.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nroTicket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Número de ticket.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 la venta en formato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Hora de la venta en formato</w:t>
            </w:r>
            <w:r>
              <w:t xml:space="preserve"> </w:t>
            </w:r>
            <w:r>
              <w:rPr>
                <w:rStyle w:val="VerbatimChar"/>
              </w:rPr>
              <w:t xml:space="preserve">HH:mm:ss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eancode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Código EAN del producto vendido.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ean_desc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Descripción del producto.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unidades_vendidas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Cantidad de unidades vendidas.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precio_regular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Precio regular (sin promoción).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precio_promocional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Precio aplicado en la venta.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tipo_venta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Tipo de venta (ej.:</w:t>
            </w:r>
            <w:r>
              <w:t xml:space="preserve"> </w:t>
            </w:r>
            <w:r>
              <w:rPr>
                <w:rStyle w:val="VerbatimChar"/>
              </w:rPr>
              <w:t xml:space="preserve">"P"</w:t>
            </w:r>
            <w:r>
              <w:t xml:space="preserve"> </w:t>
            </w:r>
            <w:r>
              <w:t xml:space="preserve">= promocional).</w:t>
            </w:r>
          </w:p>
        </w:tc>
      </w:tr>
    </w:tbl>
    <w:bookmarkEnd w:id="33"/>
    <w:bookmarkStart w:id="34" w:name="respuesta-exitosa-2"/>
    <w:p>
      <w:pPr>
        <w:pStyle w:val="Heading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"Tickets guardados"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34"/>
    <w:bookmarkEnd w:id="35"/>
    <w:bookmarkStart w:id="39" w:name="post-personas"/>
    <w:p>
      <w:pPr>
        <w:pStyle w:val="Heading2"/>
      </w:pPr>
      <w:r>
        <w:t xml:space="preserve">6.4 POST /personas</w:t>
      </w:r>
    </w:p>
    <w:p>
      <w:pPr>
        <w:pStyle w:val="FirstParagraph"/>
      </w:pPr>
      <w:r>
        <w:t xml:space="preserve">Carga o actualiza los compradores asociados a tickets.</w:t>
      </w:r>
    </w:p>
    <w:p>
      <w:pPr>
        <w:pStyle w:val="BodyText"/>
      </w:pPr>
      <w:r>
        <w:rPr>
          <w:b/>
          <w:bCs/>
        </w:rPr>
        <w:t xml:space="preserve">Clave única:</w:t>
      </w:r>
      <w:r>
        <w:t xml:space="preserve"> </w:t>
      </w:r>
      <w:r>
        <w:t xml:space="preserve">combinación de</w:t>
      </w:r>
      <w:r>
        <w:t xml:space="preserve"> </w:t>
      </w:r>
      <w:r>
        <w:rPr>
          <w:rStyle w:val="VerbatimChar"/>
        </w:rPr>
        <w:t xml:space="preserve">punto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nroTicket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identificacion</w:t>
      </w:r>
    </w:p>
    <w:bookmarkStart w:id="36" w:name="body-del-request-3"/>
    <w:p>
      <w:pPr>
        <w:pStyle w:val="Heading3"/>
      </w:pPr>
      <w:r>
        <w:t xml:space="preserve">Body del request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"nroTicket"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"0010010295677"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"identificacion"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"44444401-7"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"nombreyapellidoempresa"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 PEREZ"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6"/>
    <w:bookmarkStart w:id="37" w:name="definición-de-campos-3"/>
    <w:p>
      <w:pPr>
        <w:pStyle w:val="Heading3"/>
      </w:pPr>
      <w:r>
        <w:t xml:space="preserve">Definición de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2"/>
        <w:gridCol w:w="734"/>
        <w:gridCol w:w="898"/>
        <w:gridCol w:w="4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 de la sucursal.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nroTicket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Número de ticket al que pertenece la persona.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del ticket en formato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identificacion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Cédula o RUC del comprador.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nombreyapellidoempresa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completo o razón social.</w:t>
            </w:r>
          </w:p>
        </w:tc>
      </w:tr>
    </w:tbl>
    <w:bookmarkEnd w:id="37"/>
    <w:bookmarkStart w:id="38" w:name="respuesta-exitosa-3"/>
    <w:p>
      <w:pPr>
        <w:pStyle w:val="Heading3"/>
      </w:pPr>
      <w:r>
        <w:t xml:space="preserve">Respuesta exitosa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"Personas guardadas"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End w:id="40"/>
    <w:bookmarkStart w:id="44" w:name="códigos-de-respuesta-http"/>
    <w:p>
      <w:pPr>
        <w:pStyle w:val="Heading1"/>
      </w:pPr>
      <w:r>
        <w:t xml:space="preserve">7. Códigos de respuesta HTTP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7"/>
        <w:gridCol w:w="5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Registros procesados correctamente.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JSON malformado o tipos de campo incorrectos.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API key ausente o inválida.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Error interno del servidor.</w:t>
            </w:r>
          </w:p>
        </w:tc>
      </w:tr>
    </w:tbl>
    <w:bookmarkStart w:id="41" w:name="respuesta-200-éxito"/>
    <w:p>
      <w:pPr>
        <w:pStyle w:val="Heading2"/>
      </w:pPr>
      <w:r>
        <w:t xml:space="preserve">7.1 Respuesta 200 (éxito)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"Sucursales guardadas"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1"/>
    <w:bookmarkStart w:id="42" w:name="respuesta-401-autenticación-inválida"/>
    <w:p>
      <w:pPr>
        <w:pStyle w:val="Heading2"/>
      </w:pPr>
      <w:r>
        <w:t xml:space="preserve">7.2 Respuesta 401 (autenticación inválida)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key inválida"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respuesta-400-json-inválido"/>
    <w:p>
      <w:pPr>
        <w:pStyle w:val="Heading2"/>
      </w:pPr>
      <w:r>
        <w:t xml:space="preserve">7.3 Respuesta 400 (JSON inválido)</w:t>
      </w:r>
    </w:p>
    <w:p>
      <w:pPr>
        <w:pStyle w:val="FirstParagraph"/>
      </w:pPr>
      <w:r>
        <w:t xml:space="preserve">El error 400 usa el formato estándar de Spring Boot — distinto al formato de negocio de los otros endpoints: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"2026-05-21T22:01:59.741+00:00"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 parse error: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"/ccr-rest-api/lt/api/v1/sucursales"</w:t>
      </w:r>
      <w:r>
        <w:br/>
      </w:r>
      <w:r>
        <w:rPr>
          <w:rStyle w:val="FunctionTok"/>
        </w:rPr>
        <w:t xml:space="preserve">}</w:t>
      </w:r>
    </w:p>
    <w:bookmarkEnd w:id="43"/>
    <w:bookmarkEnd w:id="44"/>
    <w:bookmarkStart w:id="47" w:name="ejemplo-completo-con-curl"/>
    <w:p>
      <w:pPr>
        <w:pStyle w:val="Heading1"/>
      </w:pPr>
      <w:r>
        <w:t xml:space="preserve">8. Ejemplo completo con curl</w:t>
      </w:r>
    </w:p>
    <w:p>
      <w:pPr>
        <w:pStyle w:val="FirstParagraph"/>
      </w:pPr>
      <w:r>
        <w:t xml:space="preserve">A continuación se muestra una invocación completa al endpoint</w:t>
      </w:r>
      <w:r>
        <w:t xml:space="preserve"> </w:t>
      </w:r>
      <w:r>
        <w:rPr>
          <w:rStyle w:val="VerbatimChar"/>
        </w:rPr>
        <w:t xml:space="preserve">/sucursales</w:t>
      </w:r>
      <w:r>
        <w:t xml:space="preserve">, útil para probar la integración antes de la primera carga real.</w:t>
      </w:r>
    </w:p>
    <w:bookmarkStart w:id="45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http://200.108.131.206:8051/ccr-rest-api/lt/api/v1/sucursales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ltk_KFYQNxRAls24J46tSwndn68UYPfp9_SfyumbVCa9_es"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"punto": 1,</w:t>
      </w:r>
      <w:r>
        <w:br/>
      </w:r>
      <w:r>
        <w:rPr>
          <w:rStyle w:val="StringTok"/>
        </w:rPr>
        <w:t xml:space="preserve">      "direccion": "GRAL ELIZARDO AQUINO Y C.A. LOPEZ",</w:t>
      </w:r>
      <w:r>
        <w:br/>
      </w:r>
      <w:r>
        <w:rPr>
          <w:rStyle w:val="StringTok"/>
        </w:rPr>
        <w:t xml:space="preserve">      "provincia": "CENTRAL",</w:t>
      </w:r>
      <w:r>
        <w:br/>
      </w:r>
      <w:r>
        <w:rPr>
          <w:rStyle w:val="StringTok"/>
        </w:rPr>
        <w:t xml:space="preserve">      "ciudad": "ASUNCION",</w:t>
      </w:r>
      <w:r>
        <w:br/>
      </w:r>
      <w:r>
        <w:rPr>
          <w:rStyle w:val="StringTok"/>
        </w:rPr>
        <w:t xml:space="preserve">      "mts2": 250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]'</w:t>
      </w:r>
    </w:p>
    <w:bookmarkEnd w:id="45"/>
    <w:bookmarkStart w:id="46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"Sucursales guardadas"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46"/>
    <w:bookmarkEnd w:id="47"/>
    <w:bookmarkStart w:id="48" w:name="notas-técnicas-y-recomendaciones"/>
    <w:p>
      <w:pPr>
        <w:pStyle w:val="Heading1"/>
      </w:pPr>
      <w:r>
        <w:t xml:space="preserve">9. Notas técnicas y recomendaciones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Orden de envío:</w:t>
      </w:r>
      <w:r>
        <w:t xml:space="preserve"> </w:t>
      </w:r>
      <w:r>
        <w:t xml:space="preserve">los batches pueden enviarse en cualquier orden. Se recomienda, no obstante, enviar primero</w:t>
      </w:r>
      <w:r>
        <w:t xml:space="preserve"> </w:t>
      </w:r>
      <w:r>
        <w:rPr>
          <w:rStyle w:val="VerbatimChar"/>
        </w:rPr>
        <w:t xml:space="preserve">sucursales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productos</w:t>
      </w:r>
      <w:r>
        <w:t xml:space="preserve">, y luego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, para garantizar integridad referencial visual al consultar los datos.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Tamaño de batch:</w:t>
      </w:r>
      <w:r>
        <w:t xml:space="preserve"> </w:t>
      </w:r>
      <w:r>
        <w:t xml:space="preserve">no hay un límite estricto, pero se recomienda</w:t>
      </w:r>
      <w:r>
        <w:t xml:space="preserve"> </w:t>
      </w:r>
      <w:r>
        <w:rPr>
          <w:b/>
          <w:bCs/>
        </w:rPr>
        <w:t xml:space="preserve">no superar 5.000 registros por llamada</w:t>
      </w:r>
      <w:r>
        <w:t xml:space="preserve"> </w:t>
      </w:r>
      <w:r>
        <w:t xml:space="preserve">para evitar timeouts y minimizar el impacto en caso de 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Reintentos:</w:t>
      </w:r>
      <w:r>
        <w:t xml:space="preserve"> </w:t>
      </w:r>
      <w:r>
        <w:t xml:space="preserve">dado el comportamiento de upsert, los batches son idempotentes. En caso de error de red o timeout, el mismo batch puede reenviarse sin riesgo de duplicación.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Tipos numéricos: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eancode</w:t>
      </w:r>
      <w:r>
        <w:t xml:space="preserve"> </w:t>
      </w:r>
      <w:r>
        <w:t xml:space="preserve">debe enviarse como</w:t>
      </w:r>
      <w:r>
        <w:t xml:space="preserve"> </w:t>
      </w:r>
      <w:r>
        <w:rPr>
          <w:b/>
          <w:bCs/>
        </w:rPr>
        <w:t xml:space="preserve">número entero largo</w:t>
      </w:r>
      <w:r>
        <w:t xml:space="preserve"> </w:t>
      </w:r>
      <w:r>
        <w:t xml:space="preserve">(no string). Valores como</w:t>
      </w:r>
      <w:r>
        <w:t xml:space="preserve"> </w:t>
      </w:r>
      <w:r>
        <w:rPr>
          <w:rStyle w:val="VerbatimChar"/>
        </w:rPr>
        <w:t xml:space="preserve">7500435019828</w:t>
      </w:r>
      <w:r>
        <w:t xml:space="preserve"> </w:t>
      </w:r>
      <w:r>
        <w:t xml:space="preserve">superan el rango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estándar de 32 bits.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Fechas y horas:</w:t>
      </w:r>
      <w:r>
        <w:t xml:space="preserve"> </w:t>
      </w:r>
      <w:r>
        <w:t xml:space="preserve">deben enviarse siempre en formato ISO 8601: fechas como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y horas como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Campos opcionales:</w:t>
      </w:r>
      <w:r>
        <w:t xml:space="preserve"> </w:t>
      </w:r>
      <w:r>
        <w:t xml:space="preserve">pueden omitirse del JSON o enviarse como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Zona horaria:</w:t>
      </w:r>
      <w:r>
        <w:t xml:space="preserve"> </w:t>
      </w:r>
      <w:r>
        <w:t xml:space="preserve">las fechas y horas se interpretan en zona horaria de Paraguay (America/Asuncion).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usar siempre UTF-8 para evitar problemas con acentos y caracteres especiales en descripciones y nombres.</w:t>
      </w:r>
    </w:p>
    <w:bookmarkEnd w:id="48"/>
    <w:bookmarkStart w:id="49" w:name="soporte-y-contacto"/>
    <w:p>
      <w:pPr>
        <w:pStyle w:val="Heading1"/>
      </w:pPr>
      <w:r>
        <w:t xml:space="preserve">10. Soporte y contacto</w:t>
      </w:r>
    </w:p>
    <w:p>
      <w:pPr>
        <w:pStyle w:val="FirstParagraph"/>
      </w:pPr>
      <w:r>
        <w:t xml:space="preserve">Para consultas técnicas, reporte de incidentes o solicitudes de regeneración de la clave de acceso, contactar al equipo de integración: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técnico</w:t>
            </w:r>
          </w:p>
        </w:tc>
        <w:tc>
          <w:tcPr/>
          <w:p>
            <w:pPr>
              <w:pStyle w:val="Compact"/>
            </w:pPr>
            <w:r>
              <w:t xml:space="preserve">D-Tech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jaimeferreira11@gmail.com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de soporte</w:t>
            </w:r>
          </w:p>
        </w:tc>
        <w:tc>
          <w:tcPr/>
          <w:p>
            <w:pPr>
              <w:pStyle w:val="Compact"/>
            </w:pPr>
            <w:r>
              <w:t xml:space="preserve">Lunes a viernes, 08:00 – 18:00 (GMT-3)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31 de mayo de 2026 · Versión 2.0 · D-Tech Consulting para CCR Paraguay · Confidencial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link w:val="TitleChar"/>
    <w:uiPriority w:val="10"/>
    <w:qFormat/>
    <w:pPr>
      <w:spacing w:after="120" w:before="0"/>
      <w:jc w:val="center"/>
      <w:contextualSpacing/>
    </w:pPr>
    <w:rPr>
      <w:rFonts w:asciiTheme="majorHAnsi" w:cstheme="majorBidi" w:eastAsiaTheme="majorEastAsia" w:hAnsiTheme="majorHAnsi"/>
      <w:color w:val="1F3864"/>
      <w:spacing w:val="-10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  <w:jc w:val="center"/>
    </w:pPr>
    <w:rPr>
      <w:rFonts w:asciiTheme="majorHAnsi" w:cstheme="majorBidi" w:eastAsiaTheme="majorEastAsia" w:hAnsiTheme="majorHAnsi"/>
      <w:color w:val="555555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Normal"/>
    <w:next w:val="Normal"/>
    <w:pPr>
      <w:spacing w:after="80"/>
      <w:jc w:val="center"/>
    </w:pPr>
    <w:rPr>
      <w:color w:val="555555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pageBreakBefore/>
      <w:spacing w:after="240" w:before="480"/>
      <w:outlineLvl w:val="0"/>
      <w:pBdr>
        <w:bottom w:color="1F3864" w:space="4" w:sz="16" w:val="single"/>
      </w:pBdr>
    </w:pPr>
    <w:rPr>
      <w:rFonts w:asciiTheme="majorHAnsi" w:cstheme="majorBidi" w:eastAsiaTheme="majorEastAsia" w:hAnsiTheme="majorHAnsi"/>
      <w:color w:val="1F3864"/>
      <w:sz w:val="44"/>
      <w:szCs w:val="44"/>
      <w:b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60" w:before="360"/>
      <w:outlineLvl w:val="1"/>
      <w:pBdr>
        <w:bottom w:color="BFD0E8" w:space="2" w:sz="8" w:val="single"/>
      </w:pBdr>
    </w:pPr>
    <w:rPr>
      <w:rFonts w:asciiTheme="majorHAnsi" w:cstheme="majorBidi" w:eastAsiaTheme="majorEastAsia" w:hAnsiTheme="majorHAnsi"/>
      <w:color w:val="2E5395"/>
      <w:sz w:val="30"/>
      <w:szCs w:val="30"/>
      <w:b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120" w:before="280"/>
      <w:outlineLvl w:val="2"/>
    </w:pPr>
    <w:rPr>
      <w:rFonts w:asciiTheme="majorHAnsi" w:cstheme="majorBidi" w:eastAsiaTheme="majorEastAsia" w:hAnsiTheme="majorHAnsi"/>
      <w:color w:val="2E5395"/>
      <w:sz w:val="26"/>
      <w:szCs w:val="26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de Integración LT ↔ CCR</dc:title>
  <dc:creator>D-Tech Consulting</dc:creator>
  <dc:language>es</dc:language>
  <cp:keywords/>
  <dcterms:created xsi:type="dcterms:W3CDTF">2026-05-31T12:38:59Z</dcterms:created>
  <dcterms:modified xsi:type="dcterms:W3CDTF">2026-05-31T12:38:59Z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31 de mayo de 2026</vt:lpwstr>
  </property>
  <property fmtid="{D5CDD505-2E9C-101B-9397-08002B2CF9AE}" pid="3" name="subtitle">
    <vt:lpwstr>Documentación técnica para el proveedor LT</vt:lpwstr>
  </property>
</Properties>
</file>