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526975"/>
          <w:sz w:val="18"/>
        </w:rPr>
        <w:t>GUÍA DE CAMPO</w:t>
      </w:r>
    </w:p>
    <w:p>
      <w:bookmarkStart w:id="1" w:name="pagina1"/>
      <w:pPr>
        <w:pStyle w:val="Heading1"/>
      </w:pPr>
      <w:r>
        <w:t>Guía rápida · Encuestador</w:t>
      </w:r>
      <w:bookmarkEnd w:id="1"/>
    </w:p>
    <w:p>
      <w:r>
        <w:rPr>
          <w:b/>
        </w:rPr>
        <w:t>PULSO v2 · ALTO PARANÁ · USO DESDE EL TELÉFONO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3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sz w:val="22"/>
              </w:rPr>
              <w:t>Use solo el enlace y la cuenta entregados por coordinación. No use el HTML de práctica para datos reales.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pPr>
        <w:ind w:left="312" w:hanging="312"/>
      </w:pPr>
      <w:r>
        <w:rPr>
          <w:b/>
          <w:color w:val="087E7B"/>
        </w:rPr>
        <w:t xml:space="preserve">1. </w:t>
      </w:r>
      <w:r>
        <w:rPr>
          <w:b/>
        </w:rPr>
        <w:t>Entrar.</w:t>
      </w:r>
      <w:r>
        <w:t xml:space="preserve"> Abra el enlace en Chrome (Android) o Safari (iPhone), con Internet. Ingrese con su código y contraseña. No use incógnito.</w:t>
      </w:r>
    </w:p>
    <w:p>
      <w:pPr>
        <w:ind w:left="312" w:hanging="312"/>
      </w:pPr>
      <w:r>
        <w:rPr>
          <w:b/>
          <w:color w:val="087E7B"/>
        </w:rPr>
        <w:t xml:space="preserve">2. </w:t>
      </w:r>
      <w:r>
        <w:rPr>
          <w:b/>
        </w:rPr>
        <w:t>Verificar.</w:t>
      </w:r>
      <w:r>
        <w:t xml:space="preserve"> Compruebe código, ciudad, local y punto. Si algo no coincide, deténgase y avise.</w:t>
      </w:r>
    </w:p>
    <w:p>
      <w:pPr>
        <w:ind w:left="312" w:hanging="312"/>
      </w:pPr>
      <w:r>
        <w:rPr>
          <w:b/>
          <w:color w:val="087E7B"/>
        </w:rPr>
        <w:t xml:space="preserve">3. </w:t>
      </w:r>
      <w:r>
        <w:rPr>
          <w:b/>
        </w:rPr>
        <w:t>Confirmar voto previo.</w:t>
      </w:r>
      <w:r>
        <w:t xml:space="preserve"> Marque “ya votó” solo si la persona lo confirma. No pida cédula, foto ni prueba del voto.</w:t>
      </w:r>
    </w:p>
    <w:p>
      <w:pPr>
        <w:ind w:left="312" w:hanging="312"/>
      </w:pPr>
      <w:r>
        <w:rPr>
          <w:b/>
          <w:color w:val="087E7B"/>
        </w:rPr>
        <w:t xml:space="preserve">4. </w:t>
      </w:r>
      <w:r>
        <w:rPr>
          <w:b/>
        </w:rPr>
        <w:t>Solicitar consentimiento.</w:t>
      </w:r>
      <w:r>
        <w:t xml:space="preserve"> “Buen día. Hacemos una encuesta anónima y voluntaria. Puede negarse o no revelar su voto. ¿Desea participar?”</w:t>
      </w:r>
    </w:p>
    <w:p>
      <w:pPr>
        <w:ind w:left="312" w:hanging="312"/>
      </w:pPr>
      <w:r>
        <w:rPr>
          <w:b/>
          <w:color w:val="087E7B"/>
        </w:rPr>
        <w:t xml:space="preserve">5. </w:t>
      </w:r>
      <w:r>
        <w:rPr>
          <w:b/>
        </w:rPr>
        <w:t>Preguntar sin sugerir.</w:t>
      </w:r>
      <w:r>
        <w:t xml:space="preserve"> “¿Por qué candidatura votó para la Intendencia Municipal?” Registre solo lo que declara.</w:t>
      </w:r>
    </w:p>
    <w:p>
      <w:pPr>
        <w:ind w:left="312" w:hanging="312"/>
      </w:pPr>
      <w:r>
        <w:rPr>
          <w:b/>
          <w:color w:val="087E7B"/>
        </w:rPr>
        <w:t xml:space="preserve">6. </w:t>
      </w:r>
      <w:r>
        <w:rPr>
          <w:b/>
        </w:rPr>
        <w:t>Elegir y guardar.</w:t>
      </w:r>
      <w:r>
        <w:t xml:space="preserve"> Toque la respuesta, revísela y pulse </w:t>
      </w:r>
      <w:r>
        <w:rPr>
          <w:b/>
        </w:rPr>
        <w:t>Guardar encuesta</w:t>
      </w:r>
      <w:r>
        <w:t xml:space="preserve"> una vez. Espere el mensaje; prepare la siguiente entrevista desde cero.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tblHeader/>
        </w:trPr>
        <w:tc>
          <w:tcPr>
            <w:tcW w:type="dxa" w:w="2835"/>
            <w:shd w:fill="16353E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La persona…</w:t>
            </w:r>
          </w:p>
        </w:tc>
        <w:tc>
          <w:tcPr>
            <w:tcW w:type="dxa" w:w="6973"/>
            <w:shd w:fill="16353E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Seleccione…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5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Acepta y declara candidatura</w:t>
            </w:r>
          </w:p>
        </w:tc>
        <w:tc>
          <w:tcPr>
            <w:tcW w:type="dxa" w:w="6973"/>
            <w:vAlign w:val="center"/>
            <w:shd w:fill="F0F5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La candidatura exacta + consentimiento.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Declara blanco o nulo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Voto en blanco / Voto nulo.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5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Acepta, pero no revela</w:t>
            </w:r>
          </w:p>
        </w:tc>
        <w:tc>
          <w:tcPr>
            <w:tcW w:type="dxa" w:w="6973"/>
            <w:vAlign w:val="center"/>
            <w:shd w:fill="F0F5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No revela su voto + consentimiento.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Rechaza participar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Rechaza la encuesta; sin consentimiento ni preferencia.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r>
        <w:t>Sin confirmación de voto previo, no invente una entrevista válida. Siga el protocolo de elegibilidad. No elija personas por apariencia o preferencia.</w:t>
      </w:r>
    </w:p>
    <w:p>
      <w:r>
        <w:rPr>
          <w:b/>
        </w:rPr>
        <w:t>GPS:</w:t>
      </w:r>
      <w:r>
        <w:t xml:space="preserve"> es opcional y corresponde al encuestador. Pulse </w:t>
      </w:r>
      <w:r>
        <w:rPr>
          <w:b/>
        </w:rPr>
        <w:t>Obtener mi ubicación</w:t>
      </w:r>
      <w:r>
        <w:t xml:space="preserve"> si está previsto; no es rastreo del elector. Siempre queda el local asignado.</w:t>
      </w:r>
    </w:p>
    <w:p>
      <w:pPr>
        <w:pageBreakBefore/>
        <w:spacing w:after="60"/>
      </w:pPr>
      <w:r>
        <w:rPr>
          <w:b/>
          <w:color w:val="526975"/>
          <w:sz w:val="18"/>
        </w:rPr>
        <w:t>GUÍA DE CAMPO</w:t>
      </w:r>
    </w:p>
    <w:p>
      <w:bookmarkStart w:id="2" w:name="pagina2"/>
      <w:pPr>
        <w:pStyle w:val="Heading1"/>
      </w:pPr>
      <w:r>
        <w:t>Guía rápida · Envío y contingencias</w:t>
      </w:r>
      <w:bookmarkEnd w:id="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rPr>
          <w:tblHeader/>
        </w:trPr>
        <w:tc>
          <w:tcPr>
            <w:tcW w:type="dxa" w:w="2835"/>
            <w:shd w:fill="16353E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6973"/>
            <w:shd w:fill="16353E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20"/>
            </w:pPr>
            <w:r>
              <w:rPr>
                <w:b/>
                <w:color w:val="FFFFFF"/>
                <w:sz w:val="20"/>
              </w:rPr>
              <w:t>Qué significa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0F5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Recibidas</w:t>
            </w:r>
          </w:p>
        </w:tc>
        <w:tc>
          <w:tcPr>
            <w:tcW w:type="dxa" w:w="6973"/>
            <w:vAlign w:val="center"/>
            <w:shd w:fill="F0F5F5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El servidor confirmó. Estas filas ya pueden contarse en coordinación.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Pendientes en este teléfono</w:t>
            </w:r>
          </w:p>
        </w:tc>
        <w:tc>
          <w:tcPr>
            <w:tcW w:type="dxa" w:w="6973"/>
            <w:vAlign w:val="center"/>
            <w:shd w:fill="FFFFFF"/>
            <w:tcMar>
              <w:top w:w="75" w:type="dxa"/>
              <w:start w:w="100" w:type="dxa"/>
              <w:bottom w:w="75" w:type="dxa"/>
              <w:end w:w="100" w:type="dxa"/>
            </w:tcMar>
          </w:tcPr>
          <w:p>
            <w:pPr>
              <w:spacing w:after="40" w:line="257" w:lineRule="auto"/>
            </w:pPr>
            <w:r>
              <w:rPr>
                <w:sz w:val="22"/>
              </w:rPr>
              <w:t>Todavía falta confirmación. El panel central no conoce esa cola.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pPr>
        <w:pStyle w:val="Heading2"/>
      </w:pPr>
      <w:r>
        <w:t>Sin Internet</w:t>
      </w:r>
    </w:p>
    <w:p>
      <w:pPr>
        <w:ind w:left="312" w:hanging="312"/>
      </w:pPr>
      <w:r>
        <w:rPr>
          <w:b/>
          <w:color w:val="087E7B"/>
        </w:rPr>
        <w:t xml:space="preserve">1. </w:t>
      </w:r>
      <w:r>
        <w:t xml:space="preserve">Trabaje offline solo en el dispositivo y modo ya validados. Guarde y compruebe </w:t>
      </w:r>
      <w:r>
        <w:rPr>
          <w:b/>
        </w:rPr>
        <w:t>Pendientes</w:t>
      </w:r>
      <w:r>
        <w:t>.</w:t>
      </w:r>
    </w:p>
    <w:p>
      <w:pPr>
        <w:ind w:left="312" w:hanging="312"/>
      </w:pPr>
      <w:r>
        <w:rPr>
          <w:b/>
          <w:color w:val="087E7B"/>
        </w:rPr>
        <w:t xml:space="preserve">2. </w:t>
      </w:r>
      <w:r>
        <w:t>No borre datos del navegador ni desinstale. No cambie de cuenta, teléfono, navegador o proyecto con una cola pendiente.</w:t>
      </w:r>
    </w:p>
    <w:p>
      <w:pPr>
        <w:ind w:left="312" w:hanging="312"/>
      </w:pPr>
      <w:r>
        <w:rPr>
          <w:b/>
          <w:color w:val="087E7B"/>
        </w:rPr>
        <w:t xml:space="preserve">3. </w:t>
      </w:r>
      <w:r>
        <w:t xml:space="preserve">Al volver Internet, abra la misma app y pulse </w:t>
      </w:r>
      <w:r>
        <w:rPr>
          <w:b/>
        </w:rPr>
        <w:t>Pendientes → Sincronizar ahora</w:t>
      </w:r>
      <w:r>
        <w:t>. Confirme cola cero y recibidas correctas.</w:t>
      </w:r>
    </w:p>
    <w:p>
      <w:pPr>
        <w:ind w:left="312" w:hanging="312"/>
      </w:pPr>
      <w:r>
        <w:rPr>
          <w:b/>
          <w:color w:val="087E7B"/>
        </w:rPr>
        <w:t xml:space="preserve">4. </w:t>
      </w:r>
      <w:r>
        <w:t xml:space="preserve">Si hay error, comunique el mensaje. No vuelva a entrevistar ni recapture la misma respuesta para forzarla. No use </w:t>
      </w:r>
      <w:r>
        <w:rPr>
          <w:b/>
        </w:rPr>
        <w:t>Descartar pendiente</w:t>
      </w:r>
      <w:r>
        <w:t xml:space="preserve"> como reparación.</w:t>
      </w:r>
    </w:p>
    <w:p>
      <w:pPr>
        <w:pStyle w:val="Heading2"/>
      </w:pPr>
      <w:r>
        <w:t>Me equivoqué</w:t>
      </w:r>
    </w:p>
    <w:p>
      <w:r>
        <w:t xml:space="preserve">Para una fila recibida: </w:t>
      </w:r>
      <w:r>
        <w:rPr>
          <w:b/>
        </w:rPr>
        <w:t>Registro → Anular</w:t>
      </w:r>
      <w:r>
        <w:t xml:space="preserve">. Solo sus propias filas y dentro de los </w:t>
      </w:r>
      <w:r>
        <w:rPr>
          <w:b/>
        </w:rPr>
        <w:t>10 minutos desde la recepción</w:t>
      </w:r>
      <w:r>
        <w:t>. Se conserva trazabilidad. Fuera de ese plazo, avise al administrador.</w:t>
      </w:r>
    </w:p>
    <w:p>
      <w:pPr>
        <w:pStyle w:val="Heading2"/>
      </w:pPr>
      <w:r>
        <w:t>Al terminar el turno</w:t>
      </w:r>
    </w:p>
    <w:p>
      <w:r>
        <w:t>Informe recibidas, pendientes e incidencias. No cierre sesión ni limpie datos mientras haya pendientes sin un plan de coordinación. Una app cerrada no garantiza sincronización en segundo plano.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FF3D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sz w:val="22"/>
              </w:rPr>
              <w:t>No difunda resultados, capturas o archivos sin autorización y revisión de las restricciones aplicables. Su tarea es registrar, no interpretar ni anunciar resultados. [R10 del manual completo]</w:t>
            </w:r>
          </w:p>
        </w:tc>
      </w:tr>
    </w:tbl>
    <w:p>
      <w:pPr>
        <w:spacing w:after="40" w:line="20" w:lineRule="exact"/>
      </w:pPr>
      <w:r>
        <w:rPr>
          <w:sz w:val="2"/>
        </w:rPr>
      </w:r>
    </w:p>
    <w:p>
      <w:r>
        <w:rPr>
          <w:b/>
        </w:rPr>
        <w:t>Mi código:</w:t>
      </w:r>
      <w:r>
        <w:t xml:space="preserve"> __________________   </w:t>
      </w:r>
      <w:r>
        <w:rPr>
          <w:b/>
        </w:rPr>
        <w:t>Mi local:</w:t>
      </w:r>
      <w:r>
        <w:t xml:space="preserve"> __________________</w:t>
      </w:r>
    </w:p>
    <w:p>
      <w:r>
        <w:rPr>
          <w:b/>
        </w:rPr>
        <w:t>Punto / turno:</w:t>
      </w:r>
      <w:r>
        <w:t xml:space="preserve"> ______________________________________________</w:t>
      </w:r>
    </w:p>
    <w:p>
      <w:r>
        <w:rPr>
          <w:b/>
        </w:rPr>
        <w:t>Contacto de coordinación:</w:t>
      </w:r>
      <w:r>
        <w:t xml:space="preserve"> ____________________________________</w:t>
      </w:r>
    </w:p>
    <w:p>
      <w:r>
        <w:t>No escriba su contraseña en esta hoja. Manual ES 1.0 · 22/09/2026 · Ver manual completo para instalación y aceptación.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07" w:left="104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975"/>
        <w:sz w:val="16"/>
      </w:rPr>
      <w:t xml:space="preserve">22/09/2026  ·  Documentación operativa  /  </w:t>
    </w:r>
    <w:r>
      <w:fldChar w:fldCharType="begin"/>
      <w:instrText>PAGE</w:instrText>
      <w:fldChar w:fldCharType="end"/>
    </w:r>
    <w:r>
      <w:t xml:space="preserve"> / </w:t>
    </w:r>
    <w:r>
      <w:fldChar w:fldCharType="begin"/>
      <w:instrText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5" w:color="C4DCD7"/>
      </w:pBdr>
    </w:pPr>
    <w:r>
      <w:rPr>
        <w:rFonts w:ascii="Lato" w:hAnsi="Lato"/>
        <w:b/>
        <w:color w:val="087E7B"/>
        <w:sz w:val="17"/>
      </w:rPr>
      <w:t>pulso  /  ALTO PARANÁ                                  MANUAL ES ·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Lato" w:hAnsi="Lato"/>
      <w:color w:val="16353E"/>
      <w:sz w:val="24"/>
      <w:lang w:val="es-PY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60"/>
      <w:outlineLvl w:val="0"/>
    </w:pPr>
    <w:rPr>
      <w:rFonts w:asciiTheme="majorHAnsi" w:eastAsiaTheme="majorEastAsia" w:hAnsiTheme="majorHAnsi" w:cstheme="majorBidi" w:ascii="Lato" w:hAnsi="Lato"/>
      <w:b/>
      <w:bCs/>
      <w:color w:val="087E7B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60"/>
      <w:outlineLvl w:val="1"/>
    </w:pPr>
    <w:rPr>
      <w:rFonts w:asciiTheme="majorHAnsi" w:eastAsiaTheme="majorEastAsia" w:hAnsiTheme="majorHAnsi" w:cstheme="majorBidi" w:ascii="Lato" w:hAnsi="Lato"/>
      <w:b/>
      <w:bCs/>
      <w:color w:val="087E7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80"/>
      <w:contextualSpacing/>
    </w:pPr>
    <w:rPr>
      <w:rFonts w:asciiTheme="majorHAnsi" w:eastAsiaTheme="majorEastAsia" w:hAnsiTheme="majorHAnsi" w:cstheme="majorBidi" w:ascii="Lato" w:hAnsi="Lato"/>
      <w:b/>
      <w:color w:val="16353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9" w:lineRule="auto" w:after="120"/>
      <w:ind w:left="720"/>
      <w:contextualSpacing/>
    </w:pPr>
    <w:rPr>
      <w:rFonts w:ascii="Lato" w:hAnsi="Lato"/>
      <w:color w:val="16353E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Lato" w:hAnsi="Lato"/>
      <w:color w:val="16353E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ulso">
    <w:name w:val="Code Pulso"/>
    <w:pPr>
      <w:spacing w:after="160" w:line="259" w:lineRule="auto"/>
      <w:ind w:left="113" w:right="85"/>
    </w:pPr>
    <w:rPr>
      <w:rFonts w:ascii="DejaVu Sans Mono" w:hAnsi="DejaVu Sans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Pulso v2 · Guía rápida de encuestadores</dc:title>
  <dc:subject>Alto Paraná · Manual en español · 22 septiembre 2026</dc:subject>
  <dc:creator>Pulso · Documentación operativa</dc:creator>
  <cp:keywords>Pulso, manual, español, encuestador, administrador, viewer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