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24.odttf" ContentType="application/vnd.openxmlformats-officedocument.obfuscatedFont"/>
  <Override PartName="/word/fonts/font3.odttf" ContentType="application/vnd.openxmlformats-officedocument.obfuscatedFont"/>
  <Override PartName="/word/fonts/font23.odttf" ContentType="application/vnd.openxmlformats-officedocument.obfuscatedFont"/>
  <Override PartName="/word/fonts/font2.odttf" ContentType="application/vnd.openxmlformats-officedocument.obfuscatedFont"/>
  <Override PartName="/word/fonts/font22.odttf" ContentType="application/vnd.openxmlformats-officedocument.obfuscatedFont"/>
  <Override PartName="/word/fonts/font1.odttf" ContentType="application/vnd.openxmlformats-officedocument.obfuscatedFont"/>
  <Override PartName="/word/fonts/font4.odttf" ContentType="application/vnd.openxmlformats-officedocument.obfuscatedFont"/>
  <Override PartName="/word/fonts/font10.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widowControl/>
        <w:spacing w:lineRule="auto" w:line="240"/>
        <w:ind w:hanging="0"/>
        <w:jc w:val="center"/>
        <w:rPr>
          <w:lang w:val="pt-BR"/>
        </w:rPr>
      </w:pPr>
      <w:r>
        <w:rPr/>
        <w:drawing>
          <wp:inline distT="0" distB="0" distL="0" distR="0">
            <wp:extent cx="685800" cy="103314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685800" cy="1033145"/>
                    </a:xfrm>
                    <a:prstGeom prst="rect">
                      <a:avLst/>
                    </a:prstGeom>
                  </pic:spPr>
                </pic:pic>
              </a:graphicData>
            </a:graphic>
          </wp:inline>
        </w:drawing>
      </w:r>
    </w:p>
    <w:p>
      <w:pPr>
        <w:pStyle w:val="normal1"/>
        <w:widowControl/>
        <w:ind w:hanging="0"/>
        <w:jc w:val="center"/>
        <w:rPr>
          <w:lang w:val="pt-BR"/>
        </w:rPr>
      </w:pPr>
      <w:r>
        <w:rPr>
          <w:b/>
          <w:bCs/>
          <w:lang w:val="pt-BR"/>
        </w:rPr>
        <w:t xml:space="preserve"> </w:t>
      </w:r>
      <w:r>
        <w:rPr>
          <w:b/>
          <w:bCs/>
          <w:lang w:val="pt-BR"/>
        </w:rPr>
        <w:t>UNIVERSIDADE FEDERAL DO CEARÁ</w:t>
      </w:r>
    </w:p>
    <w:p>
      <w:pPr>
        <w:pStyle w:val="normal1"/>
        <w:widowControl/>
        <w:ind w:hanging="0"/>
        <w:jc w:val="center"/>
        <w:rPr>
          <w:lang w:val="pt-BR"/>
        </w:rPr>
      </w:pPr>
      <w:r>
        <w:rPr>
          <w:b/>
          <w:bCs/>
          <w:lang w:val="pt-BR"/>
        </w:rPr>
        <w:t>FACULDADE DE ECONOMIA, ADMINISTRAÇÃO, ATUÁRIA E CONTABILIDADE</w:t>
      </w:r>
    </w:p>
    <w:p>
      <w:pPr>
        <w:pStyle w:val="normal1"/>
        <w:widowControl/>
        <w:ind w:hanging="0"/>
        <w:jc w:val="center"/>
        <w:rPr>
          <w:lang w:val="pt-BR"/>
        </w:rPr>
      </w:pPr>
      <w:r>
        <w:rPr>
          <w:b/>
          <w:bCs/>
          <w:lang w:val="pt-BR"/>
        </w:rPr>
        <w:t>DEPARTAMENTO DE ADMINISTRAÇÃO</w:t>
      </w:r>
    </w:p>
    <w:p>
      <w:pPr>
        <w:pStyle w:val="normal1"/>
        <w:widowControl/>
        <w:ind w:hanging="0"/>
        <w:jc w:val="center"/>
        <w:rPr>
          <w:lang w:val="pt-BR"/>
        </w:rPr>
      </w:pPr>
      <w:r>
        <w:rPr>
          <w:b/>
          <w:bCs/>
          <w:lang w:val="pt-BR"/>
        </w:rPr>
        <w:t>CURSO DE ADMINISTRAÇÃO</w:t>
      </w:r>
    </w:p>
    <w:p>
      <w:pPr>
        <w:pStyle w:val="normal1"/>
        <w:widowControl/>
        <w:ind w:hanging="0"/>
        <w:jc w:val="center"/>
        <w:rPr>
          <w:lang w:val="pt-BR"/>
        </w:rPr>
      </w:pPr>
      <w:r>
        <w:rPr>
          <w:lang w:val="pt-BR"/>
        </w:rPr>
      </w:r>
    </w:p>
    <w:p>
      <w:pPr>
        <w:pStyle w:val="normal1"/>
        <w:widowControl/>
        <w:ind w:hanging="0"/>
        <w:jc w:val="center"/>
        <w:rPr>
          <w:lang w:val="pt-BR"/>
        </w:rPr>
      </w:pPr>
      <w:r>
        <w:rPr>
          <w:lang w:val="pt-BR"/>
        </w:rPr>
      </w:r>
    </w:p>
    <w:p>
      <w:pPr>
        <w:pStyle w:val="normal1"/>
        <w:widowControl/>
        <w:ind w:hanging="0"/>
        <w:jc w:val="center"/>
        <w:rPr>
          <w:lang w:val="pt-BR"/>
        </w:rPr>
      </w:pPr>
      <w:r>
        <w:rPr>
          <w:lang w:val="pt-BR"/>
        </w:rPr>
      </w:r>
    </w:p>
    <w:p>
      <w:pPr>
        <w:pStyle w:val="normal1"/>
        <w:widowControl/>
        <w:ind w:hanging="0"/>
        <w:jc w:val="center"/>
        <w:rPr>
          <w:lang w:val="pt-BR"/>
        </w:rPr>
      </w:pPr>
      <w:r>
        <w:rPr>
          <w:lang w:val="pt-BR"/>
        </w:rPr>
      </w:r>
    </w:p>
    <w:p>
      <w:pPr>
        <w:pStyle w:val="normal1"/>
        <w:ind w:hanging="0"/>
        <w:rPr>
          <w:lang w:val="pt-BR"/>
        </w:rPr>
      </w:pPr>
      <w:r>
        <w:rPr>
          <w:lang w:val="pt-BR"/>
        </w:rPr>
      </w:r>
      <w:bookmarkStart w:id="0" w:name="_cb96basbvott"/>
      <w:bookmarkStart w:id="1" w:name="_cb96basbvott"/>
      <w:bookmarkEnd w:id="1"/>
    </w:p>
    <w:p>
      <w:pPr>
        <w:pStyle w:val="normal1"/>
        <w:ind w:hanging="0"/>
        <w:jc w:val="center"/>
        <w:rPr>
          <w:lang w:val="pt-BR"/>
        </w:rPr>
      </w:pPr>
      <w:r>
        <w:rPr>
          <w:b/>
          <w:bCs/>
          <w:lang w:val="pt-BR"/>
        </w:rPr>
        <w:t>JAIME TEIXEIRA DE ARAÚJO JÚNIOR</w:t>
      </w:r>
    </w:p>
    <w:p>
      <w:pPr>
        <w:pStyle w:val="normal1"/>
        <w:widowControl/>
        <w:ind w:hanging="0"/>
        <w:jc w:val="center"/>
        <w:rPr>
          <w:lang w:val="pt-BR"/>
        </w:rPr>
      </w:pPr>
      <w:r>
        <w:rPr>
          <w:lang w:val="pt-BR"/>
        </w:rPr>
      </w:r>
    </w:p>
    <w:p>
      <w:pPr>
        <w:pStyle w:val="normal1"/>
        <w:widowControl/>
        <w:ind w:hanging="0"/>
        <w:jc w:val="center"/>
        <w:rPr>
          <w:lang w:val="pt-BR"/>
        </w:rPr>
      </w:pPr>
      <w:r>
        <w:rPr>
          <w:lang w:val="pt-BR"/>
        </w:rPr>
      </w:r>
    </w:p>
    <w:p>
      <w:pPr>
        <w:pStyle w:val="normal1"/>
        <w:widowControl/>
        <w:ind w:hanging="0"/>
        <w:jc w:val="center"/>
        <w:rPr>
          <w:lang w:val="pt-BR"/>
        </w:rPr>
      </w:pPr>
      <w:r>
        <w:rPr>
          <w:lang w:val="pt-BR"/>
        </w:rPr>
      </w:r>
    </w:p>
    <w:p>
      <w:pPr>
        <w:pStyle w:val="normal1"/>
        <w:widowControl/>
        <w:ind w:hanging="0"/>
        <w:jc w:val="center"/>
        <w:rPr>
          <w:lang w:val="pt-BR"/>
        </w:rPr>
      </w:pPr>
      <w:r>
        <w:rPr>
          <w:lang w:val="pt-BR"/>
        </w:rPr>
      </w:r>
    </w:p>
    <w:p>
      <w:pPr>
        <w:pStyle w:val="normal1"/>
        <w:widowControl/>
        <w:ind w:hanging="0"/>
        <w:jc w:val="center"/>
        <w:rPr>
          <w:lang w:val="pt-BR"/>
        </w:rPr>
      </w:pPr>
      <w:r>
        <w:rPr>
          <w:lang w:val="pt-BR"/>
        </w:rPr>
      </w:r>
    </w:p>
    <w:p>
      <w:pPr>
        <w:pStyle w:val="normal1"/>
        <w:widowControl/>
        <w:ind w:hanging="0"/>
        <w:jc w:val="center"/>
        <w:rPr>
          <w:lang w:val="pt-BR"/>
        </w:rPr>
      </w:pPr>
      <w:r>
        <w:rPr>
          <w:lang w:val="pt-BR"/>
        </w:rPr>
      </w:r>
      <w:bookmarkStart w:id="2" w:name="_jw0fgduhsaew"/>
      <w:bookmarkStart w:id="3" w:name="_jw0fgduhsaew"/>
      <w:bookmarkEnd w:id="3"/>
    </w:p>
    <w:p>
      <w:pPr>
        <w:pStyle w:val="normal1"/>
        <w:ind w:hanging="0"/>
        <w:jc w:val="center"/>
        <w:rPr>
          <w:lang w:val="pt-BR"/>
        </w:rPr>
      </w:pPr>
      <w:r>
        <w:rPr>
          <w:b/>
          <w:bCs/>
          <w:lang w:val="pt-BR"/>
        </w:rPr>
        <w:t>VIABILIDADE DA INTELIGÊNCIA ARTIFICIAL NO MONITORAMENTO DE RESÍDUOS URBANOS EM VIAS PÚBLICAS: COMPARAÇÃO ENTRE YOLOV11M E GEMMA 3 27B-IT</w:t>
      </w:r>
    </w:p>
    <w:p>
      <w:pPr>
        <w:pStyle w:val="normal1"/>
        <w:widowControl/>
        <w:ind w:hanging="0"/>
        <w:jc w:val="left"/>
        <w:rPr>
          <w:lang w:val="pt-BR"/>
        </w:rPr>
      </w:pPr>
      <w:r>
        <w:rPr>
          <w:lang w:val="pt-BR"/>
        </w:rPr>
      </w:r>
    </w:p>
    <w:p>
      <w:pPr>
        <w:pStyle w:val="normal1"/>
        <w:widowControl/>
        <w:ind w:hanging="0"/>
        <w:jc w:val="center"/>
        <w:rPr>
          <w:lang w:val="pt-BR"/>
        </w:rPr>
      </w:pPr>
      <w:r>
        <w:rPr>
          <w:lang w:val="pt-BR"/>
        </w:rPr>
      </w:r>
    </w:p>
    <w:p>
      <w:pPr>
        <w:pStyle w:val="normal1"/>
        <w:widowControl/>
        <w:ind w:hanging="0"/>
        <w:jc w:val="left"/>
        <w:rPr>
          <w:lang w:val="pt-BR"/>
        </w:rPr>
      </w:pPr>
      <w:r>
        <w:rPr>
          <w:lang w:val="pt-BR"/>
        </w:rPr>
      </w:r>
    </w:p>
    <w:p>
      <w:pPr>
        <w:pStyle w:val="normal1"/>
        <w:widowControl/>
        <w:ind w:hanging="0"/>
        <w:jc w:val="center"/>
        <w:rPr>
          <w:lang w:val="pt-BR"/>
        </w:rPr>
      </w:pPr>
      <w:r>
        <w:rPr>
          <w:lang w:val="pt-BR"/>
        </w:rPr>
      </w:r>
    </w:p>
    <w:p>
      <w:pPr>
        <w:pStyle w:val="normal1"/>
        <w:widowControl/>
        <w:ind w:hanging="0"/>
        <w:jc w:val="center"/>
        <w:rPr>
          <w:lang w:val="pt-BR"/>
        </w:rPr>
      </w:pPr>
      <w:r>
        <w:rPr>
          <w:lang w:val="pt-BR"/>
        </w:rPr>
      </w:r>
    </w:p>
    <w:p>
      <w:pPr>
        <w:pStyle w:val="normal1"/>
        <w:widowControl/>
        <w:ind w:hanging="0"/>
        <w:jc w:val="center"/>
        <w:rPr>
          <w:lang w:val="pt-BR"/>
        </w:rPr>
      </w:pPr>
      <w:r>
        <w:rPr>
          <w:lang w:val="pt-BR"/>
        </w:rPr>
      </w:r>
    </w:p>
    <w:p>
      <w:pPr>
        <w:pStyle w:val="normal1"/>
        <w:widowControl/>
        <w:ind w:hanging="0"/>
        <w:jc w:val="center"/>
        <w:rPr>
          <w:lang w:val="pt-BR"/>
        </w:rPr>
      </w:pPr>
      <w:r>
        <w:rPr>
          <w:lang w:val="pt-BR"/>
        </w:rPr>
      </w:r>
    </w:p>
    <w:p>
      <w:pPr>
        <w:pStyle w:val="normal1"/>
        <w:widowControl/>
        <w:spacing w:lineRule="auto" w:line="240"/>
        <w:ind w:hanging="0"/>
        <w:jc w:val="center"/>
        <w:rPr>
          <w:lang w:val="pt-BR"/>
        </w:rPr>
      </w:pPr>
      <w:r>
        <w:rPr>
          <w:lang w:val="pt-BR"/>
        </w:rPr>
      </w:r>
    </w:p>
    <w:p>
      <w:pPr>
        <w:pStyle w:val="normal1"/>
        <w:widowControl/>
        <w:ind w:hanging="0"/>
        <w:jc w:val="center"/>
        <w:rPr>
          <w:lang w:val="pt-BR"/>
        </w:rPr>
      </w:pPr>
      <w:r>
        <w:rPr>
          <w:b/>
          <w:bCs/>
          <w:lang w:val="pt-BR"/>
        </w:rPr>
        <w:t>FORTALEZA</w:t>
      </w:r>
    </w:p>
    <w:p>
      <w:pPr>
        <w:pStyle w:val="normal1"/>
        <w:widowControl/>
        <w:spacing w:lineRule="auto" w:line="240"/>
        <w:ind w:hanging="0"/>
        <w:jc w:val="center"/>
        <w:rPr>
          <w:lang w:val="pt-BR"/>
        </w:rPr>
      </w:pPr>
      <w:bookmarkStart w:id="4" w:name="_uhjrzothi7pa"/>
      <w:bookmarkEnd w:id="4"/>
      <w:r>
        <w:rPr>
          <w:b/>
          <w:bCs/>
          <w:lang w:val="pt-BR"/>
        </w:rPr>
        <w:t>2026</w:t>
      </w:r>
    </w:p>
    <w:p>
      <w:pPr>
        <w:pStyle w:val="normal1"/>
        <w:widowControl/>
        <w:spacing w:lineRule="auto" w:line="240"/>
        <w:ind w:hanging="0"/>
        <w:jc w:val="center"/>
        <w:rPr>
          <w:b/>
          <w:bCs/>
          <w:lang w:val="pt-BR"/>
        </w:rPr>
      </w:pPr>
      <w:r>
        <w:rPr>
          <w:b/>
          <w:bCs/>
          <w:lang w:val="pt-BR"/>
        </w:rPr>
      </w:r>
    </w:p>
    <w:p>
      <w:pPr>
        <w:pStyle w:val="normal1"/>
        <w:widowControl/>
        <w:spacing w:lineRule="auto" w:line="240"/>
        <w:ind w:hanging="0"/>
        <w:jc w:val="center"/>
        <w:rPr>
          <w:lang w:val="pt-BR"/>
        </w:rPr>
      </w:pPr>
      <w:bookmarkStart w:id="5" w:name="_l2bv9k5n7hzb"/>
      <w:bookmarkEnd w:id="5"/>
      <w:r>
        <w:rPr>
          <w:lang w:val="pt-BR"/>
        </w:rPr>
        <w:t>JAIME TEIXEIRA DE ARAÚJO JÚNIO</w:t>
      </w:r>
      <w:bookmarkStart w:id="6" w:name="_ejvh8egvipo0"/>
      <w:bookmarkEnd w:id="6"/>
      <w:r>
        <w:rPr>
          <w:lang w:val="pt-BR"/>
        </w:rPr>
        <w:t>R</w:t>
      </w:r>
    </w:p>
    <w:p>
      <w:pPr>
        <w:pStyle w:val="normal1"/>
        <w:widowControl/>
        <w:spacing w:lineRule="auto" w:line="240"/>
        <w:ind w:hanging="0"/>
        <w:jc w:val="center"/>
        <w:rPr>
          <w:lang w:val="pt-BR"/>
        </w:rPr>
      </w:pPr>
      <w:r>
        <w:rPr>
          <w:lang w:val="pt-BR"/>
        </w:rPr>
      </w:r>
    </w:p>
    <w:p>
      <w:pPr>
        <w:pStyle w:val="normal1"/>
        <w:widowControl/>
        <w:spacing w:lineRule="auto" w:line="240"/>
        <w:ind w:hanging="0"/>
        <w:jc w:val="center"/>
        <w:rPr>
          <w:lang w:val="pt-BR"/>
        </w:rPr>
      </w:pPr>
      <w:r>
        <w:rPr>
          <w:lang w:val="pt-BR"/>
        </w:rPr>
      </w:r>
    </w:p>
    <w:p>
      <w:pPr>
        <w:pStyle w:val="normal1"/>
        <w:widowControl/>
        <w:spacing w:lineRule="auto" w:line="240"/>
        <w:ind w:hanging="0"/>
        <w:jc w:val="center"/>
        <w:rPr>
          <w:lang w:val="pt-BR"/>
        </w:rPr>
      </w:pPr>
      <w:r>
        <w:rPr>
          <w:lang w:val="pt-BR"/>
        </w:rPr>
      </w:r>
    </w:p>
    <w:p>
      <w:pPr>
        <w:pStyle w:val="normal1"/>
        <w:widowControl/>
        <w:spacing w:lineRule="auto" w:line="240"/>
        <w:ind w:hanging="0"/>
        <w:jc w:val="center"/>
        <w:rPr>
          <w:lang w:val="pt-BR"/>
        </w:rPr>
      </w:pPr>
      <w:r>
        <w:rPr>
          <w:lang w:val="pt-BR"/>
        </w:rPr>
      </w:r>
    </w:p>
    <w:p>
      <w:pPr>
        <w:pStyle w:val="normal1"/>
        <w:widowControl/>
        <w:spacing w:lineRule="auto" w:line="240"/>
        <w:ind w:hanging="0"/>
        <w:jc w:val="center"/>
        <w:rPr>
          <w:lang w:val="pt-BR"/>
        </w:rPr>
      </w:pPr>
      <w:r>
        <w:rPr>
          <w:lang w:val="pt-BR"/>
        </w:rPr>
      </w:r>
    </w:p>
    <w:p>
      <w:pPr>
        <w:pStyle w:val="normal1"/>
        <w:ind w:hanging="0"/>
        <w:jc w:val="center"/>
        <w:rPr>
          <w:lang w:val="pt-BR"/>
        </w:rPr>
      </w:pPr>
      <w:r>
        <w:rPr>
          <w:lang w:val="pt-BR"/>
        </w:rPr>
        <w:t>VIABILIDADE DA INTELIGÊNCIA ARTIFICIAL NO MONITORAMENTO DE RESÍDUOS URBANOS EM VIAS PÚBLICAS: COMPARAÇÃO ENTRE YOLOV11M E GEMMA 3 27B-IT</w:t>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spacing w:lineRule="auto" w:line="240"/>
        <w:ind w:hanging="0" w:left="4535"/>
        <w:rPr>
          <w:lang w:val="pt-BR"/>
        </w:rPr>
      </w:pPr>
      <w:r>
        <w:rPr>
          <w:lang w:val="pt-BR"/>
        </w:rPr>
        <w:t>Trabalho de Conclusão de Curso apresentado ao Curso de Administração da Faculdade de Economia, Administração, Atuária e Contabilidade da Universidade Federal do Ceará, como requisito parcial à obtenção do grau de Bacharel em Administração.</w:t>
      </w:r>
    </w:p>
    <w:p>
      <w:pPr>
        <w:pStyle w:val="normal1"/>
        <w:spacing w:lineRule="auto" w:line="240"/>
        <w:ind w:hanging="0" w:left="4535"/>
        <w:rPr>
          <w:lang w:val="pt-BR"/>
        </w:rPr>
      </w:pPr>
      <w:r>
        <w:rPr>
          <w:lang w:val="pt-BR"/>
        </w:rPr>
      </w:r>
    </w:p>
    <w:p>
      <w:pPr>
        <w:pStyle w:val="normal1"/>
        <w:spacing w:lineRule="auto" w:line="240"/>
        <w:ind w:hanging="0" w:left="4535"/>
        <w:rPr>
          <w:lang w:val="pt-BR"/>
        </w:rPr>
      </w:pPr>
      <w:r>
        <w:rPr>
          <w:lang w:val="pt-BR"/>
        </w:rPr>
        <w:t>Orientador: Prof. Dr. Carlos de Oliveira Caminha Neto.</w:t>
      </w:r>
    </w:p>
    <w:p>
      <w:pPr>
        <w:pStyle w:val="normal1"/>
        <w:rPr>
          <w:lang w:val="pt-BR"/>
        </w:rPr>
      </w:pPr>
      <w:r>
        <w:rPr>
          <w:lang w:val="pt-BR"/>
        </w:rPr>
      </w:r>
    </w:p>
    <w:p>
      <w:pPr>
        <w:pStyle w:val="normal1"/>
        <w:ind w:hanging="0"/>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jc w:val="center"/>
        <w:rPr>
          <w:lang w:val="pt-BR"/>
        </w:rPr>
      </w:pPr>
      <w:r>
        <w:rPr>
          <w:lang w:val="pt-BR"/>
        </w:rPr>
        <w:t>FORTALEZA</w:t>
      </w:r>
    </w:p>
    <w:p>
      <w:pPr>
        <w:pStyle w:val="normal1"/>
        <w:jc w:val="center"/>
        <w:rPr>
          <w:lang w:val="pt-BR"/>
        </w:rPr>
      </w:pPr>
      <w:r>
        <w:rPr>
          <w:lang w:val="pt-BR"/>
        </w:rPr>
        <w:t>2026</w:t>
      </w:r>
    </w:p>
    <w:p>
      <w:pPr>
        <w:pStyle w:val="normal1"/>
        <w:rPr>
          <w:lang w:val="pt-BR"/>
        </w:rPr>
      </w:pPr>
      <w:r>
        <w:rPr>
          <w:lang w:val="pt-BR"/>
        </w:rPr>
      </w:r>
      <w:r>
        <w:br w:type="page"/>
      </w:r>
    </w:p>
    <w:p>
      <w:pPr>
        <w:pStyle w:val="normal1"/>
        <w:spacing w:before="0" w:after="0"/>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rPr>
          <w:lang w:val="pt-BR"/>
        </w:rPr>
      </w:pPr>
      <w:r>
        <w:rPr>
          <w:lang w:val="pt-BR"/>
        </w:rPr>
      </w:r>
    </w:p>
    <w:p>
      <w:pPr>
        <w:pStyle w:val="normal1"/>
        <w:widowControl/>
        <w:ind w:hanging="0"/>
        <w:jc w:val="center"/>
        <w:rPr>
          <w:lang w:val="pt-BR"/>
        </w:rPr>
      </w:pPr>
      <w:r>
        <w:rPr>
          <w:lang w:val="pt-BR"/>
        </w:rPr>
      </w:r>
    </w:p>
    <w:p>
      <w:pPr>
        <w:pStyle w:val="normal1"/>
        <w:widowControl/>
        <w:spacing w:lineRule="auto" w:line="288"/>
        <w:ind w:hanging="0"/>
        <w:jc w:val="left"/>
        <w:rPr>
          <w:lang w:val="pt-BR"/>
        </w:rPr>
      </w:pPr>
      <w:r>
        <w:rPr>
          <w:lang w:val="pt-BR"/>
        </w:rPr>
        <w:t>___________________________________________________________________________</w:t>
      </w:r>
    </w:p>
    <w:p>
      <w:pPr>
        <w:pStyle w:val="normal1"/>
        <w:widowControl/>
        <w:spacing w:lineRule="auto" w:line="288"/>
        <w:ind w:hanging="0"/>
        <w:jc w:val="left"/>
        <w:rPr>
          <w:lang w:val="pt-BR"/>
        </w:rPr>
      </w:pPr>
      <w:r>
        <w:rPr>
          <w:lang w:val="pt-BR"/>
        </w:rPr>
      </w:r>
    </w:p>
    <w:p>
      <w:pPr>
        <w:pStyle w:val="normal1"/>
        <w:widowControl/>
        <w:spacing w:lineRule="auto" w:line="288"/>
        <w:ind w:hanging="0"/>
        <w:jc w:val="center"/>
        <w:rPr>
          <w:lang w:val="pt-BR"/>
        </w:rPr>
      </w:pPr>
      <w:r>
        <w:rPr>
          <w:lang w:val="pt-BR"/>
        </w:rPr>
      </w:r>
    </w:p>
    <w:p>
      <w:pPr>
        <w:pStyle w:val="normal1"/>
        <w:widowControl/>
        <w:ind w:hanging="0"/>
        <w:jc w:val="center"/>
        <w:rPr>
          <w:lang w:val="pt-BR"/>
        </w:rPr>
      </w:pPr>
      <w:r>
        <w:rPr>
          <w:lang w:val="pt-BR"/>
        </w:rPr>
        <w:t>Página reservada para ficha catalográfica.</w:t>
      </w:r>
    </w:p>
    <w:p>
      <w:pPr>
        <w:pStyle w:val="normal1"/>
        <w:widowControl/>
        <w:ind w:hanging="0"/>
        <w:jc w:val="center"/>
        <w:rPr>
          <w:color w:val="000000"/>
          <w:shd w:fill="F9F9F9" w:val="clear"/>
          <w:lang w:val="pt-BR"/>
        </w:rPr>
      </w:pPr>
      <w:r>
        <w:rPr>
          <w:shd w:fill="F9F9F9" w:val="clear"/>
          <w:lang w:val="pt-BR"/>
        </w:rPr>
        <w:t>Utilize a ferramenta </w:t>
      </w:r>
      <w:r>
        <w:rPr>
          <w:i/>
          <w:iCs/>
          <w:shd w:fill="F9F9F9" w:val="clear"/>
          <w:lang w:val="pt-BR"/>
        </w:rPr>
        <w:t>online</w:t>
      </w:r>
      <w:r>
        <w:rPr>
          <w:color w:val="000000"/>
          <w:shd w:fill="F9F9F9" w:val="clear"/>
          <w:lang w:val="pt-BR"/>
        </w:rPr>
        <w:t> </w:t>
      </w:r>
      <w:hyperlink r:id="rId3">
        <w:r>
          <w:rPr>
            <w:rStyle w:val="ListLabel19"/>
            <w:color w:val="000000"/>
            <w:u w:val="single"/>
            <w:shd w:fill="F9F9F9" w:val="clear"/>
            <w:lang w:val="pt-BR"/>
          </w:rPr>
          <w:t>Catalog!</w:t>
        </w:r>
      </w:hyperlink>
      <w:r>
        <w:rPr>
          <w:color w:val="000000"/>
          <w:shd w:fill="F9F9F9" w:val="clear"/>
          <w:lang w:val="pt-BR"/>
        </w:rPr>
        <w:t> </w:t>
      </w:r>
      <w:r>
        <w:rPr>
          <w:shd w:fill="F9F9F9" w:val="clear"/>
          <w:lang w:val="pt-BR"/>
        </w:rPr>
        <w:t>para elaborar a ficha catalográfica de seu trabalho acadêmico, gerando-a em arquivo PDF, disponível para download e/ou impressão. (</w:t>
      </w:r>
      <w:hyperlink r:id="rId4">
        <w:r>
          <w:rPr>
            <w:rStyle w:val="ListLabel19"/>
            <w:color w:val="000000"/>
            <w:u w:val="single"/>
            <w:shd w:fill="F9F9F9" w:val="clear"/>
            <w:lang w:val="pt-BR"/>
          </w:rPr>
          <w:t>http://www.fichacatalografica.ufc.br/</w:t>
        </w:r>
      </w:hyperlink>
      <w:r>
        <w:rPr>
          <w:shd w:fill="F9F9F9" w:val="clear"/>
          <w:lang w:val="pt-BR"/>
        </w:rPr>
        <w:t>)</w:t>
      </w:r>
    </w:p>
    <w:p>
      <w:pPr>
        <w:pStyle w:val="normal1"/>
        <w:widowControl/>
        <w:ind w:hanging="0"/>
        <w:jc w:val="center"/>
        <w:rPr>
          <w:lang w:val="pt-BR"/>
        </w:rPr>
      </w:pPr>
      <w:r>
        <w:rPr>
          <w:lang w:val="pt-BR"/>
        </w:rPr>
      </w:r>
    </w:p>
    <w:p>
      <w:pPr>
        <w:pStyle w:val="normal1"/>
        <w:widowControl/>
        <w:spacing w:lineRule="auto" w:line="288"/>
        <w:ind w:hanging="0"/>
        <w:jc w:val="left"/>
        <w:rPr>
          <w:lang w:val="pt-BR"/>
        </w:rPr>
      </w:pPr>
      <w:r>
        <w:rPr>
          <w:lang w:val="pt-BR"/>
        </w:rPr>
        <w:t>___________________________________________________________________________</w:t>
      </w:r>
    </w:p>
    <w:p>
      <w:pPr>
        <w:pStyle w:val="normal1"/>
        <w:jc w:val="center"/>
        <w:rPr>
          <w:sz w:val="20"/>
          <w:szCs w:val="20"/>
          <w:lang w:val="pt-BR"/>
        </w:rPr>
      </w:pPr>
      <w:r>
        <w:rPr>
          <w:sz w:val="20"/>
          <w:szCs w:val="20"/>
          <w:lang w:val="pt-BR"/>
        </w:rPr>
      </w:r>
    </w:p>
    <w:p>
      <w:pPr>
        <w:pStyle w:val="normal1"/>
        <w:ind w:hanging="0"/>
        <w:jc w:val="left"/>
        <w:rPr>
          <w:lang w:val="pt-BR"/>
        </w:rPr>
      </w:pPr>
      <w:r>
        <w:rPr>
          <w:lang w:val="pt-BR"/>
        </w:rPr>
      </w:r>
    </w:p>
    <w:p>
      <w:pPr>
        <w:pStyle w:val="normal1"/>
        <w:ind w:hanging="0"/>
        <w:jc w:val="left"/>
        <w:rPr>
          <w:lang w:val="pt-BR"/>
        </w:rPr>
      </w:pPr>
      <w:r>
        <w:rPr>
          <w:lang w:val="pt-BR"/>
        </w:rPr>
      </w:r>
    </w:p>
    <w:p>
      <w:pPr>
        <w:pStyle w:val="normal1"/>
        <w:ind w:hanging="0"/>
        <w:jc w:val="left"/>
        <w:rPr>
          <w:lang w:val="pt-BR"/>
        </w:rPr>
      </w:pPr>
      <w:r>
        <w:rPr>
          <w:lang w:val="pt-BR"/>
        </w:rPr>
      </w:r>
    </w:p>
    <w:p>
      <w:pPr>
        <w:pStyle w:val="normal1"/>
        <w:ind w:hanging="0"/>
        <w:jc w:val="center"/>
        <w:rPr>
          <w:lang w:val="pt-BR"/>
        </w:rPr>
      </w:pPr>
      <w:r>
        <w:rPr>
          <w:lang w:val="pt-BR"/>
        </w:rPr>
        <w:t>JAIME TEIXEIRA DE ARAÚJO JÚNIOR</w:t>
      </w:r>
    </w:p>
    <w:p>
      <w:pPr>
        <w:pStyle w:val="normal1"/>
        <w:widowControl/>
        <w:spacing w:lineRule="auto" w:line="288"/>
        <w:ind w:hanging="0"/>
        <w:jc w:val="center"/>
        <w:rPr>
          <w:lang w:val="pt-BR"/>
        </w:rPr>
      </w:pPr>
      <w:r>
        <w:rPr>
          <w:lang w:val="pt-BR"/>
        </w:rPr>
      </w:r>
    </w:p>
    <w:p>
      <w:pPr>
        <w:pStyle w:val="normal1"/>
        <w:widowControl/>
        <w:spacing w:lineRule="auto" w:line="288"/>
        <w:ind w:hanging="0"/>
        <w:jc w:val="center"/>
        <w:rPr>
          <w:lang w:val="pt-BR"/>
        </w:rPr>
      </w:pPr>
      <w:r>
        <w:rPr>
          <w:lang w:val="pt-BR"/>
        </w:rPr>
      </w:r>
    </w:p>
    <w:p>
      <w:pPr>
        <w:pStyle w:val="normal1"/>
        <w:widowControl/>
        <w:spacing w:lineRule="auto" w:line="288"/>
        <w:ind w:hanging="0"/>
        <w:jc w:val="center"/>
        <w:rPr>
          <w:lang w:val="pt-BR"/>
        </w:rPr>
      </w:pPr>
      <w:r>
        <w:rPr>
          <w:lang w:val="pt-BR"/>
        </w:rPr>
      </w:r>
    </w:p>
    <w:p>
      <w:pPr>
        <w:pStyle w:val="normal1"/>
        <w:widowControl/>
        <w:spacing w:lineRule="auto" w:line="288"/>
        <w:ind w:hanging="0"/>
        <w:jc w:val="center"/>
        <w:rPr>
          <w:lang w:val="pt-BR"/>
        </w:rPr>
      </w:pPr>
      <w:r>
        <w:rPr>
          <w:lang w:val="pt-BR"/>
        </w:rPr>
      </w:r>
    </w:p>
    <w:p>
      <w:pPr>
        <w:pStyle w:val="normal1"/>
        <w:widowControl/>
        <w:spacing w:lineRule="auto" w:line="288"/>
        <w:ind w:hanging="0"/>
        <w:jc w:val="center"/>
        <w:rPr>
          <w:lang w:val="pt-BR"/>
        </w:rPr>
      </w:pPr>
      <w:r>
        <w:rPr>
          <w:lang w:val="pt-BR"/>
        </w:rPr>
      </w:r>
    </w:p>
    <w:p>
      <w:pPr>
        <w:pStyle w:val="normal1"/>
        <w:widowControl/>
        <w:spacing w:lineRule="auto" w:line="288"/>
        <w:ind w:hanging="0"/>
        <w:jc w:val="center"/>
        <w:rPr>
          <w:lang w:val="pt-BR"/>
        </w:rPr>
      </w:pPr>
      <w:r>
        <w:rPr>
          <w:lang w:val="pt-BR"/>
        </w:rPr>
      </w:r>
    </w:p>
    <w:p>
      <w:pPr>
        <w:pStyle w:val="normal1"/>
        <w:widowControl/>
        <w:spacing w:lineRule="auto" w:line="288"/>
        <w:ind w:hanging="0"/>
        <w:jc w:val="center"/>
        <w:rPr>
          <w:lang w:val="pt-BR"/>
        </w:rPr>
      </w:pPr>
      <w:r>
        <w:rPr>
          <w:lang w:val="pt-BR"/>
        </w:rPr>
      </w:r>
    </w:p>
    <w:p>
      <w:pPr>
        <w:pStyle w:val="normal1"/>
        <w:ind w:hanging="0"/>
        <w:jc w:val="center"/>
        <w:rPr>
          <w:lang w:val="pt-BR"/>
        </w:rPr>
      </w:pPr>
      <w:r>
        <w:rPr>
          <w:lang w:val="pt-BR"/>
        </w:rPr>
        <w:t>VIABILIDADE DA INTELIGÊNCIA ARTIFICIAL NO MONITORAMENTO DE RESÍDUOS URBANOS EM VIAS PÚBLICAS: COMPARAÇÃO ENTRE YOLOV11M E GEMMA 3 27B-IT</w:t>
      </w:r>
    </w:p>
    <w:p>
      <w:pPr>
        <w:pStyle w:val="normal1"/>
        <w:widowControl/>
        <w:spacing w:lineRule="auto" w:line="288"/>
        <w:ind w:hanging="0"/>
        <w:jc w:val="left"/>
        <w:rPr>
          <w:lang w:val="pt-BR"/>
        </w:rPr>
      </w:pPr>
      <w:r>
        <w:rPr>
          <w:lang w:val="pt-BR"/>
        </w:rPr>
      </w:r>
    </w:p>
    <w:p>
      <w:pPr>
        <w:pStyle w:val="normal1"/>
        <w:widowControl/>
        <w:spacing w:lineRule="auto" w:line="288"/>
        <w:ind w:hanging="0"/>
        <w:jc w:val="left"/>
        <w:rPr>
          <w:lang w:val="pt-BR"/>
        </w:rPr>
      </w:pPr>
      <w:r>
        <w:rPr>
          <w:lang w:val="pt-BR"/>
        </w:rPr>
      </w:r>
    </w:p>
    <w:p>
      <w:pPr>
        <w:pStyle w:val="normal1"/>
        <w:widowControl/>
        <w:spacing w:lineRule="auto" w:line="288"/>
        <w:ind w:hanging="0"/>
        <w:jc w:val="left"/>
        <w:rPr>
          <w:lang w:val="pt-BR"/>
        </w:rPr>
      </w:pPr>
      <w:r>
        <w:rPr>
          <w:lang w:val="pt-BR"/>
        </w:rPr>
      </w:r>
    </w:p>
    <w:p>
      <w:pPr>
        <w:pStyle w:val="normal1"/>
        <w:widowControl/>
        <w:spacing w:lineRule="auto" w:line="288"/>
        <w:ind w:hanging="0"/>
        <w:jc w:val="left"/>
        <w:rPr>
          <w:lang w:val="pt-BR"/>
        </w:rPr>
      </w:pPr>
      <w:r>
        <w:rPr>
          <w:lang w:val="pt-BR"/>
        </w:rPr>
      </w:r>
    </w:p>
    <w:p>
      <w:pPr>
        <w:pStyle w:val="normal1"/>
        <w:widowControl/>
        <w:spacing w:lineRule="auto" w:line="288"/>
        <w:ind w:hanging="0"/>
        <w:jc w:val="left"/>
        <w:rPr>
          <w:lang w:val="pt-BR"/>
        </w:rPr>
      </w:pPr>
      <w:r>
        <w:rPr>
          <w:lang w:val="pt-BR"/>
        </w:rPr>
      </w:r>
    </w:p>
    <w:p>
      <w:pPr>
        <w:pStyle w:val="normal1"/>
        <w:widowControl/>
        <w:spacing w:lineRule="auto" w:line="288"/>
        <w:ind w:hanging="0"/>
        <w:jc w:val="left"/>
        <w:rPr>
          <w:lang w:val="pt-BR"/>
        </w:rPr>
      </w:pPr>
      <w:r>
        <w:rPr>
          <w:lang w:val="pt-BR"/>
        </w:rPr>
      </w:r>
    </w:p>
    <w:p>
      <w:pPr>
        <w:pStyle w:val="normal1"/>
        <w:spacing w:lineRule="auto" w:line="240"/>
        <w:ind w:hanging="0" w:left="4535"/>
        <w:rPr>
          <w:lang w:val="pt-BR"/>
        </w:rPr>
      </w:pPr>
      <w:r>
        <w:rPr>
          <w:lang w:val="pt-BR"/>
        </w:rPr>
        <w:t>Trabalho de Conclusão de Curso apresentado ao Curso de Administração da Faculdade de Economia, Administração, Atuária e Contabilidade da Universidade Federal do Ceará, como requisito parcial à obtenção do grau de Bacharel em Administração.</w:t>
      </w:r>
    </w:p>
    <w:p>
      <w:pPr>
        <w:pStyle w:val="normal1"/>
        <w:widowControl/>
        <w:spacing w:lineRule="auto" w:line="240"/>
        <w:ind w:hanging="0" w:left="4515"/>
        <w:rPr>
          <w:lang w:val="pt-BR"/>
        </w:rPr>
      </w:pPr>
      <w:r>
        <w:rPr>
          <w:lang w:val="pt-BR"/>
        </w:rPr>
      </w:r>
    </w:p>
    <w:p>
      <w:pPr>
        <w:pStyle w:val="normal1"/>
        <w:widowControl/>
        <w:spacing w:lineRule="auto" w:line="288"/>
        <w:ind w:hanging="0" w:left="4515"/>
        <w:rPr>
          <w:lang w:val="pt-BR"/>
        </w:rPr>
      </w:pPr>
      <w:r>
        <w:rPr>
          <w:lang w:val="pt-BR"/>
        </w:rPr>
      </w:r>
    </w:p>
    <w:p>
      <w:pPr>
        <w:pStyle w:val="normal1"/>
        <w:widowControl/>
        <w:spacing w:lineRule="auto" w:line="288"/>
        <w:ind w:hanging="0"/>
        <w:jc w:val="left"/>
        <w:rPr>
          <w:lang w:val="pt-BR"/>
        </w:rPr>
      </w:pPr>
      <w:r>
        <w:rPr>
          <w:lang w:val="pt-BR"/>
        </w:rPr>
        <w:t>Aprovada em: xx/xx/xxxx.</w:t>
      </w:r>
    </w:p>
    <w:p>
      <w:pPr>
        <w:pStyle w:val="normal1"/>
        <w:widowControl/>
        <w:spacing w:lineRule="auto" w:line="288"/>
        <w:ind w:hanging="0"/>
        <w:jc w:val="left"/>
        <w:rPr>
          <w:lang w:val="pt-BR"/>
        </w:rPr>
      </w:pPr>
      <w:r>
        <w:rPr>
          <w:lang w:val="pt-BR"/>
        </w:rPr>
      </w:r>
    </w:p>
    <w:p>
      <w:pPr>
        <w:pStyle w:val="normal1"/>
        <w:widowControl/>
        <w:spacing w:lineRule="auto" w:line="288"/>
        <w:ind w:hanging="0"/>
        <w:jc w:val="left"/>
        <w:rPr>
          <w:lang w:val="pt-BR"/>
        </w:rPr>
      </w:pPr>
      <w:r>
        <w:rPr>
          <w:lang w:val="pt-BR"/>
        </w:rPr>
      </w:r>
    </w:p>
    <w:p>
      <w:pPr>
        <w:pStyle w:val="normal1"/>
        <w:widowControl/>
        <w:spacing w:lineRule="auto" w:line="288"/>
        <w:ind w:hanging="0"/>
        <w:jc w:val="center"/>
        <w:rPr>
          <w:lang w:val="pt-BR"/>
        </w:rPr>
      </w:pPr>
      <w:r>
        <w:rPr>
          <w:lang w:val="pt-BR"/>
        </w:rPr>
        <w:t>BANCA EXAMINADORA</w:t>
      </w:r>
    </w:p>
    <w:p>
      <w:pPr>
        <w:pStyle w:val="normal1"/>
        <w:widowControl/>
        <w:spacing w:lineRule="auto" w:line="288"/>
        <w:ind w:hanging="0"/>
        <w:jc w:val="center"/>
        <w:rPr>
          <w:lang w:val="pt-BR"/>
        </w:rPr>
      </w:pPr>
      <w:r>
        <w:rPr>
          <w:lang w:val="pt-BR"/>
        </w:rPr>
      </w:r>
    </w:p>
    <w:p>
      <w:pPr>
        <w:pStyle w:val="normal1"/>
        <w:widowControl/>
        <w:spacing w:lineRule="auto" w:line="288"/>
        <w:ind w:hanging="0"/>
        <w:jc w:val="center"/>
        <w:rPr>
          <w:lang w:val="pt-BR"/>
        </w:rPr>
      </w:pPr>
      <w:r>
        <w:rPr>
          <w:lang w:val="pt-BR"/>
        </w:rPr>
      </w:r>
    </w:p>
    <w:p>
      <w:pPr>
        <w:pStyle w:val="normal1"/>
        <w:widowControl/>
        <w:spacing w:lineRule="auto" w:line="240"/>
        <w:ind w:hanging="0"/>
        <w:jc w:val="center"/>
        <w:rPr>
          <w:lang w:val="pt-BR"/>
        </w:rPr>
      </w:pPr>
      <w:r>
        <w:rPr>
          <w:lang w:val="pt-BR"/>
        </w:rPr>
        <w:t>________________________________________</w:t>
      </w:r>
    </w:p>
    <w:p>
      <w:pPr>
        <w:pStyle w:val="normal1"/>
        <w:widowControl/>
        <w:spacing w:lineRule="auto" w:line="240"/>
        <w:ind w:hanging="0"/>
        <w:jc w:val="center"/>
        <w:rPr>
          <w:lang w:val="pt-BR"/>
        </w:rPr>
      </w:pPr>
      <w:r>
        <w:rPr>
          <w:lang w:val="pt-BR"/>
        </w:rPr>
        <w:t>Prof. Dr. Carlos de Oliveira Caminha Neto. (Orientador)</w:t>
      </w:r>
    </w:p>
    <w:p>
      <w:pPr>
        <w:pStyle w:val="normal1"/>
        <w:widowControl/>
        <w:spacing w:lineRule="auto" w:line="240"/>
        <w:ind w:hanging="0"/>
        <w:jc w:val="center"/>
        <w:rPr>
          <w:lang w:val="pt-BR"/>
        </w:rPr>
      </w:pPr>
      <w:r>
        <w:rPr>
          <w:lang w:val="pt-BR"/>
        </w:rPr>
        <w:t>Universidade Federal do Ceará (UFC)</w:t>
      </w:r>
    </w:p>
    <w:p>
      <w:pPr>
        <w:pStyle w:val="normal1"/>
        <w:widowControl/>
        <w:spacing w:lineRule="auto" w:line="240"/>
        <w:ind w:hanging="0"/>
        <w:jc w:val="center"/>
        <w:rPr>
          <w:lang w:val="pt-BR"/>
        </w:rPr>
      </w:pPr>
      <w:r>
        <w:rPr>
          <w:lang w:val="pt-BR"/>
        </w:rPr>
      </w:r>
    </w:p>
    <w:p>
      <w:pPr>
        <w:pStyle w:val="normal1"/>
        <w:widowControl/>
        <w:spacing w:lineRule="auto" w:line="240"/>
        <w:ind w:hanging="0"/>
        <w:jc w:val="center"/>
        <w:rPr>
          <w:lang w:val="pt-BR"/>
        </w:rPr>
      </w:pPr>
      <w:r>
        <w:rPr>
          <w:lang w:val="pt-BR"/>
        </w:rPr>
      </w:r>
    </w:p>
    <w:p>
      <w:pPr>
        <w:pStyle w:val="normal1"/>
        <w:widowControl/>
        <w:spacing w:lineRule="auto" w:line="240"/>
        <w:ind w:hanging="0"/>
        <w:jc w:val="center"/>
        <w:rPr>
          <w:lang w:val="pt-BR"/>
        </w:rPr>
      </w:pPr>
      <w:r>
        <w:rPr>
          <w:lang w:val="pt-BR"/>
        </w:rPr>
        <w:t>_________________________________________</w:t>
      </w:r>
    </w:p>
    <w:p>
      <w:pPr>
        <w:pStyle w:val="normal1"/>
        <w:widowControl/>
        <w:spacing w:lineRule="auto" w:line="240"/>
        <w:ind w:hanging="0"/>
        <w:jc w:val="center"/>
        <w:rPr>
          <w:lang w:val="pt-BR"/>
        </w:rPr>
      </w:pPr>
      <w:r>
        <w:rPr>
          <w:lang w:val="pt-BR"/>
        </w:rPr>
        <w:t>Prof. Dr. Xxxxxxxxx Xxxxxxx</w:t>
      </w:r>
    </w:p>
    <w:p>
      <w:pPr>
        <w:pStyle w:val="normal1"/>
        <w:widowControl/>
        <w:spacing w:lineRule="auto" w:line="240"/>
        <w:ind w:hanging="0"/>
        <w:jc w:val="center"/>
        <w:rPr>
          <w:lang w:val="pt-BR"/>
        </w:rPr>
      </w:pPr>
      <w:r>
        <w:rPr>
          <w:lang w:val="pt-BR"/>
        </w:rPr>
        <w:t>Universidade Federal do Ceará (UFC)</w:t>
      </w:r>
    </w:p>
    <w:p>
      <w:pPr>
        <w:pStyle w:val="normal1"/>
        <w:widowControl/>
        <w:spacing w:lineRule="auto" w:line="240"/>
        <w:ind w:hanging="0"/>
        <w:jc w:val="center"/>
        <w:rPr>
          <w:lang w:val="pt-BR"/>
        </w:rPr>
      </w:pPr>
      <w:r>
        <w:rPr>
          <w:lang w:val="pt-BR"/>
        </w:rPr>
      </w:r>
    </w:p>
    <w:p>
      <w:pPr>
        <w:pStyle w:val="normal1"/>
        <w:widowControl/>
        <w:spacing w:lineRule="auto" w:line="240"/>
        <w:ind w:hanging="0"/>
        <w:jc w:val="center"/>
        <w:rPr>
          <w:lang w:val="pt-BR"/>
        </w:rPr>
      </w:pPr>
      <w:r>
        <w:rPr>
          <w:lang w:val="pt-BR"/>
        </w:rPr>
      </w:r>
    </w:p>
    <w:p>
      <w:pPr>
        <w:pStyle w:val="normal1"/>
        <w:widowControl/>
        <w:spacing w:lineRule="auto" w:line="240"/>
        <w:ind w:hanging="0"/>
        <w:jc w:val="center"/>
        <w:rPr>
          <w:lang w:val="pt-BR"/>
        </w:rPr>
      </w:pPr>
      <w:r>
        <w:rPr>
          <w:lang w:val="pt-BR"/>
        </w:rPr>
        <w:t>_________________________________________</w:t>
      </w:r>
    </w:p>
    <w:p>
      <w:pPr>
        <w:pStyle w:val="normal1"/>
        <w:widowControl/>
        <w:spacing w:lineRule="auto" w:line="240"/>
        <w:ind w:hanging="0"/>
        <w:jc w:val="center"/>
        <w:rPr>
          <w:lang w:val="pt-BR"/>
        </w:rPr>
      </w:pPr>
      <w:r>
        <w:rPr>
          <w:lang w:val="pt-BR"/>
        </w:rPr>
        <w:t>Prof. Dr. Xxxxxxxxx Xxxxxxx</w:t>
      </w:r>
    </w:p>
    <w:p>
      <w:pPr>
        <w:pStyle w:val="normal1"/>
        <w:widowControl/>
        <w:spacing w:lineRule="auto" w:line="240"/>
        <w:ind w:hanging="0"/>
        <w:jc w:val="center"/>
        <w:rPr>
          <w:lang w:val="pt-BR"/>
        </w:rPr>
      </w:pPr>
      <w:r>
        <w:rPr>
          <w:lang w:val="pt-BR"/>
        </w:rPr>
        <w:t>Universidade Estadual do Ceará (UECE)</w:t>
      </w:r>
    </w:p>
    <w:p>
      <w:pPr>
        <w:pStyle w:val="normal1"/>
        <w:widowControl/>
        <w:spacing w:lineRule="auto" w:line="288"/>
        <w:ind w:hanging="0"/>
        <w:jc w:val="left"/>
        <w:rPr>
          <w:lang w:val="pt-BR"/>
        </w:rPr>
      </w:pPr>
      <w:r>
        <w:rPr>
          <w:lang w:val="pt-BR"/>
        </w:rPr>
      </w:r>
    </w:p>
    <w:p>
      <w:pPr>
        <w:pStyle w:val="normal1"/>
        <w:jc w:val="center"/>
        <w:rPr>
          <w:b/>
          <w:bCs/>
          <w:lang w:val="pt-BR"/>
        </w:rPr>
      </w:pPr>
      <w:r>
        <w:rPr>
          <w:b/>
          <w:bCs/>
          <w:lang w:val="pt-BR"/>
        </w:rPr>
      </w:r>
    </w:p>
    <w:p>
      <w:pPr>
        <w:pStyle w:val="normal1"/>
        <w:rPr>
          <w:lang w:val="pt-BR"/>
        </w:rPr>
      </w:pPr>
      <w:r>
        <w:rPr>
          <w:lang w:val="pt-BR"/>
        </w:rPr>
      </w:r>
      <w:r>
        <w:br w:type="page"/>
      </w:r>
    </w:p>
    <w:p>
      <w:pPr>
        <w:pStyle w:val="normal1"/>
        <w:spacing w:before="0" w:after="0"/>
        <w:ind w:hanging="0"/>
        <w:jc w:val="center"/>
        <w:rPr>
          <w:lang w:val="pt-BR"/>
        </w:rPr>
      </w:pPr>
      <w:r>
        <w:rPr>
          <w:rFonts w:eastAsia="Times New Roman" w:cs="Times New Roman"/>
          <w:b/>
          <w:bCs/>
          <w:lang w:val="pt-BR"/>
        </w:rPr>
        <w:t>RESUMO</w:t>
      </w:r>
    </w:p>
    <w:p>
      <w:pPr>
        <w:pStyle w:val="normal1"/>
        <w:ind w:hanging="0"/>
        <w:rPr>
          <w:lang w:val="pt-BR"/>
        </w:rPr>
      </w:pPr>
      <w:r>
        <w:rPr>
          <w:rFonts w:eastAsia="Times New Roman" w:cs="Times New Roman"/>
          <w:lang w:val="pt-BR"/>
        </w:rPr>
        <w:t xml:space="preserve">A gestão de resíduos urbanos em vias públicas constitui desafio relevante para a administração pública, pois envolve impactos ambientais, sanitários, operacionais e financeiros. Nesse contexto, o presente estudo teve como objetivo analisar a viabilidade do uso de inteligência artificial no monitoramento de resíduos urbanos em imagens reais de ruas brasileiras, mediante a comparação entre o YOLOv11m, empregado como detector especializado de objetos, e o Gemma 3 27B-IT, utilizado como modelo visão-linguagem em regime </w:t>
      </w:r>
      <w:r>
        <w:rPr>
          <w:rStyle w:val="Emphasis"/>
          <w:rFonts w:eastAsia="Times New Roman" w:cs="Times New Roman"/>
          <w:lang w:val="pt-BR"/>
        </w:rPr>
        <w:t>zero-shot</w:t>
      </w:r>
      <w:r>
        <w:rPr>
          <w:rFonts w:eastAsia="Times New Roman" w:cs="Times New Roman"/>
          <w:lang w:val="pt-BR"/>
        </w:rPr>
        <w:t xml:space="preserve">. A pesquisa caracterizou-se como aplicada, descritiva e exploratória, de abordagem quantitativa, orientada pelo método hipotético-dedutivo e desenvolvida por meio de procedimento experimental-computacional. O experimento foi realizado com 560 imagens reais de vias públicas brasileiras, distribuídas de forma balanceada entre cenas com e sem resíduos visíveis. O YOLOv11m foi treinado por </w:t>
      </w:r>
      <w:r>
        <w:rPr>
          <w:rStyle w:val="Emphasis"/>
          <w:rFonts w:eastAsia="Times New Roman" w:cs="Times New Roman"/>
          <w:lang w:val="pt-BR"/>
        </w:rPr>
        <w:t>fine-tuning</w:t>
      </w:r>
      <w:r>
        <w:rPr>
          <w:rFonts w:eastAsia="Times New Roman" w:cs="Times New Roman"/>
          <w:lang w:val="pt-BR"/>
        </w:rPr>
        <w:t xml:space="preserve"> para a classe única “lixo”, enquanto o Gemma 3 27B-IT foi avaliado sem treinamento específico no conjunto de dados da pesquisa. A comparação considerou acurácia, precisão, sensibilidade, especificidade, F1-score, taxa de falsos positivos, matriz de confusão, latência e </w:t>
      </w:r>
      <w:r>
        <w:rPr>
          <w:rStyle w:val="Emphasis"/>
          <w:rFonts w:eastAsia="Times New Roman" w:cs="Times New Roman"/>
          <w:lang w:val="pt-BR"/>
        </w:rPr>
        <w:t>throughput</w:t>
      </w:r>
      <w:r>
        <w:rPr>
          <w:rFonts w:eastAsia="Times New Roman" w:cs="Times New Roman"/>
          <w:lang w:val="pt-BR"/>
        </w:rPr>
        <w:t>. Nas condições experimentais adotadas e para a tarefa binária em nível de imagem, o Gemma 3 27B-IT apresentou melhor desempenho preditivo, com valores superiores de acurácia, sensibilidade, especificidade e F1-score, além de menor taxa de falsos positivos. Em contrapartida, o YOLOv11m apresentou maior eficiência computacional, com latência média aproximadamente 141,9 vezes menor no fluxo de execução avaliado. Concluiu-se que ambos demonstraram viabilidade técnico-experimental inicial para apoiar o monitoramento de resíduos urbanos, porém em regimes de uso distintos: o Gemma 3 27B-IT mostrou-se mais adequado a análises pontuais que priorizem o desempenho preditivo, enquanto o YOLOv11m apresentou maior adequação a triagens em larga escala e a cenários que demandem menor tempo de resposta e rastreabilidade visual.</w:t>
      </w:r>
    </w:p>
    <w:p>
      <w:pPr>
        <w:pStyle w:val="normal1"/>
        <w:ind w:hanging="0"/>
        <w:rPr>
          <w:rFonts w:eastAsia="Times New Roman" w:cs="Times New Roman"/>
          <w:lang w:val="pt-BR"/>
        </w:rPr>
      </w:pPr>
      <w:r>
        <w:rPr>
          <w:rFonts w:eastAsia="Times New Roman" w:cs="Times New Roman"/>
          <w:lang w:val="pt-BR"/>
        </w:rPr>
      </w:r>
    </w:p>
    <w:p>
      <w:pPr>
        <w:pStyle w:val="normal1"/>
        <w:ind w:hanging="0"/>
        <w:rPr>
          <w:lang w:val="pt-BR"/>
        </w:rPr>
      </w:pPr>
      <w:r>
        <w:rPr>
          <w:rFonts w:eastAsia="Times New Roman" w:cs="Times New Roman"/>
          <w:lang w:val="pt-BR"/>
        </w:rPr>
        <w:t>Palavras-chave: inteligência artificial; gestão pública; resíduos urbanos; visão computacional; modelos visão-linguagem.</w:t>
      </w:r>
    </w:p>
    <w:p>
      <w:pPr>
        <w:pStyle w:val="normal1"/>
        <w:rPr>
          <w:lang w:val="pt-BR"/>
        </w:rPr>
      </w:pPr>
      <w:r>
        <w:rPr>
          <w:lang w:val="pt-BR"/>
        </w:rPr>
      </w:r>
      <w:r>
        <w:br w:type="page"/>
      </w:r>
    </w:p>
    <w:p>
      <w:pPr>
        <w:pStyle w:val="normal1"/>
        <w:spacing w:before="0" w:after="0"/>
        <w:ind w:hanging="0"/>
        <w:jc w:val="center"/>
        <w:rPr>
          <w:lang w:val="pt-BR"/>
        </w:rPr>
      </w:pPr>
      <w:r>
        <w:rPr>
          <w:rFonts w:eastAsia="Times New Roman" w:cs="Times New Roman"/>
          <w:b/>
          <w:bCs/>
          <w:lang w:val="pt-BR"/>
        </w:rPr>
        <w:t>ABSTRACT</w:t>
      </w:r>
    </w:p>
    <w:p>
      <w:pPr>
        <w:pStyle w:val="normal1"/>
        <w:ind w:hanging="0"/>
        <w:rPr>
          <w:color w:val="000000"/>
        </w:rPr>
      </w:pPr>
      <w:r>
        <w:rPr>
          <w:rFonts w:eastAsia="Times New Roman" w:cs="Times New Roman"/>
          <w:color w:val="000000"/>
          <w:lang w:val="pt-BR"/>
        </w:rPr>
        <w:t xml:space="preserve">Urban waste management on public roads constitutes a relevant challenge for public administration, as it involves environmental, sanitary, operational, and financial impacts. In this context, this study aimed to analyze the feasibility of using artificial intelligence to monitor urban waste in real images of Brazilian streets by comparing YOLOv11m, employed as a specialized object detector, and Gemma 3 27B-IT, used as a vision-language model in a </w:t>
      </w:r>
      <w:r>
        <w:rPr>
          <w:rStyle w:val="Emphasis"/>
          <w:rFonts w:eastAsia="Times New Roman" w:cs="Times New Roman"/>
          <w:color w:val="000000"/>
          <w:lang w:val="pt-BR"/>
        </w:rPr>
        <w:t>zero-shot</w:t>
      </w:r>
      <w:r>
        <w:rPr>
          <w:rFonts w:eastAsia="Times New Roman" w:cs="Times New Roman"/>
          <w:color w:val="000000"/>
          <w:lang w:val="pt-BR"/>
        </w:rPr>
        <w:t xml:space="preserve"> setting. The research was characterized as applied, descriptive, and exploratory, with a quantitative approach, guided by the hypothetical-deductive method and conducted through an experimental-computational procedure. The experiment used 560 real images of Brazilian public roads, evenly distributed between scenes with and without visible waste. YOLOv11m was trained through </w:t>
      </w:r>
      <w:r>
        <w:rPr>
          <w:rStyle w:val="Emphasis"/>
          <w:rFonts w:eastAsia="Times New Roman" w:cs="Times New Roman"/>
          <w:color w:val="000000"/>
          <w:lang w:val="pt-BR"/>
        </w:rPr>
        <w:t>fine-tuning</w:t>
      </w:r>
      <w:r>
        <w:rPr>
          <w:rFonts w:eastAsia="Times New Roman" w:cs="Times New Roman"/>
          <w:color w:val="000000"/>
          <w:lang w:val="pt-BR"/>
        </w:rPr>
        <w:t xml:space="preserve"> for the single class “waste,” whereas Gemma 3 27B-IT was evaluated without task-specific training on the study dataset. The comparison considered accuracy, precision, sensitivity, specificity, F1-score, false positive rate, confusion matrix, latency, and </w:t>
      </w:r>
      <w:r>
        <w:rPr>
          <w:rStyle w:val="Emphasis"/>
          <w:rFonts w:eastAsia="Times New Roman" w:cs="Times New Roman"/>
          <w:color w:val="000000"/>
          <w:lang w:val="pt-BR"/>
        </w:rPr>
        <w:t>throughput</w:t>
      </w:r>
      <w:r>
        <w:rPr>
          <w:rFonts w:eastAsia="Times New Roman" w:cs="Times New Roman"/>
          <w:color w:val="000000"/>
          <w:lang w:val="pt-BR"/>
        </w:rPr>
        <w:t>. Under the adopted experimental conditions and for the image-level binary task, Gemma 3 27B-IT achieved better predictive performance, with higher accuracy, sensitivity, specificity, and F1-score, as well as a lower false positive rate. In contrast, YOLOv11m showed greater computational efficiency, with an average latency approximately 141.9 times lower in the evaluated execution pipeline. It was concluded that both models demonstrated initial technical and experimental feasibility for supporting urban waste monitoring, although under different usage conditions: Gemma 3 27B-IT proved more suitable for targeted analyses prioritizing predictive performance, whereas YOLOv11m showed greater suitability for large-scale screening and scenarios requiring lower response time and visual traceability.</w:t>
      </w:r>
    </w:p>
    <w:p>
      <w:pPr>
        <w:pStyle w:val="normal1"/>
        <w:ind w:hanging="0"/>
        <w:rPr>
          <w:rFonts w:eastAsia="Times New Roman" w:cs="Times New Roman"/>
          <w:lang w:val="pt-BR"/>
        </w:rPr>
      </w:pPr>
      <w:r>
        <w:rPr>
          <w:color w:val="000000"/>
        </w:rPr>
      </w:r>
    </w:p>
    <w:p>
      <w:pPr>
        <w:pStyle w:val="normal1"/>
        <w:ind w:hanging="0"/>
        <w:rPr>
          <w:color w:val="000000"/>
        </w:rPr>
      </w:pPr>
      <w:r>
        <w:rPr>
          <w:rFonts w:eastAsia="Times New Roman" w:cs="Times New Roman"/>
          <w:color w:val="000000"/>
          <w:lang w:val="pt-BR"/>
        </w:rPr>
        <w:t>Keywords: artificial intelligence; public administration; urban waste; computer vision; vision-language models.</w:t>
      </w:r>
      <w:r>
        <w:br w:type="page"/>
      </w:r>
    </w:p>
    <w:p>
      <w:pPr>
        <w:pStyle w:val="normal1"/>
        <w:spacing w:before="0" w:after="0"/>
        <w:ind w:hanging="0"/>
        <w:jc w:val="center"/>
        <w:rPr>
          <w:lang w:val="pt-BR"/>
        </w:rPr>
      </w:pPr>
      <w:r>
        <w:rPr>
          <w:rFonts w:eastAsia="Times New Roman" w:cs="Times New Roman"/>
          <w:b/>
          <w:bCs/>
          <w:lang w:val="pt-BR"/>
        </w:rPr>
        <w:t>LISTA DE FIGURAS</w:t>
      </w:r>
    </w:p>
    <w:p>
      <w:pPr>
        <w:pStyle w:val="normal1"/>
        <w:jc w:val="left"/>
        <w:rPr>
          <w:lang w:val="pt-BR"/>
        </w:rPr>
      </w:pPr>
      <w:r>
        <w:rPr>
          <w:lang w:val="pt-BR"/>
        </w:rPr>
      </w:r>
    </w:p>
    <w:p>
      <w:pPr>
        <w:pStyle w:val="normal1"/>
        <w:ind w:hanging="0"/>
        <w:jc w:val="left"/>
        <w:rPr>
          <w:lang w:val="pt-BR"/>
        </w:rPr>
      </w:pPr>
      <w:r>
        <w:rPr>
          <w:rFonts w:eastAsia="Times New Roman" w:cs="Times New Roman"/>
          <w:lang w:val="pt-BR"/>
        </w:rPr>
        <w:t>Figura 1 – Curvas de treinamento do YOLOv11m — funções de perda e precisão de validação ao longo das 100 épocas</w:t>
      </w:r>
      <w:r>
        <w:rPr>
          <w:lang w:val="pt-BR"/>
        </w:rPr>
        <w:t>………………………………………………………………………</w:t>
      </w:r>
      <w:r>
        <w:rPr>
          <w:rFonts w:eastAsia="Times New Roman" w:cs="Times New Roman"/>
          <w:lang w:val="pt-BR"/>
        </w:rPr>
        <w:t>41</w:t>
      </w:r>
    </w:p>
    <w:p>
      <w:pPr>
        <w:pStyle w:val="normal1"/>
        <w:ind w:hanging="0"/>
        <w:jc w:val="left"/>
        <w:rPr>
          <w:lang w:val="pt-BR"/>
        </w:rPr>
      </w:pPr>
      <w:r>
        <w:rPr>
          <w:rFonts w:eastAsia="Times New Roman" w:cs="Times New Roman"/>
          <w:lang w:val="pt-BR"/>
        </w:rPr>
        <w:t>Figura 2 – Composição do conjunto de teste e distribuição de bounding boxes por imagem positiva</w:t>
      </w:r>
      <w:r>
        <w:rPr>
          <w:lang w:val="pt-BR"/>
        </w:rPr>
        <w:t>………………………………………………………………………………………..</w:t>
      </w:r>
      <w:r>
        <w:rPr>
          <w:rFonts w:eastAsia="Times New Roman" w:cs="Times New Roman"/>
          <w:lang w:val="pt-BR"/>
        </w:rPr>
        <w:t>42</w:t>
      </w:r>
    </w:p>
    <w:p>
      <w:pPr>
        <w:pStyle w:val="normal1"/>
        <w:ind w:hanging="0"/>
        <w:jc w:val="left"/>
        <w:rPr>
          <w:lang w:val="pt-BR"/>
        </w:rPr>
      </w:pPr>
      <w:r>
        <w:rPr>
          <w:rFonts w:eastAsia="Times New Roman" w:cs="Times New Roman"/>
          <w:lang w:val="pt-BR"/>
        </w:rPr>
        <w:t>Figura 3 – Amostras do conjunto de teste — linha superior: imagens com resíduos; linha inferior: imagens sem resíduos</w:t>
      </w:r>
      <w:r>
        <w:rPr>
          <w:lang w:val="pt-BR"/>
        </w:rPr>
        <w:t>……………………………………………………………….</w:t>
      </w:r>
      <w:r>
        <w:rPr>
          <w:rFonts w:eastAsia="Times New Roman" w:cs="Times New Roman"/>
          <w:lang w:val="pt-BR"/>
        </w:rPr>
        <w:t>42</w:t>
      </w:r>
    </w:p>
    <w:p>
      <w:pPr>
        <w:pStyle w:val="normal1"/>
        <w:ind w:hanging="0"/>
        <w:jc w:val="left"/>
        <w:rPr>
          <w:lang w:val="pt-BR"/>
        </w:rPr>
      </w:pPr>
      <w:r>
        <w:rPr>
          <w:rFonts w:eastAsia="Times New Roman" w:cs="Times New Roman"/>
          <w:lang w:val="pt-BR"/>
        </w:rPr>
        <w:t>Figura 4 – Comparação de métricas preditivas entre YOLOv11m e Gemma 3 27B-IT</w:t>
      </w:r>
      <w:r>
        <w:rPr>
          <w:lang w:val="pt-BR"/>
        </w:rPr>
        <w:t>….…..</w:t>
      </w:r>
      <w:r>
        <w:rPr>
          <w:rFonts w:eastAsia="Times New Roman" w:cs="Times New Roman"/>
          <w:lang w:val="pt-BR"/>
        </w:rPr>
        <w:t>44</w:t>
      </w:r>
    </w:p>
    <w:p>
      <w:pPr>
        <w:pStyle w:val="normal1"/>
        <w:ind w:hanging="0"/>
        <w:jc w:val="left"/>
        <w:rPr>
          <w:lang w:val="pt-BR"/>
        </w:rPr>
      </w:pPr>
      <w:r>
        <w:rPr>
          <w:rFonts w:eastAsia="Times New Roman" w:cs="Times New Roman"/>
          <w:lang w:val="pt-BR"/>
        </w:rPr>
        <w:t xml:space="preserve">Figura 5 – Matrizes de confusão — classificação binária por imagem </w:t>
      </w:r>
      <w:r>
        <w:rPr>
          <w:lang w:val="pt-BR"/>
        </w:rPr>
        <w:t>……………………...</w:t>
      </w:r>
      <w:r>
        <w:rPr>
          <w:rFonts w:eastAsia="Times New Roman" w:cs="Times New Roman"/>
          <w:lang w:val="pt-BR"/>
        </w:rPr>
        <w:t>45</w:t>
      </w:r>
    </w:p>
    <w:p>
      <w:pPr>
        <w:pStyle w:val="normal1"/>
        <w:ind w:hanging="0"/>
        <w:jc w:val="left"/>
        <w:rPr>
          <w:lang w:val="pt-BR"/>
        </w:rPr>
      </w:pPr>
      <w:r>
        <w:rPr>
          <w:rFonts w:eastAsia="Times New Roman" w:cs="Times New Roman"/>
          <w:lang w:val="pt-BR"/>
        </w:rPr>
        <w:t>Figura 6 – Exemplos de acerto conjunto — imagens com resíduos detectadas por ambos os modelos ………………….</w:t>
      </w:r>
      <w:r>
        <w:rPr>
          <w:lang w:val="pt-BR"/>
        </w:rPr>
        <w:t>......................................................................................................</w:t>
      </w:r>
      <w:r>
        <w:rPr>
          <w:rFonts w:eastAsia="Times New Roman" w:cs="Times New Roman"/>
          <w:lang w:val="pt-BR"/>
        </w:rPr>
        <w:t>50</w:t>
      </w:r>
    </w:p>
    <w:p>
      <w:pPr>
        <w:pStyle w:val="normal1"/>
        <w:ind w:hanging="0"/>
        <w:jc w:val="left"/>
        <w:rPr>
          <w:lang w:val="pt-BR"/>
        </w:rPr>
      </w:pPr>
      <w:r>
        <w:rPr>
          <w:rFonts w:eastAsia="Times New Roman" w:cs="Times New Roman"/>
          <w:lang w:val="pt-BR"/>
        </w:rPr>
        <w:t>Figura 7 – Exemplos de acerto conjunto — imagens sem resíduos classificadas corretamente por ambos os modelos …………………...</w:t>
      </w:r>
      <w:r>
        <w:rPr>
          <w:lang w:val="pt-BR"/>
        </w:rPr>
        <w:t>...............................................................................</w:t>
      </w:r>
      <w:r>
        <w:rPr>
          <w:rFonts w:eastAsia="Times New Roman" w:cs="Times New Roman"/>
          <w:lang w:val="pt-BR"/>
        </w:rPr>
        <w:t>50</w:t>
      </w:r>
    </w:p>
    <w:p>
      <w:pPr>
        <w:pStyle w:val="normal1"/>
        <w:ind w:hanging="0"/>
        <w:jc w:val="left"/>
        <w:rPr>
          <w:lang w:val="pt-BR"/>
        </w:rPr>
      </w:pPr>
      <w:r>
        <w:rPr>
          <w:rFonts w:eastAsia="Times New Roman" w:cs="Times New Roman"/>
          <w:lang w:val="pt-BR"/>
        </w:rPr>
        <w:t>Figura 8 – Exemplos de erro exclusivo do YOLOv11m — imagens com resíduos identificadas pelo VLM mas não pelo detector.……………………………….</w:t>
      </w:r>
      <w:r>
        <w:rPr>
          <w:lang w:val="pt-BR"/>
        </w:rPr>
        <w:t>......................</w:t>
      </w:r>
      <w:r>
        <w:rPr>
          <w:rFonts w:eastAsia="Times New Roman" w:cs="Times New Roman"/>
          <w:lang w:val="pt-BR"/>
        </w:rPr>
        <w:t>50</w:t>
      </w:r>
    </w:p>
    <w:p>
      <w:pPr>
        <w:pStyle w:val="normal1"/>
        <w:ind w:hanging="0"/>
        <w:jc w:val="left"/>
        <w:rPr>
          <w:lang w:val="pt-BR"/>
        </w:rPr>
      </w:pPr>
      <w:r>
        <w:rPr>
          <w:rFonts w:eastAsia="Times New Roman" w:cs="Times New Roman"/>
          <w:lang w:val="pt-BR"/>
        </w:rPr>
        <w:t>Figura 9 – Exemplo de erro exclusivo do VLM — imagem com resíduos detectada pelo YOLO mas não identificada pelo Gemma………………………………..</w:t>
      </w:r>
      <w:r>
        <w:rPr>
          <w:lang w:val="pt-BR"/>
        </w:rPr>
        <w:t>..............................</w:t>
      </w:r>
      <w:r>
        <w:rPr>
          <w:rFonts w:eastAsia="Times New Roman" w:cs="Times New Roman"/>
          <w:lang w:val="pt-BR"/>
        </w:rPr>
        <w:t>51</w:t>
      </w:r>
    </w:p>
    <w:p>
      <w:pPr>
        <w:pStyle w:val="normal1"/>
        <w:ind w:hanging="0"/>
        <w:jc w:val="left"/>
        <w:rPr>
          <w:lang w:val="pt-BR"/>
        </w:rPr>
      </w:pPr>
      <w:r>
        <w:rPr>
          <w:rFonts w:eastAsia="Times New Roman" w:cs="Times New Roman"/>
          <w:lang w:val="pt-BR"/>
        </w:rPr>
        <w:t>Figura 10 – Exemplos de falso positivo exclusivo do YOLOv11m — cenas sem resíduos classificadas erroneamente pelo detector……………………</w:t>
      </w:r>
      <w:r>
        <w:rPr>
          <w:lang w:val="pt-BR"/>
        </w:rPr>
        <w:t>..................................................</w:t>
      </w:r>
      <w:r>
        <w:rPr>
          <w:rFonts w:eastAsia="Times New Roman" w:cs="Times New Roman"/>
          <w:lang w:val="pt-BR"/>
        </w:rPr>
        <w:t>51</w:t>
      </w:r>
    </w:p>
    <w:p>
      <w:pPr>
        <w:pStyle w:val="normal1"/>
        <w:ind w:hanging="0"/>
        <w:jc w:val="left"/>
        <w:rPr>
          <w:lang w:val="pt-BR"/>
        </w:rPr>
      </w:pPr>
      <w:r>
        <w:rPr>
          <w:rFonts w:eastAsia="Times New Roman" w:cs="Times New Roman"/>
          <w:lang w:val="pt-BR"/>
        </w:rPr>
        <w:t>Figura 11 – Exemplos de falso positivo exclusivo do Gemma 3 27B-IT — cenas sem resíduos classificadas erroneamente pelo VLM……………………</w:t>
      </w:r>
      <w:r>
        <w:rPr>
          <w:lang w:val="pt-BR"/>
        </w:rPr>
        <w:t>......................................................</w:t>
      </w:r>
      <w:r>
        <w:rPr>
          <w:rFonts w:eastAsia="Times New Roman" w:cs="Times New Roman"/>
          <w:lang w:val="pt-BR"/>
        </w:rPr>
        <w:t>51</w:t>
      </w:r>
    </w:p>
    <w:p>
      <w:pPr>
        <w:pStyle w:val="normal1"/>
        <w:ind w:hanging="0"/>
        <w:jc w:val="left"/>
        <w:rPr>
          <w:lang w:val="pt-BR"/>
        </w:rPr>
      </w:pPr>
      <w:r>
        <w:rPr>
          <w:rFonts w:eastAsia="Times New Roman" w:cs="Times New Roman"/>
          <w:lang w:val="pt-BR"/>
        </w:rPr>
        <w:t>Figura 12 – Exemplos de falso positivo de ambos os modelos — cenas sem resíduos classificadas erroneamente por YOLO e VLM……………………</w:t>
      </w:r>
      <w:r>
        <w:rPr>
          <w:lang w:val="pt-BR"/>
        </w:rPr>
        <w:t>.........................................</w:t>
      </w:r>
      <w:r>
        <w:rPr>
          <w:rFonts w:eastAsia="Times New Roman" w:cs="Times New Roman"/>
          <w:lang w:val="pt-BR"/>
        </w:rPr>
        <w:t>52</w:t>
      </w:r>
    </w:p>
    <w:p>
      <w:pPr>
        <w:pStyle w:val="normal1"/>
        <w:jc w:val="left"/>
        <w:rPr>
          <w:lang w:val="pt-BR"/>
        </w:rPr>
      </w:pPr>
      <w:r>
        <w:rPr>
          <w:lang w:val="pt-BR"/>
        </w:rPr>
      </w:r>
      <w:r>
        <w:br w:type="page"/>
      </w:r>
    </w:p>
    <w:p>
      <w:pPr>
        <w:pStyle w:val="normal1"/>
        <w:spacing w:before="0" w:after="0"/>
        <w:ind w:hanging="0"/>
        <w:jc w:val="center"/>
        <w:rPr>
          <w:lang w:val="pt-BR"/>
        </w:rPr>
      </w:pPr>
      <w:r>
        <w:rPr>
          <w:rFonts w:eastAsia="Times New Roman" w:cs="Times New Roman"/>
          <w:b/>
          <w:bCs/>
          <w:lang w:val="pt-BR"/>
        </w:rPr>
        <w:t>LISTA DE QUADROS</w:t>
      </w:r>
    </w:p>
    <w:p>
      <w:pPr>
        <w:pStyle w:val="normal1"/>
        <w:jc w:val="left"/>
        <w:rPr>
          <w:lang w:val="pt-BR"/>
        </w:rPr>
      </w:pPr>
      <w:r>
        <w:rPr>
          <w:lang w:val="pt-BR"/>
        </w:rPr>
      </w:r>
    </w:p>
    <w:p>
      <w:pPr>
        <w:pStyle w:val="normal1"/>
        <w:ind w:hanging="0"/>
        <w:jc w:val="left"/>
        <w:rPr>
          <w:lang w:val="pt-BR"/>
        </w:rPr>
      </w:pPr>
      <w:r>
        <w:rPr>
          <w:rFonts w:eastAsia="Times New Roman" w:cs="Times New Roman"/>
          <w:lang w:val="pt-BR"/>
        </w:rPr>
        <w:t>Quadro 1 – Métricas e estatísticas utilizadas na avaliação</w:t>
      </w:r>
      <w:r>
        <w:rPr>
          <w:lang w:val="pt-BR"/>
        </w:rPr>
        <w:t>………………………………...…</w:t>
      </w:r>
      <w:r>
        <w:rPr>
          <w:rFonts w:eastAsia="Times New Roman" w:cs="Times New Roman"/>
          <w:lang w:val="pt-BR"/>
        </w:rPr>
        <w:t>36</w:t>
      </w:r>
    </w:p>
    <w:p>
      <w:pPr>
        <w:pStyle w:val="normal1"/>
        <w:ind w:hanging="0"/>
        <w:jc w:val="left"/>
        <w:rPr>
          <w:lang w:val="pt-BR"/>
        </w:rPr>
      </w:pPr>
      <w:r>
        <w:rPr>
          <w:rFonts w:eastAsia="Times New Roman" w:cs="Times New Roman"/>
          <w:lang w:val="pt-BR"/>
        </w:rPr>
        <w:t>Quadro 2 – Matriz de viabilidade dos modelos</w:t>
      </w:r>
      <w:r>
        <w:rPr>
          <w:lang w:val="pt-BR"/>
        </w:rPr>
        <w:t>………………………………………………</w:t>
      </w:r>
      <w:r>
        <w:rPr>
          <w:rFonts w:eastAsia="Times New Roman" w:cs="Times New Roman"/>
          <w:lang w:val="pt-BR"/>
        </w:rPr>
        <w:t>55</w:t>
      </w:r>
    </w:p>
    <w:p>
      <w:pPr>
        <w:pStyle w:val="normal1"/>
        <w:ind w:hanging="0"/>
        <w:jc w:val="left"/>
        <w:rPr>
          <w:lang w:val="pt-BR"/>
        </w:rPr>
      </w:pPr>
      <w:r>
        <w:rPr>
          <w:rFonts w:eastAsia="Times New Roman" w:cs="Times New Roman"/>
          <w:lang w:val="pt-BR"/>
        </w:rPr>
        <w:t>Quadro 3 – Síntese gerencial dos cenários de uso</w:t>
      </w:r>
      <w:r>
        <w:rPr>
          <w:lang w:val="pt-BR"/>
        </w:rPr>
        <w:t>……………………………………………</w:t>
      </w:r>
      <w:r>
        <w:rPr>
          <w:rFonts w:eastAsia="Times New Roman" w:cs="Times New Roman"/>
          <w:lang w:val="pt-BR"/>
        </w:rPr>
        <w:t>57</w:t>
      </w:r>
    </w:p>
    <w:p>
      <w:pPr>
        <w:pStyle w:val="normal1"/>
        <w:jc w:val="left"/>
        <w:rPr>
          <w:lang w:val="pt-BR"/>
        </w:rPr>
      </w:pPr>
      <w:r>
        <w:rPr>
          <w:lang w:val="pt-BR"/>
        </w:rPr>
      </w:r>
      <w:r>
        <w:br w:type="page"/>
      </w:r>
    </w:p>
    <w:p>
      <w:pPr>
        <w:pStyle w:val="normal1"/>
        <w:spacing w:before="0" w:after="0"/>
        <w:ind w:hanging="0"/>
        <w:jc w:val="center"/>
        <w:rPr>
          <w:lang w:val="pt-BR"/>
        </w:rPr>
      </w:pPr>
      <w:r>
        <w:rPr>
          <w:rFonts w:eastAsia="Times New Roman" w:cs="Times New Roman"/>
          <w:b/>
          <w:bCs/>
          <w:lang w:val="pt-BR"/>
        </w:rPr>
        <w:t>LISTA DE TABELAS</w:t>
      </w:r>
    </w:p>
    <w:p>
      <w:pPr>
        <w:pStyle w:val="normal1"/>
        <w:jc w:val="left"/>
        <w:rPr>
          <w:lang w:val="pt-BR"/>
        </w:rPr>
      </w:pPr>
      <w:r>
        <w:rPr>
          <w:lang w:val="pt-BR"/>
        </w:rPr>
      </w:r>
    </w:p>
    <w:p>
      <w:pPr>
        <w:pStyle w:val="normal1"/>
        <w:ind w:hanging="0"/>
        <w:jc w:val="left"/>
        <w:rPr>
          <w:lang w:val="pt-BR"/>
        </w:rPr>
      </w:pPr>
      <w:r>
        <w:rPr>
          <w:rFonts w:eastAsia="Times New Roman" w:cs="Times New Roman"/>
          <w:lang w:val="pt-BR"/>
        </w:rPr>
        <w:t>Tabela 1 – Fontes de dados utilizadas no experimento</w:t>
      </w:r>
      <w:r>
        <w:rPr>
          <w:lang w:val="pt-BR"/>
        </w:rPr>
        <w:t>……………………………………….</w:t>
      </w:r>
      <w:r>
        <w:rPr>
          <w:rFonts w:eastAsia="Times New Roman" w:cs="Times New Roman"/>
          <w:lang w:val="pt-BR"/>
        </w:rPr>
        <w:t>31</w:t>
      </w:r>
    </w:p>
    <w:p>
      <w:pPr>
        <w:pStyle w:val="normal1"/>
        <w:ind w:hanging="0"/>
        <w:jc w:val="left"/>
        <w:rPr>
          <w:lang w:val="pt-BR"/>
        </w:rPr>
      </w:pPr>
      <w:r>
        <w:rPr>
          <w:rFonts w:eastAsia="Times New Roman" w:cs="Times New Roman"/>
          <w:lang w:val="pt-BR"/>
        </w:rPr>
        <w:t>Tabela 2 – Composição final dos conjuntos após preparação dos dados</w:t>
      </w:r>
      <w:r>
        <w:rPr>
          <w:lang w:val="pt-BR"/>
        </w:rPr>
        <w:t>……………………..</w:t>
      </w:r>
      <w:r>
        <w:rPr>
          <w:rFonts w:eastAsia="Times New Roman" w:cs="Times New Roman"/>
          <w:lang w:val="pt-BR"/>
        </w:rPr>
        <w:t>33</w:t>
      </w:r>
    </w:p>
    <w:p>
      <w:pPr>
        <w:pStyle w:val="normal1"/>
        <w:ind w:hanging="0"/>
        <w:jc w:val="left"/>
        <w:rPr>
          <w:lang w:val="pt-BR"/>
        </w:rPr>
      </w:pPr>
      <w:r>
        <w:rPr>
          <w:rFonts w:eastAsia="Times New Roman" w:cs="Times New Roman"/>
          <w:lang w:val="pt-BR"/>
        </w:rPr>
        <w:t>Tabela 3 – Composição dos conjuntos utilizados no experimento</w:t>
      </w:r>
      <w:r>
        <w:rPr>
          <w:lang w:val="pt-BR"/>
        </w:rPr>
        <w:t>………………………...…</w:t>
      </w:r>
      <w:r>
        <w:rPr>
          <w:rFonts w:eastAsia="Times New Roman" w:cs="Times New Roman"/>
          <w:lang w:val="pt-BR"/>
        </w:rPr>
        <w:t>42</w:t>
      </w:r>
    </w:p>
    <w:p>
      <w:pPr>
        <w:pStyle w:val="normal1"/>
        <w:ind w:hanging="0"/>
        <w:jc w:val="left"/>
        <w:rPr>
          <w:lang w:val="pt-BR"/>
        </w:rPr>
      </w:pPr>
      <w:r>
        <w:rPr>
          <w:rFonts w:eastAsia="Times New Roman" w:cs="Times New Roman"/>
          <w:lang w:val="pt-BR"/>
        </w:rPr>
        <w:t>Tabela 4 – Comparação das métricas preditivas entre YOLOv11m e Gemma 3 27B-IT</w:t>
      </w:r>
      <w:r>
        <w:rPr>
          <w:lang w:val="pt-BR"/>
        </w:rPr>
        <w:t>…….</w:t>
      </w:r>
      <w:r>
        <w:rPr>
          <w:rFonts w:eastAsia="Times New Roman" w:cs="Times New Roman"/>
          <w:lang w:val="pt-BR"/>
        </w:rPr>
        <w:t>43</w:t>
      </w:r>
    </w:p>
    <w:p>
      <w:pPr>
        <w:pStyle w:val="normal1"/>
        <w:ind w:hanging="0"/>
        <w:jc w:val="left"/>
        <w:rPr>
          <w:lang w:val="pt-BR"/>
        </w:rPr>
      </w:pPr>
      <w:r>
        <w:rPr>
          <w:rFonts w:eastAsia="Times New Roman" w:cs="Times New Roman"/>
          <w:lang w:val="pt-BR"/>
        </w:rPr>
        <w:t>Tabela 5 – Matriz de confusão do YOLOv11m</w:t>
      </w:r>
      <w:r>
        <w:rPr>
          <w:lang w:val="pt-BR"/>
        </w:rPr>
        <w:t>………………………………………………</w:t>
      </w:r>
      <w:r>
        <w:rPr>
          <w:rFonts w:eastAsia="Times New Roman" w:cs="Times New Roman"/>
          <w:lang w:val="pt-BR"/>
        </w:rPr>
        <w:t>44</w:t>
      </w:r>
    </w:p>
    <w:p>
      <w:pPr>
        <w:pStyle w:val="normal1"/>
        <w:ind w:hanging="0"/>
        <w:jc w:val="left"/>
        <w:rPr>
          <w:lang w:val="pt-BR"/>
        </w:rPr>
      </w:pPr>
      <w:r>
        <w:rPr>
          <w:rFonts w:eastAsia="Times New Roman" w:cs="Times New Roman"/>
          <w:lang w:val="pt-BR"/>
        </w:rPr>
        <w:t>Tabela 6 – Matriz de confusão do Gemma 3 27B-IT</w:t>
      </w:r>
      <w:r>
        <w:rPr>
          <w:lang w:val="pt-BR"/>
        </w:rPr>
        <w:t>……………………………………...…</w:t>
      </w:r>
      <w:r>
        <w:rPr>
          <w:rFonts w:eastAsia="Times New Roman" w:cs="Times New Roman"/>
          <w:lang w:val="pt-BR"/>
        </w:rPr>
        <w:t>44</w:t>
      </w:r>
    </w:p>
    <w:p>
      <w:pPr>
        <w:pStyle w:val="normal1"/>
        <w:ind w:hanging="0"/>
        <w:jc w:val="left"/>
        <w:rPr>
          <w:lang w:val="pt-BR"/>
        </w:rPr>
      </w:pPr>
      <w:r>
        <w:rPr>
          <w:rFonts w:eastAsia="Times New Roman" w:cs="Times New Roman"/>
          <w:lang w:val="pt-BR"/>
        </w:rPr>
        <w:t>Tabela 7 – Análise de sensibilidade ao limiar de confiança (YOLOv11m)</w:t>
      </w:r>
      <w:r>
        <w:rPr>
          <w:lang w:val="pt-BR"/>
        </w:rPr>
        <w:t>.............................</w:t>
      </w:r>
      <w:r>
        <w:rPr>
          <w:rFonts w:eastAsia="Times New Roman" w:cs="Times New Roman"/>
          <w:lang w:val="pt-BR"/>
        </w:rPr>
        <w:t>45</w:t>
      </w:r>
    </w:p>
    <w:p>
      <w:pPr>
        <w:pStyle w:val="normal1"/>
        <w:ind w:hanging="0"/>
        <w:jc w:val="left"/>
        <w:rPr>
          <w:lang w:val="pt-BR"/>
        </w:rPr>
      </w:pPr>
      <w:r>
        <w:rPr>
          <w:rFonts w:eastAsia="Times New Roman" w:cs="Times New Roman"/>
          <w:lang w:val="pt-BR"/>
        </w:rPr>
        <w:t>Tabela 8 – Métricas com intervalos de confiança de 95%</w:t>
      </w:r>
      <w:r>
        <w:rPr>
          <w:lang w:val="pt-BR"/>
        </w:rPr>
        <w:t>........................................................</w:t>
      </w:r>
      <w:r>
        <w:rPr>
          <w:rFonts w:eastAsia="Times New Roman" w:cs="Times New Roman"/>
          <w:lang w:val="pt-BR"/>
        </w:rPr>
        <w:t>46</w:t>
      </w:r>
    </w:p>
    <w:p>
      <w:pPr>
        <w:pStyle w:val="normal1"/>
        <w:ind w:hanging="0"/>
        <w:jc w:val="left"/>
        <w:rPr>
          <w:lang w:val="pt-BR"/>
        </w:rPr>
      </w:pPr>
      <w:r>
        <w:rPr>
          <w:rFonts w:eastAsia="Times New Roman" w:cs="Times New Roman"/>
          <w:lang w:val="pt-BR"/>
        </w:rPr>
        <w:t>Tabela 9 – Indicadores complementares de concordância e discriminação</w:t>
      </w:r>
      <w:r>
        <w:rPr>
          <w:lang w:val="pt-BR"/>
        </w:rPr>
        <w:t>…………………..</w:t>
      </w:r>
      <w:r>
        <w:rPr>
          <w:rFonts w:eastAsia="Times New Roman" w:cs="Times New Roman"/>
          <w:lang w:val="pt-BR"/>
        </w:rPr>
        <w:t>47</w:t>
      </w:r>
    </w:p>
    <w:p>
      <w:pPr>
        <w:pStyle w:val="normal1"/>
        <w:ind w:hanging="0"/>
        <w:jc w:val="left"/>
        <w:rPr>
          <w:lang w:val="pt-BR"/>
        </w:rPr>
      </w:pPr>
      <w:r>
        <w:rPr>
          <w:rFonts w:eastAsia="Times New Roman" w:cs="Times New Roman"/>
          <w:lang w:val="pt-BR"/>
        </w:rPr>
        <w:t>Tabela 10 – Eficiência computacional dos modelos</w:t>
      </w:r>
      <w:r>
        <w:rPr>
          <w:lang w:val="pt-BR"/>
        </w:rPr>
        <w:t>……………….……………..…..……....</w:t>
      </w:r>
      <w:r>
        <w:rPr>
          <w:rFonts w:eastAsia="Times New Roman" w:cs="Times New Roman"/>
          <w:lang w:val="pt-BR"/>
        </w:rPr>
        <w:t>47</w:t>
      </w:r>
    </w:p>
    <w:p>
      <w:pPr>
        <w:pStyle w:val="normal1"/>
        <w:ind w:hanging="0"/>
        <w:jc w:val="left"/>
        <w:rPr>
          <w:lang w:val="pt-BR"/>
        </w:rPr>
      </w:pPr>
      <w:r>
        <w:rPr>
          <w:rFonts w:eastAsia="Times New Roman" w:cs="Times New Roman"/>
          <w:lang w:val="pt-BR"/>
        </w:rPr>
        <w:t>Tabela 11 – Distribuição conjunta dos casos de acerto e erro………</w:t>
      </w:r>
      <w:r>
        <w:rPr>
          <w:lang w:val="pt-BR"/>
        </w:rPr>
        <w:t>…………………..…....</w:t>
      </w:r>
      <w:r>
        <w:rPr>
          <w:rFonts w:eastAsia="Times New Roman" w:cs="Times New Roman"/>
          <w:lang w:val="pt-BR"/>
        </w:rPr>
        <w:t>49</w:t>
      </w:r>
    </w:p>
    <w:p>
      <w:pPr>
        <w:pStyle w:val="normal1"/>
        <w:jc w:val="left"/>
        <w:rPr>
          <w:lang w:val="pt-BR"/>
        </w:rPr>
      </w:pPr>
      <w:r>
        <w:rPr>
          <w:lang w:val="pt-BR"/>
        </w:rPr>
      </w:r>
      <w:r>
        <w:br w:type="page"/>
      </w:r>
    </w:p>
    <w:p>
      <w:pPr>
        <w:pStyle w:val="normal1"/>
        <w:spacing w:before="0" w:after="0"/>
        <w:ind w:hanging="0"/>
        <w:jc w:val="center"/>
        <w:rPr>
          <w:lang w:val="pt-BR"/>
        </w:rPr>
      </w:pPr>
      <w:r>
        <w:rPr>
          <w:rFonts w:eastAsia="Times New Roman" w:cs="Times New Roman"/>
          <w:b/>
          <w:bCs/>
          <w:lang w:val="pt-BR"/>
        </w:rPr>
        <w:t>LISTA DE ABREVIATURAS E SIGLAS</w:t>
      </w:r>
    </w:p>
    <w:p>
      <w:pPr>
        <w:pStyle w:val="normal1"/>
        <w:rPr>
          <w:lang w:val="pt-BR"/>
        </w:rPr>
      </w:pPr>
      <w:r>
        <w:rPr>
          <w:lang w:val="pt-BR"/>
        </w:rPr>
      </w:r>
    </w:p>
    <w:tbl>
      <w:tblPr>
        <w:tblStyle w:val="TableNormal"/>
        <w:tblW w:w="8220" w:type="dxa"/>
        <w:jc w:val="left"/>
        <w:tblInd w:w="0" w:type="dxa"/>
        <w:tblLayout w:type="fixed"/>
        <w:tblCellMar>
          <w:top w:w="0" w:type="dxa"/>
          <w:left w:w="108" w:type="dxa"/>
          <w:bottom w:w="0" w:type="dxa"/>
          <w:right w:w="108" w:type="dxa"/>
        </w:tblCellMar>
        <w:tblLook w:val="0420" w:noHBand="0" w:noVBand="1" w:firstColumn="0" w:lastRow="0" w:lastColumn="0" w:firstRow="1"/>
      </w:tblPr>
      <w:tblGrid>
        <w:gridCol w:w="4095"/>
        <w:gridCol w:w="4124"/>
      </w:tblGrid>
      <w:tr>
        <w:trPr/>
        <w:tc>
          <w:tcPr>
            <w:tcW w:w="4095" w:type="dxa"/>
            <w:tcBorders/>
          </w:tcPr>
          <w:p>
            <w:pPr>
              <w:pStyle w:val="normal1"/>
              <w:suppressAutoHyphens w:val="true"/>
              <w:spacing w:lineRule="auto" w:line="240" w:before="0" w:after="0"/>
              <w:ind w:hanging="0"/>
              <w:jc w:val="left"/>
              <w:rPr>
                <w:lang w:val="pt-BR"/>
              </w:rPr>
            </w:pPr>
            <w:r>
              <w:rPr>
                <w:rFonts w:eastAsia="Times New Roman" w:cs="Times New Roman"/>
                <w:b/>
                <w:bCs/>
                <w:kern w:val="0"/>
                <w:sz w:val="24"/>
                <w:szCs w:val="24"/>
                <w:lang w:val="pt-BR" w:eastAsia="zh-CN" w:bidi="hi-IN"/>
              </w:rPr>
              <w:t>ABNT</w:t>
            </w:r>
          </w:p>
        </w:tc>
        <w:tc>
          <w:tcPr>
            <w:tcW w:w="4124" w:type="dxa"/>
            <w:tcBorders/>
          </w:tcPr>
          <w:p>
            <w:pPr>
              <w:pStyle w:val="normal1"/>
              <w:suppressAutoHyphens w:val="true"/>
              <w:spacing w:lineRule="auto" w:line="240" w:before="0" w:after="0"/>
              <w:ind w:hanging="0"/>
              <w:jc w:val="left"/>
              <w:rPr>
                <w:lang w:val="pt-BR"/>
              </w:rPr>
            </w:pPr>
            <w:r>
              <w:rPr>
                <w:rFonts w:eastAsia="Times New Roman" w:cs="Times New Roman"/>
                <w:kern w:val="0"/>
                <w:sz w:val="24"/>
                <w:szCs w:val="24"/>
                <w:lang w:val="pt-BR" w:eastAsia="zh-CN" w:bidi="hi-IN"/>
              </w:rPr>
              <w:t>Associação Brasileira de Normas Técnicas</w:t>
            </w:r>
          </w:p>
        </w:tc>
      </w:tr>
      <w:tr>
        <w:trPr/>
        <w:tc>
          <w:tcPr>
            <w:tcW w:w="4095" w:type="dxa"/>
            <w:tcBorders/>
          </w:tcPr>
          <w:p>
            <w:pPr>
              <w:pStyle w:val="normal1"/>
              <w:suppressAutoHyphens w:val="true"/>
              <w:spacing w:lineRule="auto" w:line="240" w:before="0" w:after="0"/>
              <w:ind w:hanging="0"/>
              <w:jc w:val="left"/>
              <w:rPr>
                <w:lang w:val="pt-BR"/>
              </w:rPr>
            </w:pPr>
            <w:r>
              <w:rPr>
                <w:rFonts w:eastAsia="Times New Roman" w:cs="Times New Roman"/>
                <w:b/>
                <w:bCs/>
                <w:kern w:val="0"/>
                <w:sz w:val="24"/>
                <w:szCs w:val="24"/>
                <w:lang w:val="pt-BR" w:eastAsia="zh-CN" w:bidi="hi-IN"/>
              </w:rPr>
              <w:t>COCO</w:t>
            </w:r>
          </w:p>
        </w:tc>
        <w:tc>
          <w:tcPr>
            <w:tcW w:w="4124" w:type="dxa"/>
            <w:tcBorders/>
          </w:tcPr>
          <w:p>
            <w:pPr>
              <w:pStyle w:val="normal1"/>
              <w:suppressAutoHyphens w:val="true"/>
              <w:spacing w:lineRule="auto" w:line="240" w:before="0" w:after="0"/>
              <w:ind w:hanging="0"/>
              <w:jc w:val="left"/>
              <w:rPr>
                <w:lang w:val="pt-BR"/>
              </w:rPr>
            </w:pPr>
            <w:r>
              <w:rPr>
                <w:rFonts w:eastAsia="Times New Roman" w:cs="Times New Roman"/>
                <w:kern w:val="0"/>
                <w:sz w:val="24"/>
                <w:szCs w:val="24"/>
                <w:lang w:val="pt-BR" w:eastAsia="zh-CN" w:bidi="hi-IN"/>
              </w:rPr>
              <w:t>Common Objects in Context</w:t>
            </w:r>
          </w:p>
        </w:tc>
      </w:tr>
      <w:tr>
        <w:trPr/>
        <w:tc>
          <w:tcPr>
            <w:tcW w:w="4095" w:type="dxa"/>
            <w:tcBorders/>
          </w:tcPr>
          <w:p>
            <w:pPr>
              <w:pStyle w:val="normal1"/>
              <w:suppressAutoHyphens w:val="true"/>
              <w:spacing w:lineRule="auto" w:line="240" w:before="0" w:after="0"/>
              <w:ind w:hanging="0"/>
              <w:jc w:val="left"/>
              <w:rPr>
                <w:lang w:val="pt-BR"/>
              </w:rPr>
            </w:pPr>
            <w:r>
              <w:rPr>
                <w:rFonts w:eastAsia="Times New Roman" w:cs="Times New Roman"/>
                <w:b/>
                <w:bCs/>
                <w:kern w:val="0"/>
                <w:sz w:val="24"/>
                <w:szCs w:val="24"/>
                <w:lang w:val="pt-BR" w:eastAsia="zh-CN" w:bidi="hi-IN"/>
              </w:rPr>
              <w:t>CUDA</w:t>
            </w:r>
          </w:p>
        </w:tc>
        <w:tc>
          <w:tcPr>
            <w:tcW w:w="4124" w:type="dxa"/>
            <w:tcBorders/>
          </w:tcPr>
          <w:p>
            <w:pPr>
              <w:pStyle w:val="normal1"/>
              <w:suppressAutoHyphens w:val="true"/>
              <w:spacing w:lineRule="auto" w:line="240" w:before="0" w:after="0"/>
              <w:ind w:hanging="0"/>
              <w:jc w:val="left"/>
              <w:rPr>
                <w:lang w:val="pt-BR"/>
              </w:rPr>
            </w:pPr>
            <w:r>
              <w:rPr>
                <w:rFonts w:eastAsia="Times New Roman" w:cs="Times New Roman"/>
                <w:kern w:val="0"/>
                <w:sz w:val="24"/>
                <w:szCs w:val="24"/>
                <w:lang w:val="pt-BR" w:eastAsia="zh-CN" w:bidi="hi-IN"/>
              </w:rPr>
              <w:t>Compute Unified Device Architecture</w:t>
            </w:r>
          </w:p>
        </w:tc>
      </w:tr>
      <w:tr>
        <w:trPr/>
        <w:tc>
          <w:tcPr>
            <w:tcW w:w="4095" w:type="dxa"/>
            <w:tcBorders/>
          </w:tcPr>
          <w:p>
            <w:pPr>
              <w:pStyle w:val="normal1"/>
              <w:suppressAutoHyphens w:val="true"/>
              <w:spacing w:lineRule="auto" w:line="240" w:before="0" w:after="0"/>
              <w:ind w:hanging="0"/>
              <w:jc w:val="left"/>
              <w:rPr>
                <w:lang w:val="pt-BR"/>
              </w:rPr>
            </w:pPr>
            <w:r>
              <w:rPr>
                <w:rFonts w:eastAsia="Times New Roman" w:cs="Times New Roman"/>
                <w:b/>
                <w:bCs/>
                <w:kern w:val="0"/>
                <w:sz w:val="24"/>
                <w:szCs w:val="24"/>
                <w:lang w:val="pt-BR" w:eastAsia="zh-CN" w:bidi="hi-IN"/>
              </w:rPr>
              <w:t>F1-score</w:t>
            </w:r>
          </w:p>
        </w:tc>
        <w:tc>
          <w:tcPr>
            <w:tcW w:w="4124" w:type="dxa"/>
            <w:tcBorders/>
          </w:tcPr>
          <w:p>
            <w:pPr>
              <w:pStyle w:val="normal1"/>
              <w:suppressAutoHyphens w:val="true"/>
              <w:spacing w:lineRule="auto" w:line="240" w:before="0" w:after="0"/>
              <w:ind w:hanging="0"/>
              <w:jc w:val="left"/>
              <w:rPr>
                <w:lang w:val="pt-BR"/>
              </w:rPr>
            </w:pPr>
            <w:r>
              <w:rPr>
                <w:rFonts w:eastAsia="Times New Roman" w:cs="Times New Roman"/>
                <w:kern w:val="0"/>
                <w:sz w:val="24"/>
                <w:szCs w:val="24"/>
                <w:lang w:val="pt-BR" w:eastAsia="zh-CN" w:bidi="hi-IN"/>
              </w:rPr>
              <w:t>Medida harmônica entre precisão e sensibilidade</w:t>
            </w:r>
          </w:p>
        </w:tc>
      </w:tr>
      <w:tr>
        <w:trPr/>
        <w:tc>
          <w:tcPr>
            <w:tcW w:w="4095" w:type="dxa"/>
            <w:tcBorders/>
          </w:tcPr>
          <w:p>
            <w:pPr>
              <w:pStyle w:val="normal1"/>
              <w:suppressAutoHyphens w:val="true"/>
              <w:spacing w:lineRule="auto" w:line="240" w:before="0" w:after="0"/>
              <w:ind w:hanging="0"/>
              <w:jc w:val="left"/>
              <w:rPr>
                <w:lang w:val="pt-BR"/>
              </w:rPr>
            </w:pPr>
            <w:r>
              <w:rPr>
                <w:rFonts w:eastAsia="Times New Roman" w:cs="Times New Roman"/>
                <w:b/>
                <w:bCs/>
                <w:kern w:val="0"/>
                <w:sz w:val="24"/>
                <w:szCs w:val="24"/>
                <w:lang w:val="pt-BR" w:eastAsia="zh-CN" w:bidi="hi-IN"/>
              </w:rPr>
              <w:t>GPU</w:t>
            </w:r>
          </w:p>
        </w:tc>
        <w:tc>
          <w:tcPr>
            <w:tcW w:w="4124" w:type="dxa"/>
            <w:tcBorders/>
          </w:tcPr>
          <w:p>
            <w:pPr>
              <w:pStyle w:val="normal1"/>
              <w:suppressAutoHyphens w:val="true"/>
              <w:spacing w:lineRule="auto" w:line="240" w:before="0" w:after="0"/>
              <w:ind w:hanging="0"/>
              <w:jc w:val="left"/>
              <w:rPr>
                <w:lang w:val="pt-BR"/>
              </w:rPr>
            </w:pPr>
            <w:r>
              <w:rPr>
                <w:rFonts w:eastAsia="Times New Roman" w:cs="Times New Roman"/>
                <w:kern w:val="0"/>
                <w:sz w:val="24"/>
                <w:szCs w:val="24"/>
                <w:lang w:val="pt-BR" w:eastAsia="zh-CN" w:bidi="hi-IN"/>
              </w:rPr>
              <w:t>Graphics Processing Unit</w:t>
            </w:r>
          </w:p>
        </w:tc>
      </w:tr>
      <w:tr>
        <w:trPr/>
        <w:tc>
          <w:tcPr>
            <w:tcW w:w="4095" w:type="dxa"/>
            <w:tcBorders/>
          </w:tcPr>
          <w:p>
            <w:pPr>
              <w:pStyle w:val="normal1"/>
              <w:suppressAutoHyphens w:val="true"/>
              <w:spacing w:lineRule="auto" w:line="240" w:before="0" w:after="0"/>
              <w:ind w:hanging="0"/>
              <w:jc w:val="left"/>
              <w:rPr>
                <w:lang w:val="pt-BR"/>
              </w:rPr>
            </w:pPr>
            <w:r>
              <w:rPr>
                <w:rFonts w:eastAsia="Times New Roman" w:cs="Times New Roman"/>
                <w:b/>
                <w:bCs/>
                <w:kern w:val="0"/>
                <w:sz w:val="24"/>
                <w:szCs w:val="24"/>
                <w:lang w:val="pt-BR" w:eastAsia="zh-CN" w:bidi="hi-IN"/>
              </w:rPr>
              <w:t>IA</w:t>
            </w:r>
          </w:p>
        </w:tc>
        <w:tc>
          <w:tcPr>
            <w:tcW w:w="4124" w:type="dxa"/>
            <w:tcBorders/>
          </w:tcPr>
          <w:p>
            <w:pPr>
              <w:pStyle w:val="normal1"/>
              <w:suppressAutoHyphens w:val="true"/>
              <w:spacing w:lineRule="auto" w:line="240" w:before="0" w:after="0"/>
              <w:ind w:hanging="0"/>
              <w:jc w:val="left"/>
              <w:rPr>
                <w:lang w:val="pt-BR"/>
              </w:rPr>
            </w:pPr>
            <w:r>
              <w:rPr>
                <w:rFonts w:eastAsia="Times New Roman" w:cs="Times New Roman"/>
                <w:kern w:val="0"/>
                <w:sz w:val="24"/>
                <w:szCs w:val="24"/>
                <w:lang w:val="pt-BR" w:eastAsia="zh-CN" w:bidi="hi-IN"/>
              </w:rPr>
              <w:t>Inteligência artificial</w:t>
            </w:r>
          </w:p>
        </w:tc>
      </w:tr>
      <w:tr>
        <w:trPr/>
        <w:tc>
          <w:tcPr>
            <w:tcW w:w="4095" w:type="dxa"/>
            <w:tcBorders/>
          </w:tcPr>
          <w:p>
            <w:pPr>
              <w:pStyle w:val="normal1"/>
              <w:suppressAutoHyphens w:val="true"/>
              <w:spacing w:lineRule="auto" w:line="240" w:before="0" w:after="0"/>
              <w:ind w:hanging="0"/>
              <w:jc w:val="left"/>
              <w:rPr>
                <w:lang w:val="pt-BR"/>
              </w:rPr>
            </w:pPr>
            <w:r>
              <w:rPr>
                <w:rFonts w:eastAsia="Times New Roman" w:cs="Times New Roman"/>
                <w:b/>
                <w:bCs/>
                <w:kern w:val="0"/>
                <w:sz w:val="24"/>
                <w:szCs w:val="24"/>
                <w:lang w:val="pt-BR" w:eastAsia="zh-CN" w:bidi="hi-IN"/>
              </w:rPr>
              <w:t>JSON</w:t>
            </w:r>
          </w:p>
        </w:tc>
        <w:tc>
          <w:tcPr>
            <w:tcW w:w="4124" w:type="dxa"/>
            <w:tcBorders/>
          </w:tcPr>
          <w:p>
            <w:pPr>
              <w:pStyle w:val="normal1"/>
              <w:suppressAutoHyphens w:val="true"/>
              <w:spacing w:lineRule="auto" w:line="240" w:before="0" w:after="0"/>
              <w:ind w:hanging="0"/>
              <w:jc w:val="left"/>
              <w:rPr>
                <w:lang w:val="pt-BR"/>
              </w:rPr>
            </w:pPr>
            <w:r>
              <w:rPr>
                <w:rFonts w:eastAsia="Times New Roman" w:cs="Times New Roman"/>
                <w:kern w:val="0"/>
                <w:sz w:val="24"/>
                <w:szCs w:val="24"/>
                <w:lang w:val="pt-BR" w:eastAsia="zh-CN" w:bidi="hi-IN"/>
              </w:rPr>
              <w:t>JavaScript Object Notation</w:t>
            </w:r>
          </w:p>
        </w:tc>
      </w:tr>
      <w:tr>
        <w:trPr/>
        <w:tc>
          <w:tcPr>
            <w:tcW w:w="4095" w:type="dxa"/>
            <w:tcBorders/>
          </w:tcPr>
          <w:p>
            <w:pPr>
              <w:pStyle w:val="normal1"/>
              <w:suppressAutoHyphens w:val="true"/>
              <w:spacing w:lineRule="auto" w:line="240" w:before="0" w:after="0"/>
              <w:ind w:hanging="0"/>
              <w:jc w:val="left"/>
              <w:rPr>
                <w:lang w:val="pt-BR"/>
              </w:rPr>
            </w:pPr>
            <w:r>
              <w:rPr>
                <w:rFonts w:eastAsia="Times New Roman" w:cs="Times New Roman"/>
                <w:b/>
                <w:bCs/>
                <w:kern w:val="0"/>
                <w:sz w:val="24"/>
                <w:szCs w:val="24"/>
                <w:lang w:val="pt-BR" w:eastAsia="zh-CN" w:bidi="hi-IN"/>
              </w:rPr>
              <w:t>MCC</w:t>
            </w:r>
          </w:p>
        </w:tc>
        <w:tc>
          <w:tcPr>
            <w:tcW w:w="4124" w:type="dxa"/>
            <w:tcBorders/>
          </w:tcPr>
          <w:p>
            <w:pPr>
              <w:pStyle w:val="normal1"/>
              <w:suppressAutoHyphens w:val="true"/>
              <w:spacing w:lineRule="auto" w:line="240" w:before="0" w:after="0"/>
              <w:ind w:hanging="0"/>
              <w:jc w:val="left"/>
              <w:rPr>
                <w:lang w:val="pt-BR"/>
              </w:rPr>
            </w:pPr>
            <w:r>
              <w:rPr>
                <w:rFonts w:eastAsia="Times New Roman" w:cs="Times New Roman"/>
                <w:kern w:val="0"/>
                <w:sz w:val="24"/>
                <w:szCs w:val="24"/>
                <w:lang w:val="pt-BR" w:eastAsia="zh-CN" w:bidi="hi-IN"/>
              </w:rPr>
              <w:t>Coeficiente de correlação de Matthews</w:t>
            </w:r>
          </w:p>
        </w:tc>
      </w:tr>
      <w:tr>
        <w:trPr/>
        <w:tc>
          <w:tcPr>
            <w:tcW w:w="4095" w:type="dxa"/>
            <w:tcBorders/>
          </w:tcPr>
          <w:p>
            <w:pPr>
              <w:pStyle w:val="normal1"/>
              <w:suppressAutoHyphens w:val="true"/>
              <w:spacing w:lineRule="auto" w:line="240" w:before="0" w:after="0"/>
              <w:ind w:hanging="0"/>
              <w:jc w:val="left"/>
              <w:rPr>
                <w:lang w:val="pt-BR"/>
              </w:rPr>
            </w:pPr>
            <w:r>
              <w:rPr>
                <w:rFonts w:eastAsia="Times New Roman" w:cs="Times New Roman"/>
                <w:b/>
                <w:bCs/>
                <w:kern w:val="0"/>
                <w:sz w:val="24"/>
                <w:szCs w:val="24"/>
                <w:lang w:val="pt-BR" w:eastAsia="zh-CN" w:bidi="hi-IN"/>
              </w:rPr>
              <w:t>PNRS</w:t>
            </w:r>
          </w:p>
        </w:tc>
        <w:tc>
          <w:tcPr>
            <w:tcW w:w="4124" w:type="dxa"/>
            <w:tcBorders/>
          </w:tcPr>
          <w:p>
            <w:pPr>
              <w:pStyle w:val="normal1"/>
              <w:suppressAutoHyphens w:val="true"/>
              <w:spacing w:lineRule="auto" w:line="240" w:before="0" w:after="0"/>
              <w:ind w:hanging="0"/>
              <w:jc w:val="left"/>
              <w:rPr>
                <w:lang w:val="pt-BR"/>
              </w:rPr>
            </w:pPr>
            <w:r>
              <w:rPr>
                <w:rFonts w:eastAsia="Times New Roman" w:cs="Times New Roman"/>
                <w:kern w:val="0"/>
                <w:sz w:val="24"/>
                <w:szCs w:val="24"/>
                <w:lang w:val="pt-BR" w:eastAsia="zh-CN" w:bidi="hi-IN"/>
              </w:rPr>
              <w:t>Política Nacional de Resíduos Sólidos</w:t>
            </w:r>
          </w:p>
        </w:tc>
      </w:tr>
      <w:tr>
        <w:trPr/>
        <w:tc>
          <w:tcPr>
            <w:tcW w:w="4095" w:type="dxa"/>
            <w:tcBorders/>
          </w:tcPr>
          <w:p>
            <w:pPr>
              <w:pStyle w:val="normal1"/>
              <w:suppressAutoHyphens w:val="true"/>
              <w:spacing w:lineRule="auto" w:line="240" w:before="0" w:after="0"/>
              <w:ind w:hanging="0"/>
              <w:jc w:val="left"/>
              <w:rPr>
                <w:lang w:val="pt-BR"/>
              </w:rPr>
            </w:pPr>
            <w:r>
              <w:rPr>
                <w:rFonts w:eastAsia="Times New Roman" w:cs="Times New Roman"/>
                <w:b/>
                <w:bCs/>
                <w:kern w:val="0"/>
                <w:sz w:val="24"/>
                <w:szCs w:val="24"/>
                <w:lang w:val="pt-BR" w:eastAsia="zh-CN" w:bidi="hi-IN"/>
              </w:rPr>
              <w:t>RSU</w:t>
            </w:r>
          </w:p>
        </w:tc>
        <w:tc>
          <w:tcPr>
            <w:tcW w:w="4124" w:type="dxa"/>
            <w:tcBorders/>
          </w:tcPr>
          <w:p>
            <w:pPr>
              <w:pStyle w:val="normal1"/>
              <w:suppressAutoHyphens w:val="true"/>
              <w:spacing w:lineRule="auto" w:line="240" w:before="0" w:after="0"/>
              <w:ind w:hanging="0"/>
              <w:jc w:val="left"/>
              <w:rPr>
                <w:lang w:val="pt-BR"/>
              </w:rPr>
            </w:pPr>
            <w:r>
              <w:rPr>
                <w:rFonts w:eastAsia="Times New Roman" w:cs="Times New Roman"/>
                <w:kern w:val="0"/>
                <w:sz w:val="24"/>
                <w:szCs w:val="24"/>
                <w:lang w:val="pt-BR" w:eastAsia="zh-CN" w:bidi="hi-IN"/>
              </w:rPr>
              <w:t>Resíduos sólidos urbanos</w:t>
            </w:r>
          </w:p>
        </w:tc>
      </w:tr>
      <w:tr>
        <w:trPr/>
        <w:tc>
          <w:tcPr>
            <w:tcW w:w="4095" w:type="dxa"/>
            <w:tcBorders/>
          </w:tcPr>
          <w:p>
            <w:pPr>
              <w:pStyle w:val="normal1"/>
              <w:suppressAutoHyphens w:val="true"/>
              <w:spacing w:lineRule="auto" w:line="240" w:before="0" w:after="0"/>
              <w:ind w:hanging="0"/>
              <w:jc w:val="left"/>
              <w:rPr>
                <w:lang w:val="pt-BR"/>
              </w:rPr>
            </w:pPr>
            <w:r>
              <w:rPr>
                <w:rFonts w:eastAsia="Times New Roman" w:cs="Times New Roman"/>
                <w:b/>
                <w:bCs/>
                <w:kern w:val="0"/>
                <w:sz w:val="24"/>
                <w:szCs w:val="24"/>
                <w:lang w:val="pt-BR" w:eastAsia="zh-CN" w:bidi="hi-IN"/>
              </w:rPr>
              <w:t>TACO</w:t>
            </w:r>
          </w:p>
        </w:tc>
        <w:tc>
          <w:tcPr>
            <w:tcW w:w="4124" w:type="dxa"/>
            <w:tcBorders/>
          </w:tcPr>
          <w:p>
            <w:pPr>
              <w:pStyle w:val="normal1"/>
              <w:suppressAutoHyphens w:val="true"/>
              <w:spacing w:lineRule="auto" w:line="240" w:before="0" w:after="0"/>
              <w:ind w:hanging="0"/>
              <w:jc w:val="left"/>
              <w:rPr>
                <w:lang w:val="pt-BR"/>
              </w:rPr>
            </w:pPr>
            <w:r>
              <w:rPr>
                <w:rFonts w:eastAsia="Times New Roman" w:cs="Times New Roman"/>
                <w:kern w:val="0"/>
                <w:sz w:val="24"/>
                <w:szCs w:val="24"/>
                <w:lang w:val="pt-BR" w:eastAsia="zh-CN" w:bidi="hi-IN"/>
              </w:rPr>
              <w:t>Trash Annotations in Context</w:t>
            </w:r>
          </w:p>
        </w:tc>
      </w:tr>
      <w:tr>
        <w:trPr/>
        <w:tc>
          <w:tcPr>
            <w:tcW w:w="4095" w:type="dxa"/>
            <w:tcBorders/>
          </w:tcPr>
          <w:p>
            <w:pPr>
              <w:pStyle w:val="normal1"/>
              <w:suppressAutoHyphens w:val="true"/>
              <w:spacing w:lineRule="auto" w:line="240" w:before="0" w:after="0"/>
              <w:ind w:hanging="0"/>
              <w:jc w:val="left"/>
              <w:rPr>
                <w:lang w:val="pt-BR"/>
              </w:rPr>
            </w:pPr>
            <w:r>
              <w:rPr>
                <w:rFonts w:eastAsia="Times New Roman" w:cs="Times New Roman"/>
                <w:b/>
                <w:bCs/>
                <w:kern w:val="0"/>
                <w:sz w:val="24"/>
                <w:szCs w:val="24"/>
                <w:lang w:val="pt-BR" w:eastAsia="zh-CN" w:bidi="hi-IN"/>
              </w:rPr>
              <w:t>VLM</w:t>
            </w:r>
          </w:p>
        </w:tc>
        <w:tc>
          <w:tcPr>
            <w:tcW w:w="4124" w:type="dxa"/>
            <w:tcBorders/>
          </w:tcPr>
          <w:p>
            <w:pPr>
              <w:pStyle w:val="normal1"/>
              <w:suppressAutoHyphens w:val="true"/>
              <w:spacing w:lineRule="auto" w:line="240" w:before="0" w:after="0"/>
              <w:ind w:hanging="0"/>
              <w:jc w:val="left"/>
              <w:rPr>
                <w:lang w:val="pt-BR"/>
              </w:rPr>
            </w:pPr>
            <w:r>
              <w:rPr>
                <w:rFonts w:eastAsia="Times New Roman" w:cs="Times New Roman"/>
                <w:kern w:val="0"/>
                <w:sz w:val="24"/>
                <w:szCs w:val="24"/>
                <w:lang w:val="pt-BR" w:eastAsia="zh-CN" w:bidi="hi-IN"/>
              </w:rPr>
              <w:t>Vision-Language Model</w:t>
            </w:r>
          </w:p>
        </w:tc>
      </w:tr>
      <w:tr>
        <w:trPr/>
        <w:tc>
          <w:tcPr>
            <w:tcW w:w="4095" w:type="dxa"/>
            <w:tcBorders/>
          </w:tcPr>
          <w:p>
            <w:pPr>
              <w:pStyle w:val="normal1"/>
              <w:suppressAutoHyphens w:val="true"/>
              <w:spacing w:lineRule="auto" w:line="240" w:before="0" w:after="0"/>
              <w:ind w:hanging="0"/>
              <w:jc w:val="left"/>
              <w:rPr>
                <w:lang w:val="pt-BR"/>
              </w:rPr>
            </w:pPr>
            <w:r>
              <w:rPr>
                <w:rFonts w:eastAsia="Times New Roman" w:cs="Times New Roman"/>
                <w:b/>
                <w:bCs/>
                <w:kern w:val="0"/>
                <w:sz w:val="24"/>
                <w:szCs w:val="24"/>
                <w:lang w:val="pt-BR" w:eastAsia="zh-CN" w:bidi="hi-IN"/>
              </w:rPr>
              <w:t>YOLO</w:t>
            </w:r>
          </w:p>
        </w:tc>
        <w:tc>
          <w:tcPr>
            <w:tcW w:w="4124" w:type="dxa"/>
            <w:tcBorders/>
          </w:tcPr>
          <w:p>
            <w:pPr>
              <w:pStyle w:val="normal1"/>
              <w:suppressAutoHyphens w:val="true"/>
              <w:spacing w:lineRule="auto" w:line="240" w:before="0" w:after="0"/>
              <w:ind w:hanging="0"/>
              <w:jc w:val="left"/>
              <w:rPr>
                <w:lang w:val="pt-BR"/>
              </w:rPr>
            </w:pPr>
            <w:r>
              <w:rPr>
                <w:rFonts w:eastAsia="Times New Roman" w:cs="Times New Roman"/>
                <w:kern w:val="0"/>
                <w:sz w:val="24"/>
                <w:szCs w:val="24"/>
                <w:lang w:val="pt-BR" w:eastAsia="zh-CN" w:bidi="hi-IN"/>
              </w:rPr>
              <w:t>You Only Look Once</w:t>
            </w:r>
          </w:p>
        </w:tc>
      </w:tr>
    </w:tbl>
    <w:p>
      <w:pPr>
        <w:pStyle w:val="normal1"/>
        <w:rPr>
          <w:lang w:val="pt-BR"/>
        </w:rPr>
      </w:pPr>
      <w:r>
        <w:rPr>
          <w:lang w:val="pt-BR"/>
        </w:rPr>
      </w:r>
      <w:r>
        <w:br w:type="page"/>
      </w:r>
    </w:p>
    <w:p>
      <w:pPr>
        <w:pStyle w:val="normal1"/>
        <w:spacing w:before="0" w:after="0"/>
        <w:ind w:hanging="0"/>
        <w:jc w:val="center"/>
        <w:rPr>
          <w:lang w:val="pt-BR"/>
        </w:rPr>
      </w:pPr>
      <w:r>
        <w:rPr>
          <w:rFonts w:eastAsia="Times New Roman" w:cs="Times New Roman"/>
          <w:b/>
          <w:bCs/>
          <w:lang w:val="pt-BR"/>
        </w:rPr>
        <w:t>SUMÁRIO</w:t>
      </w:r>
    </w:p>
    <w:p>
      <w:pPr>
        <w:pStyle w:val="normal1"/>
        <w:tabs>
          <w:tab w:val="clear" w:pos="720"/>
          <w:tab w:val="right" w:pos="8957" w:leader="none"/>
        </w:tabs>
        <w:ind w:hanging="0"/>
        <w:jc w:val="left"/>
        <w:rPr>
          <w:lang w:val="pt-BR"/>
        </w:rPr>
      </w:pPr>
      <w:r>
        <w:rPr>
          <w:rFonts w:eastAsia="Times New Roman" w:cs="Times New Roman"/>
          <w:lang w:val="pt-BR"/>
        </w:rPr>
        <w:t>1 INTRODUÇÃO</w:t>
        <w:tab/>
        <w:t>13</w:t>
      </w:r>
    </w:p>
    <w:p>
      <w:pPr>
        <w:pStyle w:val="normal1"/>
        <w:tabs>
          <w:tab w:val="clear" w:pos="720"/>
          <w:tab w:val="right" w:pos="8957" w:leader="none"/>
        </w:tabs>
        <w:ind w:hanging="0"/>
        <w:jc w:val="left"/>
        <w:rPr>
          <w:lang w:val="pt-BR"/>
        </w:rPr>
      </w:pPr>
      <w:r>
        <w:rPr>
          <w:rFonts w:eastAsia="Times New Roman" w:cs="Times New Roman"/>
          <w:lang w:val="pt-BR"/>
        </w:rPr>
        <w:t>2 REFERENCIAL TEÓRICO</w:t>
        <w:tab/>
        <w:t>16</w:t>
      </w:r>
    </w:p>
    <w:p>
      <w:pPr>
        <w:pStyle w:val="normal1"/>
        <w:tabs>
          <w:tab w:val="clear" w:pos="720"/>
          <w:tab w:val="right" w:pos="8957" w:leader="none"/>
        </w:tabs>
        <w:ind w:hanging="0" w:left="425"/>
        <w:jc w:val="left"/>
        <w:rPr>
          <w:lang w:val="pt-BR"/>
        </w:rPr>
      </w:pPr>
      <w:r>
        <w:rPr>
          <w:rFonts w:eastAsia="Times New Roman" w:cs="Times New Roman"/>
          <w:lang w:val="pt-BR"/>
        </w:rPr>
        <w:t>2.1 Gestão pública, resíduos sólidos urbanos e produção de informações</w:t>
        <w:tab/>
        <w:t>16</w:t>
      </w:r>
    </w:p>
    <w:p>
      <w:pPr>
        <w:pStyle w:val="normal1"/>
        <w:tabs>
          <w:tab w:val="clear" w:pos="720"/>
          <w:tab w:val="right" w:pos="8957" w:leader="none"/>
        </w:tabs>
        <w:ind w:hanging="0" w:left="425"/>
        <w:jc w:val="left"/>
        <w:rPr>
          <w:lang w:val="pt-BR"/>
        </w:rPr>
      </w:pPr>
      <w:r>
        <w:rPr>
          <w:rFonts w:eastAsia="Times New Roman" w:cs="Times New Roman"/>
          <w:lang w:val="pt-BR"/>
        </w:rPr>
        <w:t>2.2 Inteligência artificial, transformação digital e governança pública</w:t>
        <w:tab/>
        <w:t>18</w:t>
      </w:r>
    </w:p>
    <w:p>
      <w:pPr>
        <w:pStyle w:val="normal1"/>
        <w:tabs>
          <w:tab w:val="clear" w:pos="720"/>
          <w:tab w:val="right" w:pos="8957" w:leader="none"/>
        </w:tabs>
        <w:ind w:hanging="0" w:left="425"/>
        <w:jc w:val="left"/>
        <w:rPr>
          <w:lang w:val="pt-BR"/>
        </w:rPr>
      </w:pPr>
      <w:r>
        <w:rPr>
          <w:rFonts w:eastAsia="Times New Roman" w:cs="Times New Roman"/>
          <w:lang w:val="pt-BR"/>
        </w:rPr>
        <w:t>2.3 Visão computacional e detecção de objetos</w:t>
        <w:tab/>
        <w:t>20</w:t>
      </w:r>
    </w:p>
    <w:p>
      <w:pPr>
        <w:pStyle w:val="normal1"/>
        <w:tabs>
          <w:tab w:val="clear" w:pos="720"/>
          <w:tab w:val="right" w:pos="8957" w:leader="none"/>
        </w:tabs>
        <w:ind w:hanging="0" w:left="425"/>
        <w:jc w:val="left"/>
        <w:rPr>
          <w:lang w:val="pt-BR"/>
        </w:rPr>
      </w:pPr>
      <w:r>
        <w:rPr>
          <w:rFonts w:eastAsia="Times New Roman" w:cs="Times New Roman"/>
          <w:lang w:val="pt-BR"/>
        </w:rPr>
        <w:t>2.4 Detecção automatizada de resíduos urbanos</w:t>
        <w:tab/>
        <w:t>22</w:t>
      </w:r>
    </w:p>
    <w:p>
      <w:pPr>
        <w:pStyle w:val="normal1"/>
        <w:tabs>
          <w:tab w:val="clear" w:pos="720"/>
          <w:tab w:val="right" w:pos="8957" w:leader="none"/>
        </w:tabs>
        <w:ind w:hanging="0" w:left="425"/>
        <w:jc w:val="left"/>
        <w:rPr>
          <w:lang w:val="pt-BR"/>
        </w:rPr>
      </w:pPr>
      <w:r>
        <w:rPr>
          <w:rFonts w:eastAsia="Times New Roman" w:cs="Times New Roman"/>
          <w:lang w:val="pt-BR"/>
        </w:rPr>
        <w:t>2.5 Modelos visão-linguagem e classificação zero-shot</w:t>
        <w:tab/>
        <w:t>23</w:t>
      </w:r>
    </w:p>
    <w:p>
      <w:pPr>
        <w:pStyle w:val="normal1"/>
        <w:tabs>
          <w:tab w:val="clear" w:pos="720"/>
          <w:tab w:val="right" w:pos="8957" w:leader="none"/>
        </w:tabs>
        <w:ind w:hanging="0"/>
        <w:jc w:val="left"/>
        <w:rPr>
          <w:lang w:val="pt-BR"/>
        </w:rPr>
      </w:pPr>
      <w:r>
        <w:rPr>
          <w:rFonts w:eastAsia="Times New Roman" w:cs="Times New Roman"/>
          <w:lang w:val="pt-BR"/>
        </w:rPr>
        <w:t>3 METODOLOGIA</w:t>
        <w:tab/>
        <w:t>27</w:t>
      </w:r>
    </w:p>
    <w:p>
      <w:pPr>
        <w:pStyle w:val="normal1"/>
        <w:tabs>
          <w:tab w:val="clear" w:pos="720"/>
          <w:tab w:val="right" w:pos="8957" w:leader="none"/>
        </w:tabs>
        <w:ind w:hanging="0" w:left="425"/>
        <w:jc w:val="left"/>
        <w:rPr>
          <w:lang w:val="pt-BR"/>
        </w:rPr>
      </w:pPr>
      <w:r>
        <w:rPr>
          <w:rFonts w:eastAsia="Times New Roman" w:cs="Times New Roman"/>
          <w:lang w:val="pt-BR"/>
        </w:rPr>
        <w:t>3.1 Classificação da pesquisa</w:t>
        <w:tab/>
        <w:t>27</w:t>
      </w:r>
    </w:p>
    <w:p>
      <w:pPr>
        <w:pStyle w:val="normal1"/>
        <w:tabs>
          <w:tab w:val="clear" w:pos="720"/>
          <w:tab w:val="right" w:pos="8957" w:leader="none"/>
        </w:tabs>
        <w:ind w:hanging="0" w:left="425"/>
        <w:jc w:val="left"/>
        <w:rPr>
          <w:lang w:val="pt-BR"/>
        </w:rPr>
      </w:pPr>
      <w:r>
        <w:rPr>
          <w:rFonts w:eastAsia="Times New Roman" w:cs="Times New Roman"/>
          <w:lang w:val="pt-BR"/>
        </w:rPr>
        <w:t>3.2 Objeto de estudo e unidade de análise</w:t>
        <w:tab/>
        <w:t>28</w:t>
      </w:r>
    </w:p>
    <w:p>
      <w:pPr>
        <w:pStyle w:val="normal1"/>
        <w:tabs>
          <w:tab w:val="clear" w:pos="720"/>
          <w:tab w:val="right" w:pos="8957" w:leader="none"/>
        </w:tabs>
        <w:ind w:hanging="0" w:left="425"/>
        <w:jc w:val="left"/>
        <w:rPr>
          <w:lang w:val="pt-BR"/>
        </w:rPr>
      </w:pPr>
      <w:r>
        <w:rPr>
          <w:rFonts w:eastAsia="Times New Roman" w:cs="Times New Roman"/>
          <w:lang w:val="pt-BR"/>
        </w:rPr>
        <w:t>3.3 Modelos comparados</w:t>
        <w:tab/>
        <w:t>28</w:t>
      </w:r>
    </w:p>
    <w:p>
      <w:pPr>
        <w:pStyle w:val="normal1"/>
        <w:tabs>
          <w:tab w:val="clear" w:pos="720"/>
          <w:tab w:val="right" w:pos="8957" w:leader="none"/>
        </w:tabs>
        <w:ind w:hanging="0" w:left="425"/>
        <w:jc w:val="left"/>
        <w:rPr>
          <w:lang w:val="pt-BR"/>
        </w:rPr>
      </w:pPr>
      <w:r>
        <w:rPr>
          <w:rFonts w:eastAsia="Times New Roman" w:cs="Times New Roman"/>
          <w:lang w:val="pt-BR"/>
        </w:rPr>
        <w:t>3.4 Fontes de imagens e bases de dados utilizadas</w:t>
        <w:tab/>
        <w:t>29</w:t>
      </w:r>
    </w:p>
    <w:p>
      <w:pPr>
        <w:pStyle w:val="normal1"/>
        <w:tabs>
          <w:tab w:val="clear" w:pos="720"/>
          <w:tab w:val="right" w:pos="8957" w:leader="none"/>
        </w:tabs>
        <w:ind w:hanging="0" w:left="425"/>
        <w:jc w:val="left"/>
        <w:rPr>
          <w:lang w:val="pt-BR"/>
        </w:rPr>
      </w:pPr>
      <w:r>
        <w:rPr>
          <w:rFonts w:eastAsia="Times New Roman" w:cs="Times New Roman"/>
          <w:lang w:val="pt-BR"/>
        </w:rPr>
        <w:t>3.5 Critérios éticos, privacidade e uso das imagens</w:t>
        <w:tab/>
        <w:t>31</w:t>
      </w:r>
    </w:p>
    <w:p>
      <w:pPr>
        <w:pStyle w:val="normal1"/>
        <w:tabs>
          <w:tab w:val="clear" w:pos="720"/>
          <w:tab w:val="right" w:pos="8957" w:leader="none"/>
        </w:tabs>
        <w:ind w:hanging="0" w:left="425"/>
        <w:jc w:val="left"/>
        <w:rPr>
          <w:lang w:val="pt-BR"/>
        </w:rPr>
      </w:pPr>
      <w:r>
        <w:rPr>
          <w:rFonts w:eastAsia="Times New Roman" w:cs="Times New Roman"/>
          <w:lang w:val="pt-BR"/>
        </w:rPr>
        <w:t>3.6 Preparação e padronização dos dados</w:t>
        <w:tab/>
        <w:t>32</w:t>
      </w:r>
    </w:p>
    <w:p>
      <w:pPr>
        <w:pStyle w:val="normal1"/>
        <w:tabs>
          <w:tab w:val="clear" w:pos="720"/>
          <w:tab w:val="right" w:pos="8957" w:leader="none"/>
        </w:tabs>
        <w:ind w:hanging="0" w:left="425"/>
        <w:jc w:val="left"/>
        <w:rPr>
          <w:lang w:val="pt-BR"/>
        </w:rPr>
      </w:pPr>
      <w:r>
        <w:rPr>
          <w:rFonts w:eastAsia="Times New Roman" w:cs="Times New Roman"/>
          <w:lang w:val="pt-BR"/>
        </w:rPr>
        <w:t>3.7 Treinamento do YOLOv11m</w:t>
        <w:tab/>
        <w:t>34</w:t>
      </w:r>
    </w:p>
    <w:p>
      <w:pPr>
        <w:pStyle w:val="normal1"/>
        <w:tabs>
          <w:tab w:val="clear" w:pos="720"/>
          <w:tab w:val="right" w:pos="8957" w:leader="none"/>
        </w:tabs>
        <w:ind w:hanging="0" w:left="425"/>
        <w:jc w:val="left"/>
        <w:rPr>
          <w:lang w:val="pt-BR"/>
        </w:rPr>
      </w:pPr>
      <w:r>
        <w:rPr>
          <w:rFonts w:eastAsia="Times New Roman" w:cs="Times New Roman"/>
          <w:lang w:val="pt-BR"/>
        </w:rPr>
        <w:t>3.8 Inferência com Gemma 3 27B-IT</w:t>
        <w:tab/>
        <w:t>35</w:t>
      </w:r>
    </w:p>
    <w:p>
      <w:pPr>
        <w:pStyle w:val="normal1"/>
        <w:tabs>
          <w:tab w:val="clear" w:pos="720"/>
          <w:tab w:val="right" w:pos="8957" w:leader="none"/>
        </w:tabs>
        <w:ind w:hanging="0" w:left="425"/>
        <w:jc w:val="left"/>
        <w:rPr>
          <w:lang w:val="pt-BR"/>
        </w:rPr>
      </w:pPr>
      <w:r>
        <w:rPr>
          <w:rFonts w:eastAsia="Times New Roman" w:cs="Times New Roman"/>
          <w:lang w:val="pt-BR"/>
        </w:rPr>
        <w:t>3.9 Métricas de avaliação</w:t>
        <w:tab/>
        <w:t>35</w:t>
      </w:r>
    </w:p>
    <w:p>
      <w:pPr>
        <w:pStyle w:val="normal1"/>
        <w:tabs>
          <w:tab w:val="clear" w:pos="720"/>
          <w:tab w:val="right" w:pos="8957" w:leader="none"/>
        </w:tabs>
        <w:ind w:hanging="0" w:left="425"/>
        <w:jc w:val="left"/>
        <w:rPr>
          <w:lang w:val="pt-BR"/>
        </w:rPr>
      </w:pPr>
      <w:r>
        <w:rPr>
          <w:rFonts w:eastAsia="Times New Roman" w:cs="Times New Roman"/>
          <w:lang w:val="pt-BR"/>
        </w:rPr>
        <w:t>3.10 Critério de comparação</w:t>
        <w:tab/>
        <w:t>37</w:t>
      </w:r>
    </w:p>
    <w:p>
      <w:pPr>
        <w:pStyle w:val="normal1"/>
        <w:tabs>
          <w:tab w:val="clear" w:pos="720"/>
          <w:tab w:val="right" w:pos="8957" w:leader="none"/>
        </w:tabs>
        <w:ind w:hanging="0" w:left="425"/>
        <w:jc w:val="left"/>
        <w:rPr>
          <w:lang w:val="pt-BR"/>
        </w:rPr>
      </w:pPr>
      <w:r>
        <w:rPr>
          <w:rFonts w:eastAsia="Times New Roman" w:cs="Times New Roman"/>
          <w:lang w:val="pt-BR"/>
        </w:rPr>
        <w:t>3.11 Limitações metodológicas</w:t>
        <w:tab/>
        <w:t>37</w:t>
      </w:r>
    </w:p>
    <w:p>
      <w:pPr>
        <w:pStyle w:val="normal1"/>
        <w:tabs>
          <w:tab w:val="clear" w:pos="720"/>
          <w:tab w:val="right" w:pos="8957" w:leader="none"/>
        </w:tabs>
        <w:ind w:hanging="0"/>
        <w:jc w:val="left"/>
        <w:rPr>
          <w:lang w:val="pt-BR"/>
        </w:rPr>
      </w:pPr>
      <w:r>
        <w:rPr>
          <w:rFonts w:eastAsia="Times New Roman" w:cs="Times New Roman"/>
          <w:lang w:val="pt-BR"/>
        </w:rPr>
        <w:t>4 RESULTADOS E DISCUSSÃO</w:t>
        <w:tab/>
        <w:t>40</w:t>
      </w:r>
    </w:p>
    <w:p>
      <w:pPr>
        <w:pStyle w:val="normal1"/>
        <w:tabs>
          <w:tab w:val="clear" w:pos="720"/>
          <w:tab w:val="right" w:pos="8957" w:leader="none"/>
        </w:tabs>
        <w:ind w:hanging="0" w:left="425"/>
        <w:jc w:val="left"/>
        <w:rPr>
          <w:lang w:val="pt-BR"/>
        </w:rPr>
      </w:pPr>
      <w:r>
        <w:rPr>
          <w:rFonts w:eastAsia="Times New Roman" w:cs="Times New Roman"/>
          <w:lang w:val="pt-BR"/>
        </w:rPr>
        <w:t>4.1 Caracterização do experimento</w:t>
        <w:tab/>
        <w:t>40</w:t>
      </w:r>
    </w:p>
    <w:p>
      <w:pPr>
        <w:pStyle w:val="normal1"/>
        <w:tabs>
          <w:tab w:val="clear" w:pos="720"/>
          <w:tab w:val="right" w:pos="8957" w:leader="none"/>
        </w:tabs>
        <w:ind w:hanging="0" w:left="425"/>
        <w:jc w:val="left"/>
        <w:rPr>
          <w:lang w:val="pt-BR"/>
        </w:rPr>
      </w:pPr>
      <w:r>
        <w:rPr>
          <w:rFonts w:eastAsia="Times New Roman" w:cs="Times New Roman"/>
          <w:lang w:val="pt-BR"/>
        </w:rPr>
        <w:t>4.2 Composição e integridade dos dados</w:t>
        <w:tab/>
        <w:t>41</w:t>
      </w:r>
    </w:p>
    <w:p>
      <w:pPr>
        <w:pStyle w:val="normal1"/>
        <w:tabs>
          <w:tab w:val="clear" w:pos="720"/>
          <w:tab w:val="right" w:pos="8957" w:leader="none"/>
        </w:tabs>
        <w:ind w:hanging="0" w:left="425"/>
        <w:jc w:val="left"/>
        <w:rPr>
          <w:lang w:val="pt-BR"/>
        </w:rPr>
      </w:pPr>
      <w:r>
        <w:rPr>
          <w:rFonts w:eastAsia="Times New Roman" w:cs="Times New Roman"/>
          <w:lang w:val="pt-BR"/>
        </w:rPr>
        <w:t>4.3 Desempenho preditivo dos modelos</w:t>
        <w:tab/>
        <w:t>43</w:t>
      </w:r>
    </w:p>
    <w:p>
      <w:pPr>
        <w:pStyle w:val="normal1"/>
        <w:tabs>
          <w:tab w:val="clear" w:pos="720"/>
          <w:tab w:val="right" w:pos="8957" w:leader="none"/>
        </w:tabs>
        <w:ind w:hanging="0" w:left="425"/>
        <w:jc w:val="left"/>
        <w:rPr>
          <w:lang w:val="pt-BR"/>
        </w:rPr>
      </w:pPr>
      <w:r>
        <w:rPr>
          <w:rFonts w:eastAsia="Times New Roman" w:cs="Times New Roman"/>
          <w:lang w:val="pt-BR"/>
        </w:rPr>
        <w:t>4.4 Significância estatística dos resultados</w:t>
        <w:tab/>
        <w:t>46</w:t>
      </w:r>
    </w:p>
    <w:p>
      <w:pPr>
        <w:pStyle w:val="normal1"/>
        <w:tabs>
          <w:tab w:val="clear" w:pos="720"/>
          <w:tab w:val="right" w:pos="8957" w:leader="none"/>
        </w:tabs>
        <w:ind w:hanging="0" w:left="425"/>
        <w:jc w:val="left"/>
        <w:rPr>
          <w:lang w:val="pt-BR"/>
        </w:rPr>
      </w:pPr>
      <w:r>
        <w:rPr>
          <w:rFonts w:eastAsia="Times New Roman" w:cs="Times New Roman"/>
          <w:lang w:val="pt-BR"/>
        </w:rPr>
        <w:t>4.5 Eficiência computacional</w:t>
        <w:tab/>
        <w:t>47</w:t>
      </w:r>
    </w:p>
    <w:p>
      <w:pPr>
        <w:pStyle w:val="normal1"/>
        <w:tabs>
          <w:tab w:val="clear" w:pos="720"/>
          <w:tab w:val="right" w:pos="8957" w:leader="none"/>
        </w:tabs>
        <w:ind w:hanging="0" w:left="425"/>
        <w:jc w:val="left"/>
        <w:rPr>
          <w:lang w:val="pt-BR"/>
        </w:rPr>
      </w:pPr>
      <w:r>
        <w:rPr>
          <w:rFonts w:eastAsia="Times New Roman" w:cs="Times New Roman"/>
          <w:lang w:val="pt-BR"/>
        </w:rPr>
        <w:t>4.6 Teste da hipótese de pesquisa</w:t>
        <w:tab/>
        <w:t>48</w:t>
      </w:r>
    </w:p>
    <w:p>
      <w:pPr>
        <w:pStyle w:val="normal1"/>
        <w:tabs>
          <w:tab w:val="clear" w:pos="720"/>
          <w:tab w:val="right" w:pos="8957" w:leader="none"/>
        </w:tabs>
        <w:ind w:hanging="0" w:left="425"/>
        <w:jc w:val="left"/>
        <w:rPr>
          <w:lang w:val="pt-BR"/>
        </w:rPr>
      </w:pPr>
      <w:r>
        <w:rPr>
          <w:rFonts w:eastAsia="Times New Roman" w:cs="Times New Roman"/>
          <w:lang w:val="pt-BR"/>
        </w:rPr>
        <w:t>4.7 Análise de erros e complementaridade entre os modelos</w:t>
        <w:tab/>
        <w:t>49</w:t>
      </w:r>
    </w:p>
    <w:p>
      <w:pPr>
        <w:pStyle w:val="normal1"/>
        <w:tabs>
          <w:tab w:val="clear" w:pos="720"/>
          <w:tab w:val="right" w:pos="8957" w:leader="none"/>
        </w:tabs>
        <w:ind w:hanging="0" w:left="425"/>
        <w:jc w:val="left"/>
        <w:rPr>
          <w:lang w:val="pt-BR"/>
        </w:rPr>
      </w:pPr>
      <w:r>
        <w:rPr>
          <w:rFonts w:eastAsia="Times New Roman" w:cs="Times New Roman"/>
          <w:lang w:val="pt-BR"/>
        </w:rPr>
        <w:t>4.8 Discussão dos resultados à luz do referencial teórico</w:t>
        <w:tab/>
        <w:t>54</w:t>
      </w:r>
    </w:p>
    <w:p>
      <w:pPr>
        <w:pStyle w:val="normal1"/>
        <w:tabs>
          <w:tab w:val="clear" w:pos="720"/>
          <w:tab w:val="right" w:pos="8957" w:leader="none"/>
        </w:tabs>
        <w:ind w:hanging="0" w:left="425"/>
        <w:jc w:val="left"/>
        <w:rPr>
          <w:lang w:val="pt-BR"/>
        </w:rPr>
      </w:pPr>
      <w:r>
        <w:rPr>
          <w:rFonts w:eastAsia="Times New Roman" w:cs="Times New Roman"/>
          <w:lang w:val="pt-BR"/>
        </w:rPr>
        <w:t>4.9 Viabilidade para a gestão pública</w:t>
        <w:tab/>
        <w:t>55</w:t>
      </w:r>
    </w:p>
    <w:p>
      <w:pPr>
        <w:pStyle w:val="normal1"/>
        <w:tabs>
          <w:tab w:val="clear" w:pos="720"/>
          <w:tab w:val="right" w:pos="8957" w:leader="none"/>
        </w:tabs>
        <w:ind w:hanging="0" w:left="425"/>
        <w:jc w:val="left"/>
        <w:rPr>
          <w:lang w:val="pt-BR"/>
        </w:rPr>
      </w:pPr>
      <w:r>
        <w:rPr>
          <w:rFonts w:eastAsia="Times New Roman" w:cs="Times New Roman"/>
          <w:lang w:val="pt-BR"/>
        </w:rPr>
        <w:t>4.10 Limitações dos resultados</w:t>
        <w:tab/>
        <w:t>58</w:t>
      </w:r>
    </w:p>
    <w:p>
      <w:pPr>
        <w:pStyle w:val="normal1"/>
        <w:tabs>
          <w:tab w:val="clear" w:pos="720"/>
          <w:tab w:val="right" w:pos="8957" w:leader="none"/>
        </w:tabs>
        <w:ind w:hanging="0" w:left="425"/>
        <w:jc w:val="left"/>
        <w:rPr>
          <w:lang w:val="pt-BR"/>
        </w:rPr>
      </w:pPr>
      <w:r>
        <w:rPr>
          <w:rFonts w:eastAsia="Times New Roman" w:cs="Times New Roman"/>
          <w:lang w:val="pt-BR"/>
        </w:rPr>
        <w:t>4.11 Síntese da discussão</w:t>
        <w:tab/>
        <w:t>59</w:t>
      </w:r>
    </w:p>
    <w:p>
      <w:pPr>
        <w:pStyle w:val="normal1"/>
        <w:tabs>
          <w:tab w:val="clear" w:pos="720"/>
          <w:tab w:val="right" w:pos="8957" w:leader="none"/>
        </w:tabs>
        <w:ind w:hanging="0"/>
        <w:jc w:val="left"/>
        <w:rPr>
          <w:lang w:val="pt-BR"/>
        </w:rPr>
      </w:pPr>
      <w:r>
        <w:rPr>
          <w:rFonts w:eastAsia="Times New Roman" w:cs="Times New Roman"/>
          <w:lang w:val="pt-BR"/>
        </w:rPr>
        <w:t>5 CONSIDERAÇÕES FINAIS</w:t>
        <w:tab/>
        <w:t>61</w:t>
      </w:r>
    </w:p>
    <w:p>
      <w:p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701" w:right="1134" w:gutter="0" w:header="709" w:top="1701" w:footer="709" w:bottom="1134"/>
          <w:pgNumType w:start="14" w:fmt="decimal"/>
          <w:formProt w:val="false"/>
          <w:textDirection w:val="lrTb"/>
          <w:docGrid w:type="default" w:linePitch="100" w:charSpace="0"/>
        </w:sectPr>
        <w:pStyle w:val="normal1"/>
        <w:tabs>
          <w:tab w:val="clear" w:pos="720"/>
          <w:tab w:val="right" w:pos="8957" w:leader="none"/>
        </w:tabs>
        <w:ind w:hanging="0"/>
        <w:jc w:val="left"/>
        <w:rPr>
          <w:lang w:val="pt-BR"/>
        </w:rPr>
      </w:pPr>
      <w:r>
        <w:rPr>
          <w:rFonts w:eastAsia="Times New Roman" w:cs="Times New Roman"/>
          <w:lang w:val="pt-BR"/>
        </w:rPr>
        <w:t>REFERÊNCIAS</w:t>
        <w:tab/>
        <w:t>65</w:t>
      </w:r>
    </w:p>
    <w:p>
      <w:pPr>
        <w:pStyle w:val="Heading1"/>
        <w:numPr>
          <w:ilvl w:val="0"/>
          <w:numId w:val="1"/>
        </w:numPr>
        <w:rPr>
          <w:lang w:val="pt-BR"/>
        </w:rPr>
      </w:pPr>
      <w:r>
        <w:rPr>
          <w:lang w:val="pt-BR"/>
        </w:rPr>
        <w:t>1 INTRODUÇÃO</w:t>
      </w:r>
    </w:p>
    <w:p>
      <w:pPr>
        <w:pStyle w:val="BodyText"/>
        <w:widowControl w:val="false"/>
        <w:suppressAutoHyphens w:val="true"/>
        <w:bidi w:val="0"/>
        <w:ind w:firstLine="709"/>
        <w:jc w:val="both"/>
        <w:rPr>
          <w:lang w:val="pt-BR"/>
        </w:rPr>
      </w:pPr>
      <w:r>
        <w:rPr>
          <w:lang w:val="pt-BR"/>
        </w:rPr>
        <w:t>A gestão dos resíduos sólidos urbanos constitui um desafio relevante para a administração pública brasileira, pois envolve impactos ambientais, sanitários, operacionais e financeiros, além de demandar atenção contínua dos gestores municipais diante da complexidade dos serviços de limpeza urbana e manejo de resíduos sólidos (FERREIRA; BARROS, 2021). Nesse contexto, a Política Nacional de Resíduos Sólidos estabelece princípios e instrumentos para a gestão integrada e o gerenciamento ambientalmente adequado dos resíduos sólidos, reforçando a responsabilidade do poder público na organização desses serviços (BRASIL, 2010).</w:t>
      </w:r>
    </w:p>
    <w:p>
      <w:pPr>
        <w:pStyle w:val="BodyText"/>
        <w:widowControl w:val="false"/>
        <w:suppressAutoHyphens w:val="true"/>
        <w:bidi w:val="0"/>
        <w:ind w:firstLine="709"/>
        <w:jc w:val="both"/>
        <w:rPr>
          <w:lang w:val="pt-BR"/>
        </w:rPr>
      </w:pPr>
      <w:r>
        <w:rPr>
          <w:lang w:val="pt-BR"/>
        </w:rPr>
        <w:t>Além da dimensão ambiental, o manejo dos resíduos sólidos urbanos envolve custos, eficiência operacional e alocação de recursos públicos. Rodrigues, Magalhães Filho e Pereira (2016) demonstram que os custos dos resíduos sólidos urbanos nas capitais brasileiras dependem das formas de manejo e da organização assumida pelos municípios. Essa constatação reforça a importância de instrumentos de diagnóstico, monitoramento e controle capazes de apoiar decisões administrativas em serviços de limpeza urbana.</w:t>
      </w:r>
    </w:p>
    <w:p>
      <w:pPr>
        <w:pStyle w:val="BodyText"/>
        <w:widowControl w:val="false"/>
        <w:suppressAutoHyphens w:val="true"/>
        <w:bidi w:val="0"/>
        <w:ind w:firstLine="709"/>
        <w:jc w:val="both"/>
        <w:rPr>
          <w:lang w:val="pt-BR"/>
        </w:rPr>
      </w:pPr>
      <w:r>
        <w:rPr>
          <w:lang w:val="pt-BR"/>
        </w:rPr>
        <w:t>Nesse cenário, tecnologias digitais podem contribuir para ampliar a capacidade de diagnóstico urbano e apoiar a tomada de decisão. A inteligência artificial, especialmente quando associada à visão computacional, permite analisar imagens e identificar padrões visuais de interesse para a gestão pública, uma vez que métodos de visão computacional possibilitam a extração e interpretação de informações a partir de imagens e vídeos (Szeliski, 2022). Contudo, sua adoção não deve ser tratada como solução automática, pois depende de desempenho preditivo, eficiência computacional, confiabilidade dos resultados e adequação ao contexto institucional, aspectos relevantes na discussão sobre o uso de inteligência artificial no setor público (Zuiderwijk; Chen; Salem, 2021).</w:t>
      </w:r>
    </w:p>
    <w:p>
      <w:pPr>
        <w:pStyle w:val="BodyText"/>
        <w:widowControl w:val="false"/>
        <w:suppressAutoHyphens w:val="true"/>
        <w:bidi w:val="0"/>
        <w:ind w:firstLine="709"/>
        <w:jc w:val="both"/>
        <w:rPr/>
      </w:pPr>
      <w:r>
        <w:rPr>
          <w:lang w:val="pt-BR"/>
        </w:rPr>
        <w:t>A relevância desta pesquisa está em aproximar o debate sobre inteligência artificial das necessidades práticas da administração pública urbana. Estudos sobre detecção automatizada de resíduos indicam o potencial do aprendizado profundo em ambientes reais, mas também apontam desafios relacionados à complexidade das cenas urbanas, à variação de iluminação e à ocorrência de erros de classificação (Córdova et al., 2022). Por isso, a viabilidade da tecnologia deve ser discutida a partir do desempenho preditivo, da eficiência computacional e da possibilidade de uso responsável em processos administrativos.</w:t>
      </w:r>
    </w:p>
    <w:p>
      <w:pPr>
        <w:pStyle w:val="BodyText"/>
        <w:widowControl w:val="false"/>
        <w:suppressAutoHyphens w:val="true"/>
        <w:bidi w:val="0"/>
        <w:ind w:firstLine="709"/>
        <w:jc w:val="both"/>
        <w:rPr>
          <w:lang w:val="pt-BR"/>
        </w:rPr>
      </w:pPr>
      <w:r>
        <w:rPr>
          <w:lang w:val="pt-BR"/>
        </w:rPr>
        <w:t>Diante desse contexto, o presente Trabalho de Conclusão de Curso tem como tema a viabilidade da inteligência artificial no monitoramento de resíduos urbanos em vias públicas. O estudo delimitou-se à comparação entre o modelo YOLOv11m, utilizado como detector especializado de objetos, e o modelo Gemma 3 27B-IT, utilizado como modelo visão-linguagem generalista em modo zero-shot, a partir de imagens reais de ruas brasileiras.</w:t>
      </w:r>
    </w:p>
    <w:p>
      <w:pPr>
        <w:pStyle w:val="BodyText"/>
        <w:widowControl w:val="false"/>
        <w:suppressAutoHyphens w:val="true"/>
        <w:bidi w:val="0"/>
        <w:ind w:firstLine="709"/>
        <w:jc w:val="both"/>
        <w:rPr>
          <w:lang w:val="pt-BR"/>
        </w:rPr>
      </w:pPr>
      <w:r>
        <w:rPr>
          <w:lang w:val="pt-BR"/>
        </w:rPr>
        <w:t xml:space="preserve">A pesquisa partiu do seguinte problema: em que medida modelos de inteligência artificial são viáveis para apoiar o monitoramento de resíduos urbanos em vias públicas, considerando desempenho preditivo e eficiência computacional? Nesta pesquisa, a viabilidade foi operacionalmente compreendida como a capacidade de produzir classificações úteis ao monitoramento urbano, considerando desempenho preditivo, eficiência computacional, controle de erros, rastreabilidade visual e adequação administrativa. Partiu-se da hipótese provisória de que modelos especializados de detecção, como o YOLOv11m, tenderiam a apresentar maior viabilidade operacional quando comparados a modelos visão-linguagem generalistas em modo </w:t>
      </w:r>
      <w:r>
        <w:rPr>
          <w:i/>
          <w:iCs/>
          <w:lang w:val="pt-BR"/>
        </w:rPr>
        <w:t>zero-shot</w:t>
      </w:r>
      <w:r>
        <w:rPr>
          <w:lang w:val="pt-BR"/>
        </w:rPr>
        <w:t>, especialmente quanto à velocidade de inferência e ao controle de falsos positivos. Essa hipótese foi verificada a partir da análise dos resultados obtidos no experimento computacional.</w:t>
      </w:r>
    </w:p>
    <w:p>
      <w:pPr>
        <w:pStyle w:val="BodyText"/>
        <w:widowControl w:val="false"/>
        <w:suppressAutoHyphens w:val="true"/>
        <w:bidi w:val="0"/>
        <w:ind w:firstLine="709"/>
        <w:jc w:val="both"/>
        <w:rPr>
          <w:lang w:val="pt-BR"/>
        </w:rPr>
      </w:pPr>
      <w:r>
        <w:rPr>
          <w:lang w:val="pt-BR"/>
        </w:rPr>
        <w:t xml:space="preserve">O objetivo geral da pesquisa foi analisar a viabilidade do uso de inteligência artificial no monitoramento de resíduos urbanos em vias públicas, por meio da comparação entre os modelos YOLOv11m e Gemma 3 27B-IT em imagens reais de ruas brasileiras. Para alcançar esse objetivo, foram definidos os seguintes objetivos específicos: construir e </w:t>
      </w:r>
      <w:r>
        <w:rPr>
          <w:lang w:val="pt-BR"/>
        </w:rPr>
        <w:t>valid</w:t>
      </w:r>
      <w:r>
        <w:rPr>
          <w:lang w:val="pt-BR"/>
        </w:rPr>
        <w:t xml:space="preserve">ar um conjunto de teste de imagens reais de vias públicas brasileiras, balanceado quanto à presença e ausência de resíduos visíveis; mensurar e comparar o desempenho preditivo do YOLOv11m, ajustado por </w:t>
      </w:r>
      <w:r>
        <w:rPr>
          <w:i/>
          <w:iCs/>
          <w:lang w:val="pt-BR"/>
        </w:rPr>
        <w:t>fine-tuning</w:t>
      </w:r>
      <w:r>
        <w:rPr>
          <w:lang w:val="pt-BR"/>
        </w:rPr>
        <w:t xml:space="preserve">, e do Gemma 3 27B-IT, em regime </w:t>
      </w:r>
      <w:r>
        <w:rPr>
          <w:i/>
          <w:iCs/>
          <w:lang w:val="pt-BR"/>
        </w:rPr>
        <w:t>zero-shot</w:t>
      </w:r>
      <w:r>
        <w:rPr>
          <w:lang w:val="pt-BR"/>
        </w:rPr>
        <w:t xml:space="preserve">, por meio de métricas binárias e testes estatísticos para amostras pareadas; mensurar e comparar a eficiência computacional dos modelos quanto à latência e ao </w:t>
      </w:r>
      <w:r>
        <w:rPr>
          <w:i/>
          <w:iCs/>
          <w:lang w:val="pt-BR"/>
        </w:rPr>
        <w:t>throughput</w:t>
      </w:r>
      <w:r>
        <w:rPr>
          <w:lang w:val="pt-BR"/>
        </w:rPr>
        <w:t>; e caracterizar os padrões de erro de cada modelo e discutir suas implicações para a adoção da tecnologia pela gestão pública municipal.</w:t>
      </w:r>
    </w:p>
    <w:p>
      <w:pPr>
        <w:pStyle w:val="BodyText"/>
        <w:widowControl w:val="false"/>
        <w:suppressAutoHyphens w:val="true"/>
        <w:bidi w:val="0"/>
        <w:ind w:firstLine="709"/>
        <w:jc w:val="both"/>
        <w:rPr>
          <w:lang w:val="pt-BR"/>
        </w:rPr>
      </w:pPr>
      <w:r>
        <w:rPr>
          <w:lang w:val="pt-BR"/>
        </w:rPr>
        <w:t xml:space="preserve">Metodologicamente, o estudo foi desenvolvido como uma pesquisa comparativa, de abordagem quantitativa, aplicada à avaliação experimental de modelos computacionais. A análise foi realizada em nível de imagem, considerando a presença ou ausência de resíduos visíveis. Para isso, foram utilizadas métricas como acurácia, precisão, </w:t>
      </w:r>
      <w:r>
        <w:rPr>
          <w:i/>
          <w:iCs/>
          <w:lang w:val="pt-BR"/>
        </w:rPr>
        <w:t>recall</w:t>
      </w:r>
      <w:r>
        <w:rPr>
          <w:lang w:val="pt-BR"/>
        </w:rPr>
        <w:t xml:space="preserve">, especificidade, </w:t>
      </w:r>
      <w:r>
        <w:rPr>
          <w:i/>
          <w:iCs/>
          <w:lang w:val="pt-BR"/>
        </w:rPr>
        <w:t>F1-score,</w:t>
      </w:r>
      <w:r>
        <w:rPr>
          <w:lang w:val="pt-BR"/>
        </w:rPr>
        <w:t xml:space="preserve"> taxa de falsos positivos, matriz de confusão e tempo de inferência. Esses indicadores permitiram avaliar o desempenho preditivo e a eficiência computacional dos modelos, em conformidade com o problema e os objetivos da pesquisa.</w:t>
      </w:r>
    </w:p>
    <w:p>
      <w:pPr>
        <w:pStyle w:val="BodyText"/>
        <w:widowControl w:val="false"/>
        <w:suppressAutoHyphens w:val="true"/>
        <w:bidi w:val="0"/>
        <w:ind w:firstLine="709"/>
        <w:jc w:val="both"/>
        <w:rPr>
          <w:lang w:val="pt-BR"/>
        </w:rPr>
      </w:pPr>
      <w:r>
        <w:rPr>
          <w:lang w:val="pt-BR"/>
        </w:rPr>
        <w:t>O trabalho está estruturado em cinco capítulos. O primeiro capítulo apresenta a introdução, contendo a contextualização do tema, a justificativa, o problema de pesquisa, a hipótese provisória, os objetivos, a metodologia resumida e a organização do trabalho. O segundo capítulo aborda o referencial teórico, contemplando gestão pública de resíduos urbanos, inteligência artificial, visão computacional, detecção de objetos, modelos visão-linguagem e detecção automatizada de resíduos. O terceiro capítulo apresenta os procedimentos metodológicos, incluindo a preparação das bases de imagens, o treinamento do YOLOv11m, a inferência com o Gemma 3 27B-IT e as métricas de avaliação. O quarto capítulo apresenta a discussão dos resultados do experimento. Por fim, o quinto capítulo apresenta as considerações finais, retomando o problema de pesquisa, os objetivos, as limitações do estudo e possíveis recomendações para pesquisas futuras.</w:t>
      </w:r>
    </w:p>
    <w:p>
      <w:pPr>
        <w:pStyle w:val="normal1"/>
        <w:rPr>
          <w:lang w:val="pt-BR"/>
        </w:rPr>
      </w:pPr>
      <w:r>
        <w:rPr>
          <w:lang w:val="pt-BR"/>
        </w:rPr>
      </w:r>
      <w:r>
        <w:br w:type="page"/>
      </w:r>
    </w:p>
    <w:p>
      <w:pPr>
        <w:pStyle w:val="Heading1"/>
        <w:numPr>
          <w:ilvl w:val="0"/>
          <w:numId w:val="1"/>
        </w:numPr>
        <w:spacing w:before="0" w:after="240"/>
        <w:rPr>
          <w:lang w:val="pt-BR"/>
        </w:rPr>
      </w:pPr>
      <w:r>
        <w:rPr>
          <w:lang w:val="pt-BR"/>
        </w:rPr>
        <w:t>2 REFERENCIAL TEÓRICO</w:t>
      </w:r>
    </w:p>
    <w:p>
      <w:pPr>
        <w:pStyle w:val="BodyText"/>
        <w:widowControl w:val="false"/>
        <w:suppressAutoHyphens w:val="true"/>
        <w:bidi w:val="0"/>
        <w:ind w:firstLine="709"/>
        <w:jc w:val="both"/>
        <w:rPr>
          <w:lang w:val="pt-BR"/>
        </w:rPr>
      </w:pPr>
      <w:r>
        <w:rPr>
          <w:lang w:val="pt-BR"/>
        </w:rPr>
        <w:t>Este capítulo apresenta os fundamentos teóricos que sustentam a análise da aplicação da inteligência artificial ao monitoramento de resíduos urbanos. Inicialmente, discutem-se a gestão pública dos resíduos sólidos urbanos e a produção de informações para o planejamento municipal. Em seguida, abordam-se a inteligência artificial na administração pública, a visão computacional, a detecção automatizada de resíduos e os modelos visão-linguagem, estabelecendo as bases conceituais para a comparação entre YOLOv11m e Gemma 3 27B-IT.</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2.1 Gestão pública, resíduos sólidos urbanos e produção de informações</w:t>
      </w:r>
    </w:p>
    <w:p>
      <w:pPr>
        <w:pStyle w:val="BodyText"/>
        <w:widowControl w:val="false"/>
        <w:suppressAutoHyphens w:val="true"/>
        <w:bidi w:val="0"/>
        <w:ind w:firstLine="709"/>
        <w:jc w:val="both"/>
        <w:rPr>
          <w:lang w:val="pt-BR"/>
        </w:rPr>
      </w:pPr>
      <w:r>
        <w:rPr>
          <w:lang w:val="pt-BR"/>
        </w:rPr>
        <w:t>A gestão dos resíduos sólidos urbanos constitui uma atribuição relevante da administração pública municipal, pois envolve planejamento, regulação, fiscalização, prestação de serviços, controle de custos e proteção ambiental e sanitária (BRASIL, 2010; FERREIRA; BARROS, 2021).  No Brasil, a Política Nacional de Resíduos Sólidos (PNRS), instituída pela Lei nº 12.305/2010, estabelece princípios, objetivos e instrumentos para a gestão integrada e o gerenciamento ambientalmente adequado dos resíduos sólidos. A própria classificação técnica desses materiais é estabelecida pela ABNT NBR 10004 (Associação Brasileira de Normas Técnicas, 2004), que define resíduos sólidos e os enquadra segundo sua origem e periculosidade, fornecendo a base normativa para o tratamento administrativo do tema. A política também reforça a responsabilidade compartilhada pelo ciclo de vida dos produtos, mas mantém os municípios em posição central na organização dos serviços de limpeza urbana, coleta, manejo, tratamento e destinação final dos resíduos (Brasil, 2010).</w:t>
      </w:r>
    </w:p>
    <w:p>
      <w:pPr>
        <w:pStyle w:val="BodyText"/>
        <w:widowControl w:val="false"/>
        <w:suppressAutoHyphens w:val="true"/>
        <w:bidi w:val="0"/>
        <w:ind w:firstLine="709"/>
        <w:jc w:val="both"/>
        <w:rPr>
          <w:lang w:val="pt-BR"/>
        </w:rPr>
      </w:pPr>
      <w:r>
        <w:rPr>
          <w:lang w:val="pt-BR"/>
        </w:rPr>
        <w:t>A literatura brasileira indica que os resíduos sólidos urbanos permanecem como um desafio estrutural para os municípios. Nascimento et al. (2015) apontam que a geração de resíduos aumentou no país e que a efetivação da Política Nacional de Resíduos Sólidos depende de avanços na coleta, no tratamento, na destinação final e na participação social nos processos de separação e redução dos resíduos.</w:t>
      </w:r>
    </w:p>
    <w:p>
      <w:pPr>
        <w:pStyle w:val="BodyText"/>
        <w:widowControl w:val="false"/>
        <w:suppressAutoHyphens w:val="true"/>
        <w:bidi w:val="0"/>
        <w:ind w:firstLine="709"/>
        <w:jc w:val="both"/>
        <w:rPr>
          <w:lang w:val="pt-BR"/>
        </w:rPr>
      </w:pPr>
      <w:r>
        <w:rPr>
          <w:lang w:val="pt-BR"/>
        </w:rPr>
        <w:t>Embora a Política Nacional de Resíduos Sólidos estabeleça princípios, objetivos e instrumentos para a gestão integrada e o gerenciamento ambientalmente adequado dos resíduos, sua implementação depende da capacidade dos municípios de converter as diretrizes legais em ações contínuas de planejamento, diagnóstico e prestação dos serviços públicos (Brasil, 2010). Nesse sentido, a existência do marco normativo não elimina as limitações institucionais, financeiras e operacionais enfrentadas pelas administrações municipais.</w:t>
      </w:r>
    </w:p>
    <w:p>
      <w:pPr>
        <w:pStyle w:val="BodyText"/>
        <w:widowControl w:val="false"/>
        <w:suppressAutoHyphens w:val="true"/>
        <w:bidi w:val="0"/>
        <w:ind w:firstLine="709"/>
        <w:jc w:val="both"/>
        <w:rPr>
          <w:lang w:val="pt-BR"/>
        </w:rPr>
      </w:pPr>
      <w:r>
        <w:rPr>
          <w:lang w:val="pt-BR"/>
        </w:rPr>
        <w:t>Freitas, Pires e Benincá (2024) constatam que, em 2022, aproximadamente 75% dos municípios brasileiros possuíam alguma iniciativa de coleta seletiva, embora muitas apresentassem caráter pontual e cobertura limitada. No mesmo período, cerca de 61% dos resíduos sólidos urbanos coletados foram encaminhados a aterros sanitários, enquanto aproximadamente 39% receberam destinação inadequada, incluindo lixões e aterros controlados. Esses resultados indicam que a efetividade da política pública depende não apenas da existência de iniciativas formais, mas também de infraestrutura, recursos administrativos, diagnóstico territorial e continuidade das ações.</w:t>
      </w:r>
    </w:p>
    <w:p>
      <w:pPr>
        <w:pStyle w:val="BodyText"/>
        <w:widowControl w:val="false"/>
        <w:suppressAutoHyphens w:val="true"/>
        <w:bidi w:val="0"/>
        <w:ind w:firstLine="709"/>
        <w:jc w:val="both"/>
        <w:rPr>
          <w:lang w:val="pt-BR"/>
        </w:rPr>
      </w:pPr>
      <w:r>
        <w:rPr>
          <w:lang w:val="pt-BR"/>
        </w:rPr>
        <w:t>No espaço urbano, o descarte irregular de resíduos constitui um problema recorrente para a administração municipal, pois impõe desafios ao planejamento, à fiscalização e à execução dos serviços de limpeza pública (Fortaleza, 2012; Garcia, 2021). A presença de resíduos em ruas, calçadas, terrenos, canais e outros espaços públicos compromete a paisagem, dificulta a circulação de pessoas, pode agravar problemas de drenagem e amplia a demanda pelos serviços municipais de coleta e limpeza (Fortaleza, 2012).</w:t>
      </w:r>
    </w:p>
    <w:p>
      <w:pPr>
        <w:pStyle w:val="BodyText"/>
        <w:rPr/>
      </w:pPr>
      <w:r>
        <w:rPr/>
        <w:t>Cardoso e Cardoso (2016) destacam que a problemática dos resíduos produz diferentes impactos e exige estratégias voltadas à redução de danos. De modo complementar, Mucelin e Bellini (2008) evidenciam os efeitos ambientais provocados pela disposição inadequada de resíduos no ecossistema urbano. Dessa forma, o descarte irregular não se limita à dimensão ambiental, pois também interfere na organização dos serviços públicos, na qualidade dos espaços coletivos e nas condições de vida da população.</w:t>
      </w:r>
    </w:p>
    <w:p>
      <w:pPr>
        <w:pStyle w:val="BodyText"/>
        <w:widowControl w:val="false"/>
        <w:suppressAutoHyphens w:val="true"/>
        <w:bidi w:val="0"/>
        <w:ind w:firstLine="709"/>
        <w:jc w:val="both"/>
        <w:rPr>
          <w:lang w:val="pt-BR"/>
        </w:rPr>
      </w:pPr>
      <w:r>
        <w:rPr>
          <w:lang w:val="pt-BR"/>
        </w:rPr>
        <w:t>A gestão de resíduos também possui implicações administrativas e financeiras. Rodrigues, Magalhães Filho e Pereira (2016), ao analisarem os determinantes dos custos dos resíduos sólidos urbanos nas capitais brasileiras, concluíram que os custos dependem da forma de manejo adotada e são fortemente influenciados pela forma de gestão assumida pelo município. Essa constatação aproxima o problema dos resíduos da Administração Pública, pois a limpeza urbana demanda equipes, equipamentos, combustível, planejamento de rotas, fiscalização, manutenção de frota e sistemas de controle.</w:t>
      </w:r>
    </w:p>
    <w:p>
      <w:pPr>
        <w:pStyle w:val="BodyText"/>
        <w:widowControl w:val="false"/>
        <w:suppressAutoHyphens w:val="true"/>
        <w:bidi w:val="0"/>
        <w:ind w:firstLine="709"/>
        <w:jc w:val="both"/>
        <w:rPr>
          <w:lang w:val="pt-BR"/>
        </w:rPr>
      </w:pPr>
      <w:r>
        <w:rPr>
          <w:lang w:val="pt-BR"/>
        </w:rPr>
        <w:t>Nesse contexto, a produção de informações territorializadas pode apoiar decisões públicas mais direcionadas. Lu (2019), ao analisar o uso de big data para identificar descarte irregular de resíduos de construção em Hong Kong, demonstra que técnicas baseadas em dados podem auxiliar governos e órgãos ambientais na identificação de padrões de despejo inadequado. Embora o estudo trate de outro contexto e de resíduos de construção, sua contribuição é relevante por indicar que dados e tecnologias digitais podem apoiar a administração pública na detecção de ocorrências, na priorização de áreas críticas e na formulação de respostas mais específicas.</w:t>
      </w:r>
    </w:p>
    <w:p>
      <w:pPr>
        <w:pStyle w:val="BodyText"/>
        <w:widowControl w:val="false"/>
        <w:suppressAutoHyphens w:val="true"/>
        <w:bidi w:val="0"/>
        <w:ind w:firstLine="709"/>
        <w:jc w:val="both"/>
        <w:rPr>
          <w:lang w:val="pt-BR"/>
        </w:rPr>
      </w:pPr>
      <w:r>
        <w:rPr>
          <w:lang w:val="pt-BR"/>
        </w:rPr>
        <w:t>Dessa forma, a discussão sobre resíduos urbanos no campo da Administração Pública deve considerar simultaneamente o problema, os instrumentos de gestão e a capacidade de produção de informação. O uso de inteligência artificial e visão computacional não substitui a política pública, a fiscalização ou a responsabilidade do poder público, mas pode ser investigado como ferramenta de apoio ao monitoramento, desde que sua adoção seja tecnicamente validada e institucionalmente responsável.</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2.2 Inteligência artificial, transformação digital e governança pública</w:t>
      </w:r>
    </w:p>
    <w:p>
      <w:pPr>
        <w:pStyle w:val="BodyText"/>
        <w:widowControl w:val="false"/>
        <w:suppressAutoHyphens w:val="true"/>
        <w:bidi w:val="0"/>
        <w:ind w:firstLine="709"/>
        <w:jc w:val="both"/>
        <w:rPr>
          <w:lang w:val="pt-BR"/>
        </w:rPr>
      </w:pPr>
      <w:r>
        <w:rPr>
          <w:lang w:val="pt-BR"/>
        </w:rPr>
        <w:t>A inteligência artificial pode ser compreendida como uma das tecnologias associadas à transformação digital na Administração Pública, por sua capacidade de processar dados, automatizar atividades e apoiar decisões administrativas (Pacheco, 2025). A autora observa que a IA vem sendo cada vez mais utilizada no setor público, mas sua adoção exige atenção a desafios éticos, de governança de dados, privacidade, segurança, vieses e responsabilização decisória. Assim, a IA não deve ser analisada apenas como inovação tecnológica, mas como parte de um processo mais amplo de transformação organizacional da gestão pública.</w:t>
      </w:r>
    </w:p>
    <w:p>
      <w:pPr>
        <w:pStyle w:val="BodyText"/>
        <w:widowControl w:val="false"/>
        <w:suppressAutoHyphens w:val="true"/>
        <w:bidi w:val="0"/>
        <w:ind w:firstLine="709"/>
        <w:jc w:val="both"/>
        <w:rPr>
          <w:lang w:val="pt-BR"/>
        </w:rPr>
      </w:pPr>
      <w:r>
        <w:rPr>
          <w:lang w:val="pt-BR"/>
        </w:rPr>
        <w:t>Zuiderwijk, Chen e Salem (2021) observam que o uso dessas tecnologias pode modificar a prestação de serviços, a formulação de políticas e atividades de fiscalização. Os autores também destacam que a literatura sobre IA no setor público ainda demanda maior aprofundamento empírico, foco em formas específicas de IA e avaliação de riscos, desempenho, implementação e impactos.</w:t>
      </w:r>
    </w:p>
    <w:p>
      <w:pPr>
        <w:pStyle w:val="BodyText"/>
        <w:widowControl w:val="false"/>
        <w:suppressAutoHyphens w:val="true"/>
        <w:bidi w:val="0"/>
        <w:ind w:firstLine="709"/>
        <w:jc w:val="both"/>
        <w:rPr>
          <w:lang w:val="pt-BR"/>
        </w:rPr>
      </w:pPr>
      <w:r>
        <w:rPr>
          <w:lang w:val="pt-BR"/>
        </w:rPr>
        <w:t>Na Administração Pública, a literatura atribui à IA benefícios como economia de custos, apoio à decisão, melhor uso de dados, novos subsídios para políticas públicas, melhoria da eficiência, da efetividade e da prestação de serviços (Madan; Ashok, 2025).</w:t>
      </w:r>
    </w:p>
    <w:p>
      <w:pPr>
        <w:pStyle w:val="BodyText"/>
        <w:widowControl w:val="false"/>
        <w:suppressAutoHyphens w:val="true"/>
        <w:bidi w:val="0"/>
        <w:ind w:firstLine="709"/>
        <w:jc w:val="both"/>
        <w:rPr>
          <w:lang w:val="pt-BR"/>
        </w:rPr>
      </w:pPr>
      <w:r>
        <w:rPr>
          <w:lang w:val="pt-BR"/>
        </w:rPr>
        <w:t>Apesar desses benefícios potenciais, a adoção de IA pelo setor público deve ser analisada criticamente. Mišić, van Est e Kool (2025) defendem que a boa governança da IA em serviços públicos deve articular valores de “boa ordem”, relacionados ao funcionamento democrático e legal da administração, e valores de “boa sociedade”, ligados ao bem-estar e à justiça social. O quadro proposto pelos autores inclui valores como responsividade, efetividade, justiça procedimental, resiliência, contrapesos institucionais, bem-estar e justiça social. Essa abordagem é relevante porque impede que a IA seja avaliada apenas por sua eficiência técnica, exigindo também análise de transparência, controle humano, responsabilidade, equidade e adequação ao interesse público.</w:t>
      </w:r>
    </w:p>
    <w:p>
      <w:pPr>
        <w:pStyle w:val="BodyText"/>
        <w:widowControl w:val="false"/>
        <w:suppressAutoHyphens w:val="true"/>
        <w:bidi w:val="0"/>
        <w:ind w:firstLine="709"/>
        <w:jc w:val="both"/>
        <w:rPr>
          <w:lang w:val="pt-BR"/>
        </w:rPr>
      </w:pPr>
      <w:r>
        <w:rPr>
          <w:lang w:val="pt-BR"/>
        </w:rPr>
        <w:t xml:space="preserve">As abordagens de Reis, Espírito Santo e Melão (2019), Zuiderwijk, Chen e Salem (2021), Madan e Ashok (2025) e Mišić, van Est e Kool (2025) convergem ao indicar que a IA pode produzir benefícios administrativos, mas sua adoção envolve escolhas institucionais. Enquanto parte da literatura enfatiza oportunidades de eficiência e melhoria de serviços, outra parte chama atenção para riscos de confiança, </w:t>
      </w:r>
      <w:r>
        <w:rPr>
          <w:i/>
          <w:iCs/>
          <w:lang w:val="pt-BR"/>
        </w:rPr>
        <w:t>accountability</w:t>
      </w:r>
      <w:r>
        <w:rPr>
          <w:lang w:val="pt-BR"/>
        </w:rPr>
        <w:t>, transparência e responsabilização. Assim, o uso de IA na gestão pública deve ser examinado como instrumento condicionado por finalidades públicas, arranjos de governança e critérios de avaliação.</w:t>
      </w:r>
    </w:p>
    <w:p>
      <w:pPr>
        <w:pStyle w:val="BodyText"/>
        <w:widowControl w:val="false"/>
        <w:suppressAutoHyphens w:val="true"/>
        <w:bidi w:val="0"/>
        <w:ind w:firstLine="709"/>
        <w:jc w:val="both"/>
        <w:rPr>
          <w:lang w:val="pt-BR"/>
        </w:rPr>
      </w:pPr>
      <w:r>
        <w:rPr>
          <w:lang w:val="pt-BR"/>
        </w:rPr>
        <w:t xml:space="preserve">No plano técnico, o </w:t>
      </w:r>
      <w:r>
        <w:rPr>
          <w:i/>
          <w:iCs/>
          <w:lang w:val="pt-BR"/>
        </w:rPr>
        <w:t>deep learning</w:t>
      </w:r>
      <w:r>
        <w:rPr>
          <w:lang w:val="pt-BR"/>
        </w:rPr>
        <w:t xml:space="preserve"> constitui uma das abordagens centrais da inteligência artificial contemporânea. Segundo Goodfellow, Bengio e Courville (2016), o aprendizado profundo reúne métodos capazes de aprender representações em múltiplos níveis a partir de dados. LeCun, Bengio e Hinton (2015) destacam que essa abordagem se tornou especialmente relevante em tarefas como reconhecimento de fala, reconhecimento visual e processamento de imagens, em razão de sua capacidade de aprender padrões complexos.</w:t>
      </w:r>
    </w:p>
    <w:p>
      <w:pPr>
        <w:pStyle w:val="BodyText"/>
        <w:widowControl w:val="false"/>
        <w:suppressAutoHyphens w:val="true"/>
        <w:bidi w:val="0"/>
        <w:ind w:firstLine="709"/>
        <w:jc w:val="both"/>
        <w:rPr>
          <w:lang w:val="pt-BR"/>
        </w:rPr>
      </w:pPr>
      <w:r>
        <w:rPr>
          <w:lang w:val="pt-BR"/>
        </w:rPr>
        <w:t>A visão computacional, por sua vez, constitui área voltada à extração e interpretação de informações a partir de imagens e vídeos. Szeliski (2022) apresenta a visão computacional como campo dedicado ao desenvolvimento de algoritmos capazes de interpretar imagens, reconhecer padrões e apoiar tarefas de reconstrução, rastreamento, reconhecimento e detecção visual. Para o presente estudo, essa base é indispensável porque o monitoramento de resíduos urbanos em vias públicas depende da transformação de imagens de rua em dados analisáveis, isto é, da conversão de cenas urbanas complexas em evidências úteis à gestão pública.</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2.3 Visão computacional e detecção de objetos</w:t>
      </w:r>
    </w:p>
    <w:p>
      <w:pPr>
        <w:pStyle w:val="BodyText"/>
        <w:widowControl w:val="false"/>
        <w:suppressAutoHyphens w:val="true"/>
        <w:bidi w:val="0"/>
        <w:ind w:firstLine="709"/>
        <w:jc w:val="both"/>
        <w:rPr>
          <w:lang w:val="pt-BR"/>
        </w:rPr>
      </w:pPr>
      <w:r>
        <w:rPr>
          <w:lang w:val="pt-BR"/>
        </w:rPr>
        <w:t xml:space="preserve">A visão computacional é uma área da inteligência artificial dedicada ao desenvolvimento de métodos capazes de extrair, interpretar e utilizar informações provenientes de imagens e vídeos, sendo aplicada em tarefas como detecção, classificação e segmentação de objetos em contextos visuais complexos, inclusive na classificação automatizada de resíduos sólidos (FOTOVVATIKHAH et al., 2025). Segundo Jiao et al. (2019), a detecção de objetos constitui um dos ramos mais relevantes e desafiadores da visão computacional, aplicado a tarefas como videomonitoramento de segurança e direção autônoma, cujo propósito é localizar instâncias de objetos de determinada classe em imagens. </w:t>
      </w:r>
    </w:p>
    <w:p>
      <w:pPr>
        <w:pStyle w:val="BodyText"/>
        <w:widowControl w:val="false"/>
        <w:suppressAutoHyphens w:val="true"/>
        <w:bidi w:val="0"/>
        <w:ind w:firstLine="709"/>
        <w:jc w:val="both"/>
        <w:rPr>
          <w:lang w:val="pt-BR"/>
        </w:rPr>
      </w:pPr>
      <w:r>
        <w:rPr>
          <w:lang w:val="pt-BR"/>
        </w:rPr>
        <w:t>A detecção de objetos é uma das tarefas centrais da visão computacional. Diferentemente da classificação de imagens, que atribui uma categoria geral a uma imagem, a detecção busca identificar a presença de objetos específicos e localizar sua posição na cena, geralmente por meio de caixas delimitadoras, sendo essa abordagem recorrente em aplicações de deep learning voltadas à identificação automatizada de resíduos (ABDU; MOHD NOOR, 2022). Conforme Liu et al. (2020), as técnicas de aprendizado profundo emergiram como estratégia poderosa para aprender representações de características diretamente dos dados, conduzindo a avanços expressivos na detecção genérica de objetos. Redmon et al. (2016) descrevem o YOLO como uma abordagem que trata a detecção de objetos como problema único de regressão, estimando simultaneamente caixas delimitadoras e probabilidades de classe a partir da imagem completa. Essa formulação favorece aplicações nas quais o tempo de processamento é relevante.</w:t>
      </w:r>
    </w:p>
    <w:p>
      <w:pPr>
        <w:pStyle w:val="BodyText"/>
        <w:widowControl w:val="false"/>
        <w:suppressAutoHyphens w:val="true"/>
        <w:bidi w:val="0"/>
        <w:ind w:firstLine="709"/>
        <w:jc w:val="both"/>
        <w:rPr>
          <w:lang w:val="pt-BR"/>
        </w:rPr>
      </w:pPr>
      <w:r>
        <w:rPr>
          <w:lang w:val="pt-BR"/>
        </w:rPr>
        <w:t>Ao longo do tempo, a família YOLO passou por diferentes evoluções arquiteturais. Terven, Córdova-Esparza e Romero-González (2023) revisam o desenvolvimento das arquiteturas YOLO, evidenciando mudanças em precisão, velocidade, estruturas de rede, estratégias de treinamento e adequação a diferentes tarefas de visão computacional. Essa evolução explica a permanência de modelos derivados do YOLO em pesquisas aplicadas, especialmente quando há necessidade de equilibrar desempenho preditivo e eficiência computacional.</w:t>
      </w:r>
    </w:p>
    <w:p>
      <w:pPr>
        <w:pStyle w:val="BodyText"/>
        <w:widowControl w:val="false"/>
        <w:suppressAutoHyphens w:val="true"/>
        <w:bidi w:val="0"/>
        <w:ind w:firstLine="709"/>
        <w:jc w:val="both"/>
        <w:rPr>
          <w:lang w:val="pt-BR"/>
        </w:rPr>
      </w:pPr>
      <w:r>
        <w:rPr>
          <w:lang w:val="pt-BR"/>
        </w:rPr>
        <w:t xml:space="preserve">A avaliação de modelos de detecção envolve critérios capazes de indicar se a identificação visual é consistente e se o processamento ocorre em tempo compatível com a aplicação pretendida. Em estudos de detecção de resíduos com </w:t>
      </w:r>
      <w:r>
        <w:rPr>
          <w:i/>
          <w:iCs/>
          <w:lang w:val="pt-BR"/>
        </w:rPr>
        <w:t>deep learning</w:t>
      </w:r>
      <w:r>
        <w:rPr>
          <w:lang w:val="pt-BR"/>
        </w:rPr>
        <w:t xml:space="preserve">, essa avaliação costuma considerar métricas associadas à capacidade de localização e classificação dos objetos, bem como ao desempenho computacional do modelo (ABDU; MOHD NOOR, 2022). Kaur e Singh (2023) ressaltam que a avaliação de detectores deve considerar conjuntamente métricas como precisão, </w:t>
      </w:r>
      <w:r>
        <w:rPr>
          <w:i/>
          <w:iCs/>
          <w:lang w:val="pt-BR"/>
        </w:rPr>
        <w:t>recall</w:t>
      </w:r>
      <w:r>
        <w:rPr>
          <w:lang w:val="pt-BR"/>
        </w:rPr>
        <w:t xml:space="preserve"> e interseção sobre união, ao mesmo tempo em que enfrenta desafios persistentes relacionados a oclusões, variações de escala e capacidade de processamento em tempo real.</w:t>
      </w:r>
    </w:p>
    <w:p>
      <w:pPr>
        <w:pStyle w:val="BodyText"/>
        <w:widowControl w:val="false"/>
        <w:suppressAutoHyphens w:val="true"/>
        <w:bidi w:val="0"/>
        <w:ind w:firstLine="709"/>
        <w:jc w:val="both"/>
        <w:rPr>
          <w:lang w:val="pt-BR"/>
        </w:rPr>
      </w:pPr>
      <w:r>
        <w:rPr>
          <w:lang w:val="pt-BR"/>
        </w:rPr>
        <w:t>Dessa forma, a visão computacional e a detecção de objetos constituem a base teórica e técnica para o uso de modelos computacionais em tarefas de identificação visual em imagens urbanas. Esses conceitos explicam como imagens podem ser convertidas em dados analisáveis e por que modelos especializados, como os baseados em YOLO, são adequados a aplicações que demandam localização explícita dos objetos detectados e rapidez no processamento.</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2.4 Detecção automatizada de resíduos urbanos</w:t>
      </w:r>
    </w:p>
    <w:p>
      <w:pPr>
        <w:pStyle w:val="BodyText"/>
        <w:widowControl w:val="false"/>
        <w:suppressAutoHyphens w:val="true"/>
        <w:bidi w:val="0"/>
        <w:ind w:firstLine="709"/>
        <w:jc w:val="both"/>
        <w:rPr>
          <w:lang w:val="pt-BR"/>
        </w:rPr>
      </w:pPr>
      <w:r>
        <w:rPr>
          <w:lang w:val="pt-BR"/>
        </w:rPr>
        <w:t xml:space="preserve">A detecção automatizada de resíduos urbanos representa uma aplicação específica da visão computacional voltada à identificação de lixo, descarte irregular ou materiais descartados em ambientes reais, permitindo apoiar processos de monitoramento ambiental e gestão de resíduos por meio de modelos de </w:t>
      </w:r>
      <w:r>
        <w:rPr>
          <w:i/>
          <w:iCs/>
          <w:lang w:val="pt-BR"/>
        </w:rPr>
        <w:t>deep learning</w:t>
      </w:r>
      <w:r>
        <w:rPr>
          <w:lang w:val="pt-BR"/>
        </w:rPr>
        <w:t xml:space="preserve"> (ABDU; MOHD NOOR, 2022). Estudos sobre detecção de resíduos com aprendizado profundo indicam que modelos de visão computacional podem ser aplicados em cenários urbanos e naturais, embora enfrentem desafios associados à complexidade visual desses ambientes (Majchrowska et al., 2022; Córdova et al., 2022). Essa aplicação aproxima os avanços técnicos em </w:t>
      </w:r>
      <w:r>
        <w:rPr>
          <w:i/>
          <w:iCs/>
          <w:lang w:val="pt-BR"/>
        </w:rPr>
        <w:t>deep learning</w:t>
      </w:r>
      <w:r>
        <w:rPr>
          <w:lang w:val="pt-BR"/>
        </w:rPr>
        <w:t xml:space="preserve"> das necessidades práticas da gestão urbana, pois permite investigar se imagens de ruas, calçadas, terrenos, canais ou outros espaços públicos podem ser utilizadas como insumo para monitoramento, fiscalização e planejamento dos serviços de limpeza urbana.</w:t>
      </w:r>
    </w:p>
    <w:p>
      <w:pPr>
        <w:pStyle w:val="BodyText"/>
        <w:widowControl w:val="false"/>
        <w:suppressAutoHyphens w:val="true"/>
        <w:bidi w:val="0"/>
        <w:ind w:firstLine="709"/>
        <w:jc w:val="both"/>
        <w:rPr>
          <w:lang w:val="pt-BR"/>
        </w:rPr>
      </w:pPr>
      <w:r>
        <w:rPr>
          <w:lang w:val="pt-BR"/>
        </w:rPr>
        <w:t xml:space="preserve">O uso de </w:t>
      </w:r>
      <w:r>
        <w:rPr>
          <w:i/>
          <w:iCs/>
          <w:lang w:val="pt-BR"/>
        </w:rPr>
        <w:t>deep learning</w:t>
      </w:r>
      <w:r>
        <w:rPr>
          <w:lang w:val="pt-BR"/>
        </w:rPr>
        <w:t xml:space="preserve"> para detecção de resíduos tem sido explorado em diferentes contextos. Majchrowska et al. (2022) investigaram a detecção de resíduos em ambientes naturais e urbanos, contribuindo para demonstrar que modelos de aprendizado profundo podem ser aplicados a cenários visualmente complexos. Córdova et al. (2022), por sua vez, realizaram estudo comparativo envolvendo arquiteturas de detecção de objetos, como Faster R-CNN, Mask R-CNN, EfficientDet, RetinaNet e YOLO-v5, além de considerar o uso em dispositivos com menor capacidade de processamento, como </w:t>
      </w:r>
      <w:r>
        <w:rPr>
          <w:lang w:val="pt-BR"/>
        </w:rPr>
        <w:t>celulares</w:t>
      </w:r>
      <w:r>
        <w:rPr>
          <w:lang w:val="pt-BR"/>
        </w:rPr>
        <w:t>.</w:t>
      </w:r>
    </w:p>
    <w:p>
      <w:pPr>
        <w:pStyle w:val="BodyText"/>
        <w:widowControl w:val="false"/>
        <w:suppressAutoHyphens w:val="true"/>
        <w:bidi w:val="0"/>
        <w:ind w:firstLine="709"/>
        <w:jc w:val="both"/>
        <w:rPr>
          <w:lang w:val="pt-BR"/>
        </w:rPr>
      </w:pPr>
      <w:r>
        <w:rPr>
          <w:lang w:val="pt-BR"/>
        </w:rPr>
        <w:t>Proença e Simões (2020) destacam a importância de bases de dados anotadas para o desenvolvimento de modelos de detecção automatizada de resíduos. Nesse contexto, os autores apresentam o TACO, uma base aberta composta por imagens de lixo em ambientes reais, com anotações de instâncias e taxonomia hierárquica. Sua relevância está em aproximar o treinamento dos modelos das condições encontradas em contextos urbanos, nos quais os resíduos podem aparecer deformados, fragmentados, envelhecidos, transparentes ou parcialmente camuflados no cenário (PROENÇA; SIMÕES, 2020).</w:t>
      </w:r>
    </w:p>
    <w:p>
      <w:pPr>
        <w:pStyle w:val="BodyText"/>
        <w:widowControl w:val="false"/>
        <w:suppressAutoHyphens w:val="true"/>
        <w:bidi w:val="0"/>
        <w:ind w:firstLine="709"/>
        <w:jc w:val="both"/>
        <w:rPr>
          <w:lang w:val="pt-BR"/>
        </w:rPr>
      </w:pPr>
      <w:r>
        <w:rPr>
          <w:lang w:val="pt-BR"/>
        </w:rPr>
        <w:t>Estudos aplicados com YOLO também demonstram o potencial da detecção automatizada de resíduos. Zailan et al. (2022) desenvolveram um sistema baseado em YOLO para detectar resíduos sólidos flutuantes em ambiente fluvial, considerando condições como variação de iluminação, fundo complexo e oclusão. Embora o contexto seja diferente das vias públicas urbanas, o estudo mostra a aplicabilidade de modelos de detecção de objetos ao monitoramento ambiental e à identificação de classes de resíduos, aproximando visão computacional, gestão ambiental e tomada de decisão.</w:t>
      </w:r>
    </w:p>
    <w:p>
      <w:pPr>
        <w:pStyle w:val="BodyText"/>
        <w:widowControl w:val="false"/>
        <w:suppressAutoHyphens w:val="true"/>
        <w:bidi w:val="0"/>
        <w:ind w:firstLine="709"/>
        <w:jc w:val="both"/>
        <w:rPr>
          <w:lang w:val="pt-BR"/>
        </w:rPr>
      </w:pPr>
      <w:r>
        <w:rPr>
          <w:lang w:val="pt-BR"/>
        </w:rPr>
        <w:t>Ren, Li e Gao (2024) também contribuem para esse campo ao propor o modelo MRS-YOLO para detecção e classificação de resíduos, com atenção à melhoria de desempenho em pequenos objetos e à robustez do modelo. A pesquisa evidencia que a detecção de resíduos não envolve apenas reconhecer categorias, mas também lidar com desafios práticos, como diversidade de materiais, variação de escala, demanda por processamento em tempo real e integração com sistemas de gestão de resíduos.</w:t>
      </w:r>
    </w:p>
    <w:p>
      <w:pPr>
        <w:pStyle w:val="BodyText"/>
        <w:widowControl w:val="false"/>
        <w:suppressAutoHyphens w:val="true"/>
        <w:bidi w:val="0"/>
        <w:ind w:firstLine="709"/>
        <w:jc w:val="both"/>
        <w:rPr>
          <w:lang w:val="pt-BR"/>
        </w:rPr>
      </w:pPr>
      <w:r>
        <w:rPr>
          <w:lang w:val="pt-BR"/>
        </w:rPr>
        <w:t>Um modelo tecnicamente sofisticado não garante, por si só, melhoria administrativa, pois a adoção de inteligência artificial no setor público precisa considerar desempenho, riscos, implementação, impactos e adequação institucional (Zuiderwijk; Chen; Salem, 2021). Para que tenha utilidade pública, o sistema precisa identificar corretamente ocorrências relevantes, reduzir falsos alarmes, processar imagens em tempo aceitável, permitir auditoria dos resultados e ser integrado a fluxos administrativos de fiscalização, limpeza urbana ou planejamento, uma vez que a governança de IA em serviços públicos deve articular efetividade, responsabilidade, controle e valores públicos (Mišić; Van Est; Kool, 2025).</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2.5 Modelos visão-linguagem e classificação zero-shot</w:t>
      </w:r>
    </w:p>
    <w:p>
      <w:pPr>
        <w:pStyle w:val="BodyText"/>
        <w:widowControl w:val="false"/>
        <w:suppressAutoHyphens w:val="true"/>
        <w:bidi w:val="0"/>
        <w:ind w:firstLine="709"/>
        <w:jc w:val="both"/>
        <w:rPr/>
      </w:pPr>
      <w:r>
        <w:rPr>
          <w:lang w:val="pt-BR"/>
        </w:rPr>
        <w:t xml:space="preserve">Os modelos visão-linguagem, conhecidos como </w:t>
      </w:r>
      <w:r>
        <w:rPr>
          <w:i/>
          <w:iCs/>
          <w:lang w:val="pt-BR"/>
        </w:rPr>
        <w:t xml:space="preserve">Vision-Language Models </w:t>
      </w:r>
      <w:r>
        <w:rPr>
          <w:lang w:val="pt-BR"/>
        </w:rPr>
        <w:t xml:space="preserve">(VLMs), representam uma abordagem recente em inteligência artificial multimodal, baseada na integração entre imagens e linguagem natural (RADFORD et al., 2021; LI et al., 2023). Segundo Zhang et al. (2024), esses modelos diferem de abordagens treinadas apenas com imagens ou apenas com texto por buscarem aprender relações entre elementos visuais e descrições linguísticas, geralmente a partir de grandes conjuntos de pares imagem-texto. Esse paradigma apoia-se no pré-treinamento multimodal em larga escala, permitindo que o modelo associe representações visuais a </w:t>
      </w:r>
      <w:r>
        <w:rPr>
          <w:rStyle w:val="Emphasis"/>
          <w:lang w:val="pt-BR"/>
        </w:rPr>
        <w:t>prompts</w:t>
      </w:r>
      <w:r>
        <w:rPr>
          <w:lang w:val="pt-BR"/>
        </w:rPr>
        <w:t xml:space="preserve"> textuais e realize tarefas de reconhecimento visual sem necessariamente passar por </w:t>
      </w:r>
      <w:r>
        <w:rPr>
          <w:rStyle w:val="Emphasis"/>
          <w:lang w:val="pt-BR"/>
        </w:rPr>
        <w:t>fine-tuning</w:t>
      </w:r>
      <w:r>
        <w:rPr>
          <w:lang w:val="pt-BR"/>
        </w:rPr>
        <w:t xml:space="preserve"> específico para cada tarefa.</w:t>
      </w:r>
    </w:p>
    <w:p>
      <w:pPr>
        <w:pStyle w:val="BodyText"/>
        <w:widowControl w:val="false"/>
        <w:suppressAutoHyphens w:val="true"/>
        <w:bidi w:val="0"/>
        <w:ind w:firstLine="709"/>
        <w:jc w:val="both"/>
        <w:rPr>
          <w:lang w:val="pt-BR"/>
        </w:rPr>
      </w:pPr>
      <w:r>
        <w:rPr>
          <w:lang w:val="pt-BR"/>
        </w:rPr>
        <w:t xml:space="preserve">A capacidade de generalização </w:t>
      </w:r>
      <w:r>
        <w:rPr>
          <w:i/>
          <w:iCs/>
          <w:lang w:val="pt-BR"/>
        </w:rPr>
        <w:t>zero-shot</w:t>
      </w:r>
      <w:r>
        <w:rPr>
          <w:lang w:val="pt-BR"/>
        </w:rPr>
        <w:t xml:space="preserve"> é amplamente discutida na literatura de aprendizado de máquina e visão computacional, especialmente em abordagens que buscam reconhecer classes ou executar tarefas sem exemplos rotulados específicos no treinamento (XIAN et al., 2019). No contexto dos modelos visão-linguagem, essa capacidade ganhou destaque com arquiteturas que alinham imagens e descrições textuais, permitindo que categorias visuais sejam inferidas a partir de comandos ou descrições em linguagem natural (RADFORD et al., 2021). Essa capacidade torna os VLMs atraentes para aplicações em que há escassez de dados anotados ou necessidade de adaptação rápida a novos contextos (Zhang et al., 2024).</w:t>
      </w:r>
    </w:p>
    <w:p>
      <w:pPr>
        <w:pStyle w:val="BodyText"/>
        <w:widowControl w:val="false"/>
        <w:suppressAutoHyphens w:val="true"/>
        <w:bidi w:val="0"/>
        <w:ind w:firstLine="709"/>
        <w:jc w:val="both"/>
        <w:rPr>
          <w:lang w:val="pt-BR"/>
        </w:rPr>
      </w:pPr>
      <w:r>
        <w:rPr>
          <w:lang w:val="pt-BR"/>
        </w:rPr>
        <w:t>A literatura recente também aponta desafios dos modelos visão-linguagem. Li et al. (2025) destacam que VLMs de grande porte enfrentam problemas relacionados à avaliação, alinhamento, segurança e alucinações, isto é, situações em que o modelo produz respostas que não correspondem de modo adequado ao conteúdo efetivamente presente na imagem. Esse ponto é especialmente relevante para aplicações no setor público, pois uma resposta incorreta pode gerar interpretação equivocada sobre a presença ou ausência de resíduos, afetando a confiabilidade do monitoramento.</w:t>
      </w:r>
    </w:p>
    <w:p>
      <w:pPr>
        <w:pStyle w:val="BodyText"/>
        <w:widowControl w:val="false"/>
        <w:suppressAutoHyphens w:val="true"/>
        <w:bidi w:val="0"/>
        <w:ind w:firstLine="709"/>
        <w:jc w:val="both"/>
        <w:rPr>
          <w:lang w:val="pt-BR"/>
        </w:rPr>
      </w:pPr>
      <w:r>
        <w:rPr>
          <w:lang w:val="pt-BR"/>
        </w:rPr>
        <w:t xml:space="preserve">Em tarefas de gestão urbana, a comparação entre um detector especializado e um modelo visão-linguagem generalista deve considerar não apenas a capacidade de reconhecer resíduos, mas também critérios operacionais como estabilidade das respostas, tempo de inferência, custo computacional e controle sobre o resultado (TORNEIRO et al., 2025; MALLA; BAZLI; ARASHPOUR, 2026). Embora VLMs possam ser utilizados para classificar imagens relacionadas a resíduos, sua capacidade de localização precisa depende da arquitetura e do método empregado, sendo o </w:t>
      </w:r>
      <w:r>
        <w:rPr>
          <w:i/>
          <w:iCs/>
          <w:lang w:val="pt-BR"/>
        </w:rPr>
        <w:t>visual grounding</w:t>
      </w:r>
      <w:r>
        <w:rPr>
          <w:lang w:val="pt-BR"/>
        </w:rPr>
        <w:t xml:space="preserve"> ainda um desafio relevante em modelos multimodais (FUNK et al., 2025; RAJABI; KOSECKA, 2023; WAN et al., 2024). Em contraste, detectores de objetos são mais diretamente orientados à localização visual, pois retornam caixas delimitadoras que podem apoiar auditoria, mapeamento e validação humana.</w:t>
      </w:r>
    </w:p>
    <w:p>
      <w:pPr>
        <w:pStyle w:val="BodyText"/>
        <w:widowControl w:val="false"/>
        <w:suppressAutoHyphens w:val="true"/>
        <w:bidi w:val="0"/>
        <w:ind w:firstLine="709"/>
        <w:jc w:val="both"/>
        <w:rPr>
          <w:lang w:val="pt-BR"/>
        </w:rPr>
      </w:pPr>
      <w:r>
        <w:rPr>
          <w:lang w:val="pt-BR"/>
        </w:rPr>
        <w:t>Dessa forma, o referencial teórico permite compreender a comparação entre YOLOv11m e Gemma 3 27B-IT como o confronto entre dois paradigmas distintos de inteligência artificial aplicada à interpretação de imagens: de um lado, detectores especializados de objetos, orientados à localização visual e à eficiência computacional; de outro, modelos visão-linguagem, voltados à interpretação multimodal e à execução de tarefas orientadas por comandos textuais (Terven; Córdova-Esparza; Romero-González, 2023; Zhang et al., 2024). No contexto da gestão pública, a análise dessas tecnologias deve considerar não apenas o desempenho preditivo, mas também a eficiência operacional, o controle de erros, a rastreabilidade e a adequação às necessidades administrativas (Madan; Ashok, 2025; Mišić; Van Est; Kool, 2025).</w:t>
      </w:r>
      <w:r>
        <w:br w:type="page"/>
      </w:r>
    </w:p>
    <w:p>
      <w:pPr>
        <w:pStyle w:val="Heading1"/>
        <w:numPr>
          <w:ilvl w:val="0"/>
          <w:numId w:val="1"/>
        </w:numPr>
        <w:spacing w:before="0" w:after="240"/>
        <w:rPr>
          <w:color w:val="000000"/>
          <w:lang w:val="pt-BR"/>
        </w:rPr>
      </w:pPr>
      <w:r>
        <w:rPr>
          <w:color w:val="000000"/>
          <w:lang w:val="pt-BR"/>
        </w:rPr>
        <w:t>3 METODOLOGIA</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3.1 Classificação da pesquisa</w:t>
      </w:r>
    </w:p>
    <w:p>
      <w:pPr>
        <w:pStyle w:val="BodyText"/>
        <w:widowControl w:val="false"/>
        <w:suppressAutoHyphens w:val="true"/>
        <w:bidi w:val="0"/>
        <w:ind w:firstLine="709"/>
        <w:jc w:val="both"/>
        <w:rPr>
          <w:lang w:val="pt-BR"/>
        </w:rPr>
      </w:pPr>
      <w:r>
        <w:rPr>
          <w:lang w:val="pt-BR"/>
        </w:rPr>
        <w:t>A presente pesquisa caracterizou-se como aplicada, descritiva e exploratória, de abordagem quantitativa, orientada pelo método hipotético-dedutivo e desenvolvida por meio de procedimentos bibliográfico, documental e experimental-computacional. Essa classificação considerou os elementos essenciais de uma investigação científica, isto é, finalidade, objetivos, abordagem, método e procedimentos, conforme a sistematização metodológica proposta por Gil (2010) e Marconi e Lakatos (2011), além de elementos complementares necessários à reprodutibilidade do estudo, como unidade de análise, fontes de dados, instrumentos de coleta, métricas e etapas de execução.</w:t>
      </w:r>
    </w:p>
    <w:p>
      <w:pPr>
        <w:pStyle w:val="BodyText"/>
        <w:widowControl w:val="false"/>
        <w:suppressAutoHyphens w:val="true"/>
        <w:bidi w:val="0"/>
        <w:ind w:firstLine="709"/>
        <w:jc w:val="both"/>
        <w:rPr>
          <w:lang w:val="pt-BR"/>
        </w:rPr>
      </w:pPr>
      <w:r>
        <w:rPr>
          <w:lang w:val="pt-BR"/>
        </w:rPr>
        <w:t>Quanto à finalidade, a pesquisa foi aplicada, pois avaliou a viabilidade de modelos de inteligência artificial como instrumentos potenciais de apoio ao monitoramento de resíduos urbanos em vias públicas. De acordo com Gil (2010), pesquisas aplicadas direcionam conhecimentos a problemas específicos e de interesse prático. Embora não se tenha implementado diretamente uma política pública municipal, investigou-se uma solução tecnológica vinculada a um problema concreto da gestão urbana: a identificação automatizada de resíduos em imagens reais de ruas brasileiras.</w:t>
      </w:r>
    </w:p>
    <w:p>
      <w:pPr>
        <w:pStyle w:val="BodyText"/>
        <w:widowControl w:val="false"/>
        <w:suppressAutoHyphens w:val="true"/>
        <w:bidi w:val="0"/>
        <w:ind w:firstLine="709"/>
        <w:jc w:val="both"/>
        <w:rPr>
          <w:lang w:val="pt-BR"/>
        </w:rPr>
      </w:pPr>
      <w:r>
        <w:rPr>
          <w:lang w:val="pt-BR"/>
        </w:rPr>
        <w:t>Quanto aos objetivos, a pesquisa assumiu caráter descritivo e exploratório. Segundo Gil (2010), a pesquisa descritiva tem como finalidade descrever características de determinado fenômeno ou estabelecer relações entre variáveis, enquanto a pesquisa exploratória busca proporcionar maior familiaridade com o problema investigado. Neste estudo, a pesquisa foi descritiva porque apresentou, organizou e comparou o comportamento de dois modelos computacionais a partir de métricas previamente definidas. Nesse sentido, descreveu-se como cada modelo respondeu à tarefa de identificar a presença ou ausência de resíduos em imagens urbanas, sem alteração manual dos resultados produzidos durante a inferência.</w:t>
      </w:r>
    </w:p>
    <w:p>
      <w:pPr>
        <w:pStyle w:val="BodyText"/>
        <w:widowControl w:val="false"/>
        <w:suppressAutoHyphens w:val="true"/>
        <w:bidi w:val="0"/>
        <w:ind w:firstLine="709"/>
        <w:jc w:val="both"/>
        <w:rPr>
          <w:lang w:val="pt-BR"/>
        </w:rPr>
      </w:pPr>
      <w:r>
        <w:rPr>
          <w:lang w:val="pt-BR"/>
        </w:rPr>
        <w:t>A pesquisa também foi exploratória, pois examinou uma possibilidade tecnológica ainda em consolidação no contexto da administração pública. Essa classificação foi adequada porque o estudo buscou ampliar a compreensão sobre a viabilidade de duas abordagens distintas de IA, um detector especializado e um modelo visão-linguagem generalista, diante de uma tarefa aplicada à Administração Pública.</w:t>
      </w:r>
    </w:p>
    <w:p>
      <w:pPr>
        <w:pStyle w:val="BodyText"/>
        <w:widowControl w:val="false"/>
        <w:suppressAutoHyphens w:val="true"/>
        <w:bidi w:val="0"/>
        <w:ind w:firstLine="709"/>
        <w:jc w:val="both"/>
        <w:rPr>
          <w:lang w:val="pt-BR"/>
        </w:rPr>
      </w:pPr>
      <w:r>
        <w:rPr>
          <w:lang w:val="pt-BR"/>
        </w:rPr>
        <w:t xml:space="preserve">Quanto à abordagem, tratou-se de pesquisa quantitativa, pois os resultados foram analisados por meio de métricas numéricas, como acurácia, precisão, </w:t>
      </w:r>
      <w:r>
        <w:rPr>
          <w:i/>
          <w:iCs/>
          <w:lang w:val="pt-BR"/>
        </w:rPr>
        <w:t>recall</w:t>
      </w:r>
      <w:r>
        <w:rPr>
          <w:lang w:val="pt-BR"/>
        </w:rPr>
        <w:t xml:space="preserve">, especificidade, F1-score, taxa de falsos positivos, matriz de confusão, tempo de inferência e </w:t>
      </w:r>
      <w:r>
        <w:rPr>
          <w:i/>
          <w:iCs/>
          <w:lang w:val="pt-BR"/>
        </w:rPr>
        <w:t>throughput</w:t>
      </w:r>
      <w:r>
        <w:rPr>
          <w:lang w:val="pt-BR"/>
        </w:rPr>
        <w:t>. Conforme Marconi e Lakatos (2011), a abordagem quantitativa apoia-se na mensuração e no tratamento numérico dos dados, permitindo análise objetiva dos fenômenos investigados. A abordagem quantitativa foi compatível com a proposta do estudo, uma vez que a comparação entre os modelos dependeu da mensuração objetiva de desempenho preditivo e eficiência computacional.</w:t>
      </w:r>
    </w:p>
    <w:p>
      <w:pPr>
        <w:pStyle w:val="BodyText"/>
        <w:widowControl w:val="false"/>
        <w:suppressAutoHyphens w:val="true"/>
        <w:bidi w:val="0"/>
        <w:ind w:firstLine="709"/>
        <w:jc w:val="both"/>
        <w:rPr>
          <w:lang w:val="pt-BR"/>
        </w:rPr>
      </w:pPr>
      <w:r>
        <w:rPr>
          <w:lang w:val="pt-BR"/>
        </w:rPr>
        <w:t xml:space="preserve">Quanto ao método, a pesquisa aproximou-se do método hipotético-dedutivo, pois partiu de um problema de pesquisa, formulou uma hipótese provisória e submeteu essa hipótese a teste empírico. Conforme Marconi e Lakatos (2011), o método hipotético-dedutivo permite testar hipóteses e avaliá-las à luz dos resultados obtidos. Neste trabalho, partiu-se da hipótese de que um modelo especializado de detecção, como o YOLOv11m, tenderia a apresentar maior viabilidade operacional do que um modelo visão-linguagem generalista em modo </w:t>
      </w:r>
      <w:r>
        <w:rPr>
          <w:i/>
          <w:iCs/>
          <w:lang w:val="pt-BR"/>
        </w:rPr>
        <w:t>zero-shot</w:t>
      </w:r>
      <w:r>
        <w:rPr>
          <w:lang w:val="pt-BR"/>
        </w:rPr>
        <w:t>, especialmente quanto ao tempo de inferência e ao controle de falsos positivos.</w:t>
      </w:r>
    </w:p>
    <w:p>
      <w:pPr>
        <w:pStyle w:val="BodyText"/>
        <w:widowControl w:val="false"/>
        <w:suppressAutoHyphens w:val="true"/>
        <w:bidi w:val="0"/>
        <w:ind w:firstLine="709"/>
        <w:jc w:val="both"/>
        <w:rPr>
          <w:lang w:val="pt-BR"/>
        </w:rPr>
      </w:pPr>
      <w:r>
        <w:rPr>
          <w:lang w:val="pt-BR"/>
        </w:rPr>
        <w:t xml:space="preserve">Quanto aos procedimentos, o estudo combinou pesquisa bibliográfica, pesquisa documental e experimento computacional. A pesquisa bibliográfica fundamentou os temas de gestão pública, resíduos urbanos, inteligência artificial, visão computacional, detecção de objetos, modelos visão-linguagem e detecção automatizada de resíduos. A pesquisa documental contemplou normas, bases públicas, documentação técnica de </w:t>
      </w:r>
      <w:r>
        <w:rPr>
          <w:i/>
          <w:iCs/>
          <w:lang w:val="pt-BR"/>
        </w:rPr>
        <w:t>datasets</w:t>
      </w:r>
      <w:r>
        <w:rPr>
          <w:lang w:val="pt-BR"/>
        </w:rPr>
        <w:t xml:space="preserve"> e documentos relacionados ao uso das imagens. O procedimento experimental-computacional consistiu na preparação das bases, no treinamento do YOLOv11m, na inferência com o Gemma 3 27B-IT e na comparação dos resultados obtidos.</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3.2 Objeto de estudo e unidade de análise</w:t>
      </w:r>
    </w:p>
    <w:p>
      <w:pPr>
        <w:pStyle w:val="BodyText"/>
        <w:widowControl w:val="false"/>
        <w:suppressAutoHyphens w:val="true"/>
        <w:bidi w:val="0"/>
        <w:ind w:firstLine="709"/>
        <w:jc w:val="both"/>
        <w:rPr>
          <w:lang w:val="pt-BR"/>
        </w:rPr>
      </w:pPr>
      <w:r>
        <w:rPr>
          <w:lang w:val="pt-BR"/>
        </w:rPr>
        <w:t>O objeto de estudo foi a viabilidade do uso de inteligência artificial no monitoramento de resíduos urbanos em vias públicas. A unidade de análise foi a imagem, considerada individualmente quanto à presença ou ausência de resíduos visíveis. A definição da imagem como unidade de análise alinha-se à tarefa de classificação binária empregada na avaliação de detectores, na qual cada amostra é julgada quanto à ocorrência ou não da classe de interesse (Liu et al., 2020).</w:t>
      </w:r>
    </w:p>
    <w:p>
      <w:pPr>
        <w:pStyle w:val="BodyText"/>
        <w:widowControl w:val="false"/>
        <w:suppressAutoHyphens w:val="true"/>
        <w:bidi w:val="0"/>
        <w:ind w:firstLine="709"/>
        <w:jc w:val="both"/>
        <w:rPr>
          <w:lang w:val="pt-BR"/>
        </w:rPr>
      </w:pPr>
      <w:r>
        <w:rPr>
          <w:lang w:val="pt-BR"/>
        </w:rPr>
        <w:t>A tarefa adotada foi binária. Cada imagem foi classificada como “com resíduos” ou “sem resíduos”. Dessa forma, o estudo não pretendeu classificar tipos específicos de materiais descartados, contar itens, estimar volume de resíduos, medir gravidade sanitária ou avaliar localização precisa como eixo principal. O foco consistiu em verificar se os modelos conseguiam indicar corretamente a presença ou ausência de lixo visível em imagens urbanas reais. Essa simplificação da tarefa para uma decisão binária por imagem é compatível com cenários de triagem de ocorrências, nos quais o interesse recai sobre a sinalização da presença do material, e não sobre a localização exata de cada instância (Proença; Simões, 2020).</w:t>
      </w:r>
    </w:p>
    <w:p>
      <w:pPr>
        <w:pStyle w:val="BodyText"/>
        <w:widowControl w:val="false"/>
        <w:suppressAutoHyphens w:val="true"/>
        <w:bidi w:val="0"/>
        <w:ind w:firstLine="709"/>
        <w:jc w:val="both"/>
        <w:rPr>
          <w:lang w:val="pt-BR"/>
        </w:rPr>
      </w:pPr>
      <w:r>
        <w:rPr>
          <w:lang w:val="pt-BR"/>
        </w:rPr>
        <w:t>Essa delimitação foi necessária porque o objetivo geral do TCC não é construir um sistema completo de limpeza urbana, mas avaliar a viabilidade inicial de duas abordagens de IA como instrumentos potenciais de apoio ao monitoramento. Assim, a análise em nível de imagem permitiu comparar modelos distintos sob um mesmo critério operacional.</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3.3 Modelos comparados</w:t>
      </w:r>
    </w:p>
    <w:p>
      <w:pPr>
        <w:pStyle w:val="BodyText"/>
        <w:widowControl w:val="false"/>
        <w:suppressAutoHyphens w:val="true"/>
        <w:bidi w:val="0"/>
        <w:ind w:firstLine="709"/>
        <w:jc w:val="both"/>
        <w:rPr>
          <w:lang w:val="pt-BR"/>
        </w:rPr>
      </w:pPr>
      <w:r>
        <w:rPr>
          <w:lang w:val="pt-BR"/>
        </w:rPr>
        <w:t xml:space="preserve">A pesquisa comparou dois paradigmas de inteligência artificial aplicados à análise visual de imagens urbanas: um detector especializado de objetos, representante da tradição de modelos supervisionados treinados para localizar instâncias de classes predefinidas (Liu et al., 2020), e um modelo visão-linguagem generalista, herdeiro da abordagem de aprendizado por supervisão em linguagem natural que viabiliza a classificação </w:t>
      </w:r>
      <w:r>
        <w:rPr>
          <w:i/>
          <w:iCs/>
          <w:lang w:val="pt-BR"/>
        </w:rPr>
        <w:t xml:space="preserve">zero-shot </w:t>
      </w:r>
      <w:r>
        <w:rPr>
          <w:lang w:val="pt-BR"/>
        </w:rPr>
        <w:t>(Radford et al., 2021).</w:t>
      </w:r>
    </w:p>
    <w:p>
      <w:pPr>
        <w:pStyle w:val="BodyText"/>
        <w:widowControl w:val="false"/>
        <w:suppressAutoHyphens w:val="true"/>
        <w:bidi w:val="0"/>
        <w:ind w:firstLine="709"/>
        <w:jc w:val="both"/>
        <w:rPr>
          <w:lang w:val="pt-BR"/>
        </w:rPr>
      </w:pPr>
      <w:r>
        <w:rPr>
          <w:lang w:val="pt-BR"/>
        </w:rPr>
        <w:t xml:space="preserve">O primeiro modelo foi o YOLOv11m, utilizado como detector especializado. Esse modelo foi treinado por </w:t>
      </w:r>
      <w:r>
        <w:rPr>
          <w:i/>
          <w:iCs/>
          <w:lang w:val="pt-BR"/>
        </w:rPr>
        <w:t>fine-tuning</w:t>
      </w:r>
      <w:r>
        <w:rPr>
          <w:lang w:val="pt-BR"/>
        </w:rPr>
        <w:t xml:space="preserve"> para reconhecer a classe única “lixo”. Ele representou uma abordagem especializada de detecção de objetos, na qual o modelo foi ajustado para uma tarefa específica a partir de imagens anotadas.</w:t>
      </w:r>
    </w:p>
    <w:p>
      <w:pPr>
        <w:pStyle w:val="BodyText"/>
        <w:widowControl w:val="false"/>
        <w:suppressAutoHyphens w:val="true"/>
        <w:bidi w:val="0"/>
        <w:ind w:firstLine="709"/>
        <w:jc w:val="both"/>
        <w:rPr>
          <w:lang w:val="pt-BR"/>
        </w:rPr>
      </w:pPr>
      <w:r>
        <w:rPr>
          <w:lang w:val="pt-BR"/>
        </w:rPr>
        <w:t xml:space="preserve">O segundo modelo foi o Gemma 3 27B-IT, utilizado como modelo visão-linguagem generalista em modo </w:t>
      </w:r>
      <w:r>
        <w:rPr>
          <w:i/>
          <w:iCs/>
          <w:lang w:val="pt-BR"/>
        </w:rPr>
        <w:t>zero-shot</w:t>
      </w:r>
      <w:r>
        <w:rPr>
          <w:lang w:val="pt-BR"/>
        </w:rPr>
        <w:t>. Nesse caso, o modelo não foi treinado especificamente com as imagens do projeto, sendo avaliado a partir de sua capacidade geral de interpretação visual e de resposta à tarefa proposta.</w:t>
      </w:r>
    </w:p>
    <w:p>
      <w:pPr>
        <w:pStyle w:val="BodyText"/>
        <w:widowControl w:val="false"/>
        <w:suppressAutoHyphens w:val="true"/>
        <w:bidi w:val="0"/>
        <w:ind w:firstLine="709"/>
        <w:jc w:val="both"/>
        <w:rPr>
          <w:lang w:val="pt-BR"/>
        </w:rPr>
      </w:pPr>
      <w:r>
        <w:rPr>
          <w:lang w:val="pt-BR"/>
        </w:rPr>
        <w:t xml:space="preserve">Essa comparação confrontou duas formas distintas de aplicação da IA: uma abordagem especializada, baseada em treinamento direcionado, e uma abordagem generalista, baseada em interpretação multimodal sem ajuste específico ao domínio estudado. A abordagem </w:t>
      </w:r>
      <w:r>
        <w:rPr>
          <w:i/>
          <w:iCs/>
          <w:lang w:val="pt-BR"/>
        </w:rPr>
        <w:t>zero-shot</w:t>
      </w:r>
      <w:r>
        <w:rPr>
          <w:lang w:val="pt-BR"/>
        </w:rPr>
        <w:t xml:space="preserve"> dispensa exemplos rotulados da tarefa-alvo, comparando a imagem a descrições textuais para estimar a correspondência com o </w:t>
      </w:r>
      <w:r>
        <w:rPr>
          <w:i/>
          <w:iCs/>
          <w:lang w:val="pt-BR"/>
        </w:rPr>
        <w:t>prompt</w:t>
      </w:r>
      <w:r>
        <w:rPr>
          <w:lang w:val="pt-BR"/>
        </w:rPr>
        <w:t xml:space="preserve"> fornecido (Zhang et al., 2024), o que a torna atraente em cenários de escassez de dados anotados, mas não garante, por si só, superioridade em tarefas delimitadas. A comparação não pressupôs superioridade teórica de um modelo sobre o outro; essa avaliação foi realizada a partir das métricas definidas no experimento.</w:t>
      </w:r>
    </w:p>
    <w:p>
      <w:pPr>
        <w:pStyle w:val="BodyText"/>
        <w:widowControl w:val="false"/>
        <w:suppressAutoHyphens w:val="true"/>
        <w:bidi w:val="0"/>
        <w:ind w:firstLine="709"/>
        <w:jc w:val="both"/>
        <w:rPr>
          <w:lang w:val="pt-BR"/>
        </w:rPr>
      </w:pPr>
      <w:r>
        <w:rPr>
          <w:lang w:val="pt-BR"/>
        </w:rPr>
        <w:t xml:space="preserve">A comparação entre os modelos foi assimétrica por desenho metodológico: o YOLOv11m foi ajustado por </w:t>
      </w:r>
      <w:r>
        <w:rPr>
          <w:i/>
          <w:iCs/>
          <w:lang w:val="pt-BR"/>
        </w:rPr>
        <w:t>fine-tuning</w:t>
      </w:r>
      <w:r>
        <w:rPr>
          <w:lang w:val="pt-BR"/>
        </w:rPr>
        <w:t xml:space="preserve"> com dados rotulados da tarefa, enquanto o Gemma 3 27B-IT foi utilizado em modo </w:t>
      </w:r>
      <w:r>
        <w:rPr>
          <w:i/>
          <w:iCs/>
          <w:lang w:val="pt-BR"/>
        </w:rPr>
        <w:t>zero-shot</w:t>
      </w:r>
      <w:r>
        <w:rPr>
          <w:lang w:val="pt-BR"/>
        </w:rPr>
        <w:t>. Essa assimetria não invalidou o estudo, pois representa possibilidades reais de adoção tecnológica, no caso, treinar um detector especializado ou utilizar um modelo generalista.</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3.4 Fontes de imagens e bases de dados utilizadas</w:t>
      </w:r>
    </w:p>
    <w:p>
      <w:pPr>
        <w:pStyle w:val="BodyText"/>
        <w:widowControl w:val="false"/>
        <w:suppressAutoHyphens w:val="true"/>
        <w:bidi w:val="0"/>
        <w:ind w:firstLine="709"/>
        <w:jc w:val="both"/>
        <w:rPr>
          <w:lang w:val="pt-BR"/>
        </w:rPr>
      </w:pPr>
      <w:r>
        <w:rPr>
          <w:lang w:val="pt-BR"/>
        </w:rPr>
        <w:t>O experimento utilizou bases de imagens destinadas ao treinamento, validação e teste dos modelos. Para o treinamento do detector especializado, foram utilizadas bases abertas com imagens positivas de resíduos e uma base complementar com imagens negativas de ambiente urbano sem lixo visível.</w:t>
      </w:r>
    </w:p>
    <w:p>
      <w:pPr>
        <w:pStyle w:val="BodyText"/>
        <w:widowControl w:val="false"/>
        <w:suppressAutoHyphens w:val="true"/>
        <w:bidi w:val="0"/>
        <w:ind w:firstLine="709"/>
        <w:jc w:val="both"/>
        <w:rPr>
          <w:lang w:val="pt-BR"/>
        </w:rPr>
      </w:pPr>
      <w:r>
        <w:rPr>
          <w:lang w:val="pt-BR"/>
        </w:rPr>
        <w:t>A base TACO (</w:t>
      </w:r>
      <w:r>
        <w:rPr>
          <w:i/>
          <w:iCs/>
          <w:lang w:val="pt-BR"/>
        </w:rPr>
        <w:t>Trash Annotations in Context</w:t>
      </w:r>
      <w:r>
        <w:rPr>
          <w:lang w:val="pt-BR"/>
        </w:rPr>
        <w:t xml:space="preserve">) foi utilizada como uma das principais fontes de imagens positivas de resíduos, por se tratar de </w:t>
      </w:r>
      <w:r>
        <w:rPr>
          <w:i/>
          <w:iCs/>
          <w:lang w:val="pt-BR"/>
        </w:rPr>
        <w:t xml:space="preserve">dataset </w:t>
      </w:r>
      <w:r>
        <w:rPr>
          <w:lang w:val="pt-BR"/>
        </w:rPr>
        <w:t xml:space="preserve">aberto construído especificamente para detecção e segmentação de lixo em contexto real. Como o </w:t>
      </w:r>
      <w:r>
        <w:rPr>
          <w:i/>
          <w:iCs/>
          <w:lang w:val="pt-BR"/>
        </w:rPr>
        <w:t>dataset</w:t>
      </w:r>
      <w:r>
        <w:rPr>
          <w:lang w:val="pt-BR"/>
        </w:rPr>
        <w:t xml:space="preserve"> original utiliza anotações em formato COCO, foi realizada a conversão das caixas delimitadoras para o formato YOLO, com remapeamento das categorias para a classe única “lixo” (Proença; Simões, 2020). No experimento executado, essa fonte contribuiu com 1.497 imagens positivas utilizadas após deduplicação e seleção.</w:t>
      </w:r>
    </w:p>
    <w:p>
      <w:pPr>
        <w:pStyle w:val="BodyText"/>
        <w:widowControl w:val="false"/>
        <w:suppressAutoHyphens w:val="true"/>
        <w:bidi w:val="0"/>
        <w:ind w:firstLine="709"/>
        <w:jc w:val="both"/>
        <w:rPr>
          <w:lang w:val="pt-BR"/>
        </w:rPr>
      </w:pPr>
      <w:r>
        <w:rPr>
          <w:lang w:val="pt-BR"/>
        </w:rPr>
        <w:t xml:space="preserve">Além do TACO, foi utilizado o </w:t>
      </w:r>
      <w:r>
        <w:rPr>
          <w:i/>
          <w:iCs/>
          <w:lang w:val="pt-BR"/>
        </w:rPr>
        <w:t>dataset</w:t>
      </w:r>
      <w:r>
        <w:rPr>
          <w:lang w:val="pt-BR"/>
        </w:rPr>
        <w:t xml:space="preserve"> Trash Detection, disponibilizado no Roboflow Universe pelo perfil Trash Dataset for Oriented Bounded Box. A versão v14 informa 6.783 imagens e 64 classes (Trash Dataset for Oriented Bounded Box, 2026). Após a padronização para a classe única “lixo” e a deduplicação perceptual, foram mantidas 5.322 imagens positivas para o treinamento.</w:t>
      </w:r>
    </w:p>
    <w:p>
      <w:pPr>
        <w:pStyle w:val="BodyText"/>
        <w:widowControl w:val="false"/>
        <w:suppressAutoHyphens w:val="true"/>
        <w:bidi w:val="0"/>
        <w:ind w:firstLine="709"/>
        <w:jc w:val="both"/>
        <w:rPr>
          <w:lang w:val="pt-BR"/>
        </w:rPr>
      </w:pPr>
      <w:r>
        <w:rPr>
          <w:lang w:val="pt-BR"/>
        </w:rPr>
        <w:t xml:space="preserve">Também foi utilizado o </w:t>
      </w:r>
      <w:r>
        <w:rPr>
          <w:i/>
          <w:iCs/>
          <w:lang w:val="pt-BR"/>
        </w:rPr>
        <w:t>dataset</w:t>
      </w:r>
      <w:r>
        <w:rPr>
          <w:lang w:val="pt-BR"/>
        </w:rPr>
        <w:t xml:space="preserve"> Sidewalk Segmentation, disponibilizado no Roboflow Universe pelo perfil Sidewalk, como fonte de imagens negativas. Essa base contribuiu com 1.203 imagens de background, utilizadas para expor o modelo a cenas urbanas sem resíduos e auxiliar no controle de falsos positivos (Sidewalk, 2022).</w:t>
      </w:r>
    </w:p>
    <w:p>
      <w:pPr>
        <w:pStyle w:val="BodyText"/>
        <w:widowControl w:val="false"/>
        <w:suppressAutoHyphens w:val="true"/>
        <w:bidi w:val="0"/>
        <w:ind w:firstLine="709"/>
        <w:jc w:val="both"/>
        <w:rPr>
          <w:lang w:val="pt-BR"/>
        </w:rPr>
      </w:pPr>
      <w:r>
        <w:rPr>
          <w:lang w:val="pt-BR"/>
        </w:rPr>
        <w:t>O conjunto de teste brasileiro foi formado por imagens reais de vias públicas obtidas a partir de três fontes principais: capturas de tela de plataformas de visualização urbana, fotografias próprias registradas por celular em ruas de Fortaleza e imagens disponibilizadas por organizações não governamentais e projetos relacionados ao monitoramento urbano ou ambiental. Essa composição buscou ampliar a diversidade visual do conjunto de teste, contemplando diferentes condições de iluminação, ângulo, pavimentação, calçadas, sombras, veículos, vegetação e padrões de descarte em vias públicas brasileiras.</w:t>
      </w:r>
    </w:p>
    <w:p>
      <w:pPr>
        <w:pStyle w:val="BodyText"/>
        <w:widowControl w:val="false"/>
        <w:suppressAutoHyphens w:val="true"/>
        <w:bidi w:val="0"/>
        <w:ind w:firstLine="709"/>
        <w:jc w:val="both"/>
        <w:rPr>
          <w:lang w:val="pt-BR"/>
        </w:rPr>
      </w:pPr>
      <w:r>
        <w:rPr>
          <w:lang w:val="pt-BR"/>
        </w:rPr>
        <w:t>As imagens oriundas de plataformas de visualização urbana, especialmente Google Maps/Street View, foram utilizadas em razão da disponibilidade de registros visuais de diferentes vias públicas brasileiras e também por apresentarem, em regra, mecanismos prévios de proteção à privacidade, como o desfoque automático de rostos e placas de veículos. Segundo a política do Google Street View, a plataforma utiliza tecnologia projetada para desfocar rostos identificáveis e placas de veículos nas imagens contribuídas pelo Google (Google, [s.d.]). Essa característica contribuiu para reduzir o risco de exposição de dados pessoais, embora não tenha substituído a revisão visual manual.</w:t>
      </w:r>
    </w:p>
    <w:p>
      <w:pPr>
        <w:pStyle w:val="BodyText"/>
        <w:widowControl w:val="false"/>
        <w:suppressAutoHyphens w:val="true"/>
        <w:bidi w:val="0"/>
        <w:ind w:firstLine="709"/>
        <w:jc w:val="both"/>
        <w:rPr>
          <w:lang w:val="pt-BR"/>
        </w:rPr>
      </w:pPr>
      <w:r>
        <w:rPr>
          <w:lang w:val="pt-BR"/>
        </w:rPr>
        <w:t>As fotografias próprias foram utilizadas como registros produzidos em vias públicas de Fortaleza. As imagens disponibilizadas por ONGs e projetos foram utilizadas somente quando havia autorização, licença pública ou disponibilização compatível com uso acadêmico. Em todos os casos, o objetivo da coleta foi registrar condições visuais relacionadas à presença ou ausência de resíduos, e não identificar pessoas, veículos, imóveis ou comportamentos individuais.</w:t>
      </w:r>
    </w:p>
    <w:p>
      <w:pPr>
        <w:pStyle w:val="BodyText"/>
        <w:widowControl w:val="false"/>
        <w:suppressAutoHyphens w:val="true"/>
        <w:bidi w:val="0"/>
        <w:ind w:firstLine="709"/>
        <w:jc w:val="both"/>
        <w:rPr>
          <w:lang w:val="pt-BR"/>
        </w:rPr>
      </w:pPr>
      <w:r>
        <w:rPr>
          <w:lang w:val="pt-BR"/>
        </w:rPr>
        <w:t>O conjunto de teste foi mantido separado das bases utilizadas para treinamento e validação, a fim de evitar vazamento de dados. A composição final foi de 560 imagens, distribuídas de forma balanceada entre 280 imagens com resíduos visíveis e 280 imagens sem resíduos visíveis. O ground truth binário foi definido pela presença ou ausência visual de resíduos na imagem. A classificação foi realizada pelo próprio pesquisador, com base em protocolo explícito de decisão: consideraram-se como resíduos sacos de lixo, garrafas, embalagens, papelão, plásticos e materiais descartados irregularmente em vias públicas; não foram considerados como resíduos lixeiras ou contêineres fechados em uso normal, objetos utilitários dispostos em frente a residências, vegetação e mobiliário urbano em bom estado. Em casos ambíguos, como resíduos de poda, entulho de obra ativa e objetos de difícil identificação, adotou-se revisão visual adicional. Como limitação, a anotação por anotador único torna o gabarito sujeito ao julgamento individual, o que pode influenciar a interpretação de casos limítrofes, especialmente nos falsos positivos do modelo visão-linguagem.</w:t>
      </w:r>
    </w:p>
    <w:p>
      <w:pPr>
        <w:pStyle w:val="normal1"/>
        <w:spacing w:lineRule="auto" w:line="240"/>
        <w:ind w:hanging="0"/>
        <w:jc w:val="center"/>
        <w:rPr>
          <w:sz w:val="24"/>
          <w:szCs w:val="24"/>
        </w:rPr>
      </w:pPr>
      <w:r>
        <w:rPr>
          <w:rFonts w:eastAsia="Times New Roman" w:cs="Times New Roman"/>
          <w:color w:val="000000"/>
          <w:sz w:val="24"/>
          <w:szCs w:val="24"/>
          <w:lang w:val="pt-BR"/>
        </w:rPr>
        <w:t>Tabela 1 – Fontes de dados utilizadas no experimento</w:t>
      </w:r>
    </w:p>
    <w:tbl>
      <w:tblPr>
        <w:tblStyle w:val="TableNormal"/>
        <w:tblW w:w="9071"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1582"/>
        <w:gridCol w:w="3682"/>
        <w:gridCol w:w="3807"/>
      </w:tblGrid>
      <w:tr>
        <w:trPr>
          <w:tblHeader w:val="true"/>
        </w:trPr>
        <w:tc>
          <w:tcPr>
            <w:tcW w:w="1582"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4"/>
                <w:szCs w:val="24"/>
                <w:lang w:val="en-US" w:eastAsia="zh-CN" w:bidi="hi-IN"/>
              </w:rPr>
            </w:pPr>
            <w:r>
              <w:rPr>
                <w:rFonts w:eastAsia="Noto Serif CJK SC" w:cs="Noto Sans Devanagari" w:ascii="Times New Roman" w:hAnsi="Times New Roman"/>
                <w:b/>
                <w:bCs/>
                <w:color w:val="000000"/>
                <w:kern w:val="0"/>
                <w:sz w:val="20"/>
                <w:szCs w:val="20"/>
                <w:lang w:val="pt-BR" w:eastAsia="zh-CN" w:bidi="hi-IN"/>
              </w:rPr>
              <w:t>Fonte/base</w:t>
            </w:r>
          </w:p>
        </w:tc>
        <w:tc>
          <w:tcPr>
            <w:tcW w:w="3682"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4"/>
                <w:szCs w:val="24"/>
                <w:lang w:val="en-US" w:eastAsia="zh-CN" w:bidi="hi-IN"/>
              </w:rPr>
            </w:pPr>
            <w:r>
              <w:rPr>
                <w:rFonts w:eastAsia="Noto Serif CJK SC" w:cs="Noto Sans Devanagari" w:ascii="Times New Roman" w:hAnsi="Times New Roman"/>
                <w:b/>
                <w:bCs/>
                <w:color w:val="000000"/>
                <w:kern w:val="0"/>
                <w:sz w:val="20"/>
                <w:szCs w:val="20"/>
                <w:lang w:val="pt-BR" w:eastAsia="zh-CN" w:bidi="hi-IN"/>
              </w:rPr>
              <w:t>Função no experimento</w:t>
            </w:r>
          </w:p>
        </w:tc>
        <w:tc>
          <w:tcPr>
            <w:tcW w:w="3807"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4"/>
                <w:szCs w:val="24"/>
                <w:lang w:val="en-US" w:eastAsia="zh-CN" w:bidi="hi-IN"/>
              </w:rPr>
            </w:pPr>
            <w:r>
              <w:rPr>
                <w:rFonts w:eastAsia="Noto Serif CJK SC" w:cs="Noto Sans Devanagari" w:ascii="Times New Roman" w:hAnsi="Times New Roman"/>
                <w:b/>
                <w:bCs/>
                <w:color w:val="000000"/>
                <w:kern w:val="0"/>
                <w:sz w:val="20"/>
                <w:szCs w:val="20"/>
                <w:lang w:val="pt-BR" w:eastAsia="zh-CN" w:bidi="hi-IN"/>
              </w:rPr>
              <w:t>Volume utilizado</w:t>
            </w:r>
          </w:p>
        </w:tc>
      </w:tr>
      <w:tr>
        <w:trPr/>
        <w:tc>
          <w:tcPr>
            <w:tcW w:w="1582"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4"/>
                <w:szCs w:val="24"/>
                <w:lang w:val="en-US" w:eastAsia="zh-CN" w:bidi="hi-IN"/>
              </w:rPr>
            </w:pPr>
            <w:r>
              <w:rPr>
                <w:rFonts w:eastAsia="Noto Serif CJK SC" w:cs="Noto Sans Devanagari" w:ascii="Times New Roman" w:hAnsi="Times New Roman"/>
                <w:color w:val="000000"/>
                <w:kern w:val="0"/>
                <w:sz w:val="20"/>
                <w:szCs w:val="20"/>
                <w:lang w:val="pt-BR" w:eastAsia="zh-CN" w:bidi="hi-IN"/>
              </w:rPr>
              <w:t>TACO</w:t>
            </w:r>
          </w:p>
        </w:tc>
        <w:tc>
          <w:tcPr>
            <w:tcW w:w="3682"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4"/>
                <w:szCs w:val="24"/>
                <w:lang w:val="en-US" w:eastAsia="zh-CN" w:bidi="hi-IN"/>
              </w:rPr>
            </w:pPr>
            <w:r>
              <w:rPr>
                <w:rFonts w:eastAsia="Noto Serif CJK SC" w:cs="Noto Sans Devanagari" w:ascii="Times New Roman" w:hAnsi="Times New Roman"/>
                <w:color w:val="000000"/>
                <w:kern w:val="0"/>
                <w:sz w:val="20"/>
                <w:szCs w:val="20"/>
                <w:lang w:val="pt-BR" w:eastAsia="zh-CN" w:bidi="hi-IN"/>
              </w:rPr>
              <w:t>Imagens positivas de</w:t>
            </w:r>
          </w:p>
          <w:p>
            <w:pPr>
              <w:pStyle w:val="normal1"/>
              <w:suppressAutoHyphens w:val="true"/>
              <w:spacing w:lineRule="auto" w:line="240" w:before="0" w:after="0"/>
              <w:ind w:hanging="0"/>
              <w:jc w:val="center"/>
              <w:rPr>
                <w:rFonts w:ascii="Times New Roman" w:hAnsi="Times New Roman" w:eastAsia="Noto Serif CJK SC" w:cs="Noto Sans Devanagari"/>
                <w:kern w:val="0"/>
                <w:sz w:val="24"/>
                <w:szCs w:val="24"/>
                <w:lang w:val="en-US" w:eastAsia="zh-CN" w:bidi="hi-IN"/>
              </w:rPr>
            </w:pPr>
            <w:r>
              <w:rPr>
                <w:rFonts w:eastAsia="Noto Serif CJK SC" w:cs="Noto Sans Devanagari" w:ascii="Times New Roman" w:hAnsi="Times New Roman"/>
                <w:color w:val="000000"/>
                <w:kern w:val="0"/>
                <w:sz w:val="20"/>
                <w:szCs w:val="20"/>
                <w:lang w:val="pt-BR" w:eastAsia="zh-CN" w:bidi="hi-IN"/>
              </w:rPr>
              <w:t>resíduos para treino</w:t>
            </w:r>
          </w:p>
        </w:tc>
        <w:tc>
          <w:tcPr>
            <w:tcW w:w="3807"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ascii="Times New Roman" w:hAnsi="Times New Roman"/>
                <w:color w:val="000000"/>
                <w:kern w:val="0"/>
                <w:sz w:val="20"/>
                <w:szCs w:val="20"/>
                <w:lang w:val="pt-BR" w:eastAsia="zh-CN" w:bidi="hi-IN"/>
              </w:rPr>
              <w:t>1.497 imagens positivas utilizadas após deduplicação e seleção</w:t>
            </w:r>
          </w:p>
        </w:tc>
      </w:tr>
      <w:tr>
        <w:trPr>
          <w:trHeight w:val="274" w:hRule="atLeast"/>
        </w:trPr>
        <w:tc>
          <w:tcPr>
            <w:tcW w:w="1582"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4"/>
                <w:szCs w:val="24"/>
                <w:lang w:val="en-US" w:eastAsia="zh-CN" w:bidi="hi-IN"/>
              </w:rPr>
            </w:pPr>
            <w:r>
              <w:rPr>
                <w:rFonts w:eastAsia="Noto Serif CJK SC" w:cs="Noto Sans Devanagari" w:ascii="Times New Roman" w:hAnsi="Times New Roman"/>
                <w:color w:val="000000"/>
                <w:kern w:val="0"/>
                <w:sz w:val="20"/>
                <w:szCs w:val="20"/>
                <w:lang w:val="pt-BR" w:eastAsia="zh-CN" w:bidi="hi-IN"/>
              </w:rPr>
              <w:t>Trash Detection</w:t>
            </w:r>
          </w:p>
        </w:tc>
        <w:tc>
          <w:tcPr>
            <w:tcW w:w="3682"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4"/>
                <w:szCs w:val="24"/>
                <w:lang w:val="en-US" w:eastAsia="zh-CN" w:bidi="hi-IN"/>
              </w:rPr>
            </w:pPr>
            <w:r>
              <w:rPr>
                <w:rFonts w:eastAsia="Noto Serif CJK SC" w:cs="Noto Sans Devanagari" w:ascii="Times New Roman" w:hAnsi="Times New Roman"/>
                <w:color w:val="000000"/>
                <w:kern w:val="0"/>
                <w:sz w:val="20"/>
                <w:szCs w:val="20"/>
                <w:lang w:val="pt-BR" w:eastAsia="zh-CN" w:bidi="hi-IN"/>
              </w:rPr>
              <w:t>Imagens positivas</w:t>
            </w:r>
          </w:p>
          <w:p>
            <w:pPr>
              <w:pStyle w:val="normal1"/>
              <w:suppressAutoHyphens w:val="true"/>
              <w:spacing w:lineRule="auto" w:line="240" w:before="0" w:after="0"/>
              <w:ind w:hanging="0"/>
              <w:jc w:val="center"/>
              <w:rPr>
                <w:rFonts w:ascii="Times New Roman" w:hAnsi="Times New Roman" w:eastAsia="Noto Serif CJK SC" w:cs="Noto Sans Devanagari"/>
                <w:kern w:val="0"/>
                <w:sz w:val="24"/>
                <w:szCs w:val="24"/>
                <w:lang w:val="en-US" w:eastAsia="zh-CN" w:bidi="hi-IN"/>
              </w:rPr>
            </w:pPr>
            <w:r>
              <w:rPr>
                <w:rFonts w:eastAsia="Noto Serif CJK SC" w:cs="Noto Sans Devanagari" w:ascii="Times New Roman" w:hAnsi="Times New Roman"/>
                <w:color w:val="000000"/>
                <w:kern w:val="0"/>
                <w:sz w:val="20"/>
                <w:szCs w:val="20"/>
                <w:lang w:val="pt-BR" w:eastAsia="zh-CN" w:bidi="hi-IN"/>
              </w:rPr>
              <w:t>complementares para treino</w:t>
            </w:r>
          </w:p>
        </w:tc>
        <w:tc>
          <w:tcPr>
            <w:tcW w:w="3807"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ascii="Times New Roman" w:hAnsi="Times New Roman"/>
                <w:color w:val="000000"/>
                <w:kern w:val="0"/>
                <w:sz w:val="20"/>
                <w:szCs w:val="20"/>
                <w:lang w:val="pt-BR" w:eastAsia="zh-CN" w:bidi="hi-IN"/>
              </w:rPr>
              <w:t>5.322 imagens positivas utilizadas após deduplicação perceptual; dataset-base informa 6.783 imagens e 64 classes</w:t>
            </w:r>
          </w:p>
        </w:tc>
      </w:tr>
      <w:tr>
        <w:trPr/>
        <w:tc>
          <w:tcPr>
            <w:tcW w:w="1582"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4"/>
                <w:szCs w:val="24"/>
                <w:lang w:val="en-US" w:eastAsia="zh-CN" w:bidi="hi-IN"/>
              </w:rPr>
            </w:pPr>
            <w:r>
              <w:rPr>
                <w:rFonts w:eastAsia="Noto Serif CJK SC" w:cs="Noto Sans Devanagari" w:ascii="Times New Roman" w:hAnsi="Times New Roman"/>
                <w:color w:val="000000"/>
                <w:kern w:val="0"/>
                <w:sz w:val="20"/>
                <w:szCs w:val="20"/>
                <w:lang w:val="pt-BR" w:eastAsia="zh-CN" w:bidi="hi-IN"/>
              </w:rPr>
              <w:t>Sidewalk Segmentation</w:t>
            </w:r>
          </w:p>
        </w:tc>
        <w:tc>
          <w:tcPr>
            <w:tcW w:w="3682"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4"/>
                <w:szCs w:val="24"/>
                <w:lang w:val="en-US" w:eastAsia="zh-CN" w:bidi="hi-IN"/>
              </w:rPr>
            </w:pPr>
            <w:r>
              <w:rPr>
                <w:rFonts w:eastAsia="Noto Serif CJK SC" w:cs="Noto Sans Devanagari" w:ascii="Times New Roman" w:hAnsi="Times New Roman"/>
                <w:color w:val="000000"/>
                <w:kern w:val="0"/>
                <w:sz w:val="20"/>
                <w:szCs w:val="20"/>
                <w:lang w:val="pt-BR" w:eastAsia="zh-CN" w:bidi="hi-IN"/>
              </w:rPr>
              <w:t>Imagens negativas/background</w:t>
            </w:r>
          </w:p>
        </w:tc>
        <w:tc>
          <w:tcPr>
            <w:tcW w:w="3807"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ascii="Times New Roman" w:hAnsi="Times New Roman"/>
                <w:color w:val="000000"/>
                <w:kern w:val="0"/>
                <w:sz w:val="20"/>
                <w:szCs w:val="20"/>
                <w:lang w:val="pt-BR" w:eastAsia="zh-CN" w:bidi="hi-IN"/>
              </w:rPr>
              <w:t>1.203 imagens de background</w:t>
            </w:r>
          </w:p>
        </w:tc>
      </w:tr>
      <w:tr>
        <w:trPr/>
        <w:tc>
          <w:tcPr>
            <w:tcW w:w="1582"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4"/>
                <w:szCs w:val="24"/>
                <w:lang w:val="en-US" w:eastAsia="zh-CN" w:bidi="hi-IN"/>
              </w:rPr>
            </w:pPr>
            <w:r>
              <w:rPr>
                <w:rFonts w:eastAsia="Noto Serif CJK SC" w:cs="Noto Sans Devanagari" w:ascii="Times New Roman" w:hAnsi="Times New Roman"/>
                <w:color w:val="000000"/>
                <w:kern w:val="0"/>
                <w:sz w:val="20"/>
                <w:szCs w:val="20"/>
                <w:lang w:val="pt-BR" w:eastAsia="zh-CN" w:bidi="hi-IN"/>
              </w:rPr>
              <w:t>Conjunto de teste brasileiro</w:t>
            </w:r>
          </w:p>
        </w:tc>
        <w:tc>
          <w:tcPr>
            <w:tcW w:w="3682"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4"/>
                <w:szCs w:val="24"/>
                <w:lang w:val="en-US" w:eastAsia="zh-CN" w:bidi="hi-IN"/>
              </w:rPr>
            </w:pPr>
            <w:r>
              <w:rPr>
                <w:rFonts w:eastAsia="Noto Serif CJK SC" w:cs="Noto Sans Devanagari" w:ascii="Times New Roman" w:hAnsi="Times New Roman"/>
                <w:color w:val="000000"/>
                <w:kern w:val="0"/>
                <w:sz w:val="20"/>
                <w:szCs w:val="20"/>
                <w:lang w:val="pt-BR" w:eastAsia="zh-CN" w:bidi="hi-IN"/>
              </w:rPr>
              <w:t>Avaliação final dos modelos</w:t>
            </w:r>
          </w:p>
        </w:tc>
        <w:tc>
          <w:tcPr>
            <w:tcW w:w="3807"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ascii="Times New Roman" w:hAnsi="Times New Roman"/>
                <w:color w:val="000000"/>
                <w:kern w:val="0"/>
                <w:sz w:val="20"/>
                <w:szCs w:val="20"/>
                <w:lang w:val="pt-BR" w:eastAsia="zh-CN" w:bidi="hi-IN"/>
              </w:rPr>
              <w:t>560 imagens: 280 positivas e 280 negativas</w:t>
            </w:r>
          </w:p>
        </w:tc>
      </w:tr>
    </w:tbl>
    <w:p>
      <w:pPr>
        <w:pStyle w:val="normal1"/>
        <w:spacing w:lineRule="auto" w:line="240"/>
        <w:ind w:hanging="0"/>
        <w:jc w:val="left"/>
        <w:rPr>
          <w:lang w:val="pt-BR"/>
        </w:rPr>
      </w:pPr>
      <w:r>
        <w:rPr>
          <w:rFonts w:eastAsia="Times New Roman" w:cs="Times New Roman"/>
          <w:sz w:val="20"/>
          <w:szCs w:val="20"/>
          <w:lang w:val="pt-BR"/>
        </w:rPr>
        <w:t>Fonte: elaborado pelo autor com base no experimento (2026).</w:t>
        <w:tab/>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3.5 Critérios éticos, privacidade e uso das imagens</w:t>
      </w:r>
    </w:p>
    <w:p>
      <w:pPr>
        <w:pStyle w:val="BodyText"/>
        <w:widowControl w:val="false"/>
        <w:suppressAutoHyphens w:val="true"/>
        <w:bidi w:val="0"/>
        <w:ind w:firstLine="709"/>
        <w:jc w:val="both"/>
        <w:rPr>
          <w:lang w:val="pt-BR"/>
        </w:rPr>
      </w:pPr>
      <w:r>
        <w:rPr>
          <w:lang w:val="pt-BR"/>
        </w:rPr>
        <w:t>Durante a organização do conjunto de imagens, foram adotados cuidados para reduzir riscos de exposição de dados pessoais e elementos identificáveis. Quando havia rostos, placas de veículos, ou outros elementos sensíveis, as imagens foram recortadas ou anonimizadas, conforme a necessidade.</w:t>
      </w:r>
    </w:p>
    <w:p>
      <w:pPr>
        <w:pStyle w:val="BodyText"/>
        <w:widowControl w:val="false"/>
        <w:suppressAutoHyphens w:val="true"/>
        <w:bidi w:val="0"/>
        <w:ind w:firstLine="709"/>
        <w:jc w:val="both"/>
        <w:rPr>
          <w:lang w:val="pt-BR"/>
        </w:rPr>
      </w:pPr>
      <w:r>
        <w:rPr>
          <w:lang w:val="pt-BR"/>
        </w:rPr>
        <w:t>O uso de imagens provenientes do Google Street View observou a necessidade de atribuição e respeito às condições de uso da plataforma. O desfoque automático de rostos e placas foi considerado uma medida auxiliar de proteção à privacidade, mas não uma garantia absoluta. Por essa razão, as imagens selecionadas foram submetidas a revisão visual antes de integrarem o conjunto de teste.</w:t>
      </w:r>
    </w:p>
    <w:p>
      <w:pPr>
        <w:pStyle w:val="BodyText"/>
        <w:widowControl w:val="false"/>
        <w:suppressAutoHyphens w:val="true"/>
        <w:bidi w:val="0"/>
        <w:ind w:firstLine="709"/>
        <w:jc w:val="both"/>
        <w:rPr>
          <w:lang w:val="pt-BR"/>
        </w:rPr>
      </w:pPr>
      <w:r>
        <w:rPr>
          <w:lang w:val="pt-BR"/>
        </w:rPr>
        <w:t>Nas fotografias próprias e nas imagens obtidas por meio de ONGs ou projetos, a triagem foi ainda mais relevante, pois essas imagens poderiam não apresentar mecanismos automáticos de anonimização. Assim, imagens com identificação clara de pessoas, placas de veículos, endereços particulares ou outros elementos sensíveis foram descartadas.</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3.6 Preparação e padronização dos dados</w:t>
      </w:r>
    </w:p>
    <w:p>
      <w:pPr>
        <w:pStyle w:val="BodyText"/>
        <w:widowControl w:val="false"/>
        <w:suppressAutoHyphens w:val="true"/>
        <w:bidi w:val="0"/>
        <w:ind w:firstLine="709"/>
        <w:jc w:val="both"/>
        <w:rPr>
          <w:lang w:val="pt-BR"/>
        </w:rPr>
      </w:pPr>
      <w:r>
        <w:rPr>
          <w:lang w:val="pt-BR"/>
        </w:rPr>
        <w:t>A preparação dos dados compreendeu a unificação das bases, a padronização das classes, a deduplicação e a separação entre treino, validação e teste.</w:t>
      </w:r>
    </w:p>
    <w:p>
      <w:pPr>
        <w:pStyle w:val="BodyText"/>
        <w:widowControl w:val="false"/>
        <w:suppressAutoHyphens w:val="true"/>
        <w:bidi w:val="0"/>
        <w:ind w:firstLine="709"/>
        <w:jc w:val="both"/>
        <w:rPr>
          <w:lang w:val="pt-BR"/>
        </w:rPr>
      </w:pPr>
      <w:r>
        <w:rPr>
          <w:lang w:val="pt-BR"/>
        </w:rPr>
        <w:t xml:space="preserve">As imagens provenientes dos </w:t>
      </w:r>
      <w:r>
        <w:rPr>
          <w:i/>
          <w:iCs/>
          <w:lang w:val="pt-BR"/>
        </w:rPr>
        <w:t>datasets</w:t>
      </w:r>
      <w:r>
        <w:rPr>
          <w:lang w:val="pt-BR"/>
        </w:rPr>
        <w:t xml:space="preserve"> TACO e Trash Detection foram utilizadas como fontes positivas, após padronização das anotações para a classe única “lixo”. As diferentes categorias originais dos </w:t>
      </w:r>
      <w:r>
        <w:rPr>
          <w:i/>
          <w:iCs/>
          <w:lang w:val="pt-BR"/>
        </w:rPr>
        <w:t>datasets</w:t>
      </w:r>
      <w:r>
        <w:rPr>
          <w:lang w:val="pt-BR"/>
        </w:rPr>
        <w:t xml:space="preserve"> foram agregadas em uma única classe, pois o objetivo da pesquisa não foi classificar tipos específicos de resíduos, mas verificar a presença ou ausência de lixo visível em imagens urbanas.</w:t>
      </w:r>
    </w:p>
    <w:p>
      <w:pPr>
        <w:pStyle w:val="BodyText"/>
        <w:widowControl w:val="false"/>
        <w:suppressAutoHyphens w:val="true"/>
        <w:bidi w:val="0"/>
        <w:ind w:firstLine="709"/>
        <w:jc w:val="both"/>
        <w:rPr>
          <w:lang w:val="pt-BR"/>
        </w:rPr>
      </w:pPr>
      <w:r>
        <w:rPr>
          <w:lang w:val="pt-BR"/>
        </w:rPr>
        <w:t xml:space="preserve">As imagens do Sidewalk Segmentation foram utilizadas como exemplos negativos ou de </w:t>
      </w:r>
      <w:r>
        <w:rPr>
          <w:i/>
          <w:iCs/>
          <w:lang w:val="pt-BR"/>
        </w:rPr>
        <w:t>background</w:t>
      </w:r>
      <w:r>
        <w:rPr>
          <w:lang w:val="pt-BR"/>
        </w:rPr>
        <w:t>. Para isso, foram associadas a arquivos de rótulo vazios, indicando ausência de resíduos. Essa estratégia foi compatível com a formulação binária da pesquisa e contribuiu para avaliar o comportamento do modelo diante de imagens urbanas sem descarte visível.</w:t>
      </w:r>
    </w:p>
    <w:p>
      <w:pPr>
        <w:pStyle w:val="BodyText"/>
        <w:widowControl w:val="false"/>
        <w:suppressAutoHyphens w:val="true"/>
        <w:bidi w:val="0"/>
        <w:ind w:firstLine="709"/>
        <w:jc w:val="both"/>
        <w:rPr>
          <w:lang w:val="pt-BR"/>
        </w:rPr>
      </w:pPr>
      <w:r>
        <w:rPr>
          <w:lang w:val="pt-BR"/>
        </w:rPr>
        <w:t xml:space="preserve">A proporção de imagens negativas no conjunto de treinamento foi ajustada para aproximadamente 15%, dentro de uma faixa-alvo de 10% a 20% utilizada como referência interna para exemplos de </w:t>
      </w:r>
      <w:r>
        <w:rPr>
          <w:i/>
          <w:iCs/>
          <w:lang w:val="pt-BR"/>
        </w:rPr>
        <w:t>background</w:t>
      </w:r>
      <w:r>
        <w:rPr>
          <w:lang w:val="pt-BR"/>
        </w:rPr>
        <w:t xml:space="preserve"> em detecção de objetos. A inclusão de imagens de fundo sem o objeto-alvo é uma prática recomendada no treinamento de detectores para reduzir ativações espúrias e controlar falsos positivos (Ultralytics, 2024). Essa alteração teve o objetivo de ampliar a exposição do modelo a cenas urbanas sem resíduos e fortalecer o controle de falsos positivos. Após a preparação e deduplicação perceptual, o conjunto final de treinamento apresentou 6.736 imagens, sendo 5.685 positivas e 1.051 de </w:t>
      </w:r>
      <w:r>
        <w:rPr>
          <w:i/>
          <w:iCs/>
          <w:lang w:val="pt-BR"/>
        </w:rPr>
        <w:t>background</w:t>
      </w:r>
      <w:r>
        <w:rPr>
          <w:lang w:val="pt-BR"/>
        </w:rPr>
        <w:t>, o que corresponde a aproximadamente 15,6% de imagens negativas.</w:t>
      </w:r>
    </w:p>
    <w:p>
      <w:pPr>
        <w:pStyle w:val="BodyText"/>
        <w:widowControl w:val="false"/>
        <w:suppressAutoHyphens w:val="true"/>
        <w:bidi w:val="0"/>
        <w:ind w:firstLine="709"/>
        <w:jc w:val="both"/>
        <w:rPr>
          <w:lang w:val="pt-BR"/>
        </w:rPr>
      </w:pPr>
      <w:r>
        <w:rPr>
          <w:lang w:val="pt-BR"/>
        </w:rPr>
        <w:t>Todas as anotações positivas foram convertidas para a classe única 0 = lixo. Não houve classe “não lixo”; imagens sem resíduos foram representadas por arquivos de rótulo vazios. Essa decisão esteve alinhada à pergunta central da pesquisa, pois o interesse do estudo foi identificar a presença ou ausência de resíduos em vias públicas, e não classificar diferentes categorias de materiais.</w:t>
      </w:r>
    </w:p>
    <w:p>
      <w:pPr>
        <w:pStyle w:val="BodyText"/>
        <w:widowControl w:val="false"/>
        <w:suppressAutoHyphens w:val="true"/>
        <w:bidi w:val="0"/>
        <w:ind w:firstLine="709"/>
        <w:jc w:val="both"/>
        <w:rPr>
          <w:lang w:val="pt-BR"/>
        </w:rPr>
      </w:pPr>
      <w:r>
        <w:rPr>
          <w:lang w:val="pt-BR"/>
        </w:rPr>
        <w:t>Foi realizada deduplicação perceptual por meio de pHash, com limiar de distância perceptual menor ou igual a 5, a fim de reduzir o risco de imagens duplicadas ou muito semelhantes entre os conjuntos. Também foi verificado possível vazamento entre treino, validação e teste, uma vez que a presença de imagens iguais ou semelhantes em mais de um conjunto poderia comprometer a confiabilidade da avaliação. O controle de vazamento entre partições é condição necessária para a validade da estimativa de desempenho, pois a sobreposição de amostras entre treino e teste tende a superestimar a capacidade de generalização do modelo (Liu et al., 2020).</w:t>
      </w:r>
    </w:p>
    <w:p>
      <w:pPr>
        <w:pStyle w:val="BodyText"/>
        <w:widowControl w:val="false"/>
        <w:suppressAutoHyphens w:val="true"/>
        <w:bidi w:val="0"/>
        <w:ind w:firstLine="709"/>
        <w:jc w:val="both"/>
        <w:rPr>
          <w:lang w:val="pt-BR"/>
        </w:rPr>
      </w:pPr>
      <w:r>
        <w:rPr>
          <w:lang w:val="pt-BR"/>
        </w:rPr>
        <w:t>No pool bruto de treinamento, a deduplicação removeu 1.661 duplicatas perceptuais de um total inicial de 10.211 imagens, o que corresponde a uma redução aproximada de 16,3%. No conjunto de teste, não foram identificadas duplicatas, e a verificação cruzada por pHash entre treino e teste não detectou vazamento perceptual. Esses procedimentos contribuíram para preservar a validade externa da avaliação experimental.</w:t>
      </w:r>
    </w:p>
    <w:p>
      <w:pPr>
        <w:pStyle w:val="BodyText"/>
        <w:widowControl w:val="false"/>
        <w:suppressAutoHyphens w:val="true"/>
        <w:bidi w:val="0"/>
        <w:ind w:firstLine="709"/>
        <w:jc w:val="both"/>
        <w:rPr>
          <w:lang w:val="pt-BR"/>
        </w:rPr>
      </w:pPr>
      <w:r>
        <w:rPr>
          <w:lang w:val="pt-BR"/>
        </w:rPr>
        <w:t xml:space="preserve">O conjunto de treino e validação foi estruturado com divisão interna de aproximadamente 85% para treino e 15% para validação, resultando em 6.736 imagens no treinamento e 1.286 imagens na validação. O conjunto de validação incluiu 185 imagens de </w:t>
      </w:r>
      <w:r>
        <w:rPr>
          <w:i/>
          <w:iCs/>
          <w:lang w:val="pt-BR"/>
        </w:rPr>
        <w:t>background</w:t>
      </w:r>
      <w:r>
        <w:rPr>
          <w:lang w:val="pt-BR"/>
        </w:rPr>
        <w:t>, aproximadamente 14,4% da validação, permitindo que as métricas de validação refletissem também a ocorrência de falsos positivos.</w:t>
      </w:r>
    </w:p>
    <w:p>
      <w:pPr>
        <w:pStyle w:val="BodyText"/>
        <w:widowControl w:val="false"/>
        <w:suppressAutoHyphens w:val="true"/>
        <w:bidi w:val="0"/>
        <w:ind w:firstLine="709"/>
        <w:jc w:val="both"/>
        <w:rPr>
          <w:lang w:val="pt-BR"/>
        </w:rPr>
      </w:pPr>
      <w:r>
        <w:rPr>
          <w:lang w:val="pt-BR"/>
        </w:rPr>
        <w:t>Nas imagens positivas do conjunto de teste, as anotações consideraram regiões de descarte, e não necessariamente cada item individual de resíduo. Resíduos muito pequenos, distantes ou com baixa visibilidade poderiam não estar anotados. Essa convenção foi compatível com a tarefa binária em nível de imagem, mas pode influenciar a interpretação de falsos positivos.</w:t>
      </w:r>
    </w:p>
    <w:p>
      <w:pPr>
        <w:pStyle w:val="normal1"/>
        <w:spacing w:lineRule="auto" w:line="240"/>
        <w:ind w:hanging="0"/>
        <w:jc w:val="center"/>
        <w:rPr>
          <w:sz w:val="24"/>
          <w:szCs w:val="24"/>
        </w:rPr>
      </w:pPr>
      <w:r>
        <w:rPr>
          <w:rFonts w:eastAsia="Times New Roman" w:cs="Times New Roman"/>
          <w:color w:val="000000"/>
          <w:sz w:val="24"/>
          <w:szCs w:val="24"/>
          <w:lang w:val="pt-BR"/>
        </w:rPr>
        <w:t>Tabela 2 – Composição final dos conjuntos após preparação dos dados</w:t>
      </w:r>
    </w:p>
    <w:tbl>
      <w:tblPr>
        <w:tblStyle w:val="TableNormal"/>
        <w:tblW w:w="9075"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1549"/>
        <w:gridCol w:w="1166"/>
        <w:gridCol w:w="1410"/>
        <w:gridCol w:w="2448"/>
        <w:gridCol w:w="2502"/>
      </w:tblGrid>
      <w:tr>
        <w:trPr>
          <w:tblHeader w:val="true"/>
          <w:trHeight w:val="900" w:hRule="atLeast"/>
        </w:trPr>
        <w:tc>
          <w:tcPr>
            <w:tcW w:w="1549"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b/>
                <w:bCs/>
                <w:color w:val="000000"/>
                <w:kern w:val="0"/>
                <w:sz w:val="20"/>
                <w:szCs w:val="20"/>
                <w:lang w:val="pt-BR" w:eastAsia="zh-CN" w:bidi="hi-IN"/>
              </w:rPr>
              <w:t>Conjunto</w:t>
            </w:r>
          </w:p>
        </w:tc>
        <w:tc>
          <w:tcPr>
            <w:tcW w:w="1166"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color w:val="000000"/>
                <w:kern w:val="0"/>
                <w:sz w:val="20"/>
                <w:szCs w:val="20"/>
                <w:lang w:val="pt-BR" w:eastAsia="zh-CN" w:bidi="hi-IN"/>
              </w:rPr>
              <w:t>Total de imagens</w:t>
            </w:r>
          </w:p>
        </w:tc>
        <w:tc>
          <w:tcPr>
            <w:tcW w:w="1410"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color w:val="000000"/>
                <w:kern w:val="0"/>
                <w:sz w:val="20"/>
                <w:szCs w:val="20"/>
                <w:lang w:val="pt-BR" w:eastAsia="zh-CN" w:bidi="hi-IN"/>
              </w:rPr>
              <w:t>Imagens positivas</w:t>
            </w:r>
          </w:p>
        </w:tc>
        <w:tc>
          <w:tcPr>
            <w:tcW w:w="2448"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color w:val="000000"/>
                <w:kern w:val="0"/>
                <w:sz w:val="20"/>
                <w:szCs w:val="20"/>
                <w:lang w:val="pt-BR" w:eastAsia="zh-CN" w:bidi="hi-IN"/>
              </w:rPr>
              <w:t>Imagens negativas/background</w:t>
            </w:r>
          </w:p>
        </w:tc>
        <w:tc>
          <w:tcPr>
            <w:tcW w:w="2502"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color w:val="000000"/>
                <w:kern w:val="0"/>
                <w:sz w:val="20"/>
                <w:szCs w:val="20"/>
                <w:lang w:val="pt-BR" w:eastAsia="zh-CN" w:bidi="hi-IN"/>
              </w:rPr>
              <w:t>Observação</w:t>
            </w:r>
          </w:p>
        </w:tc>
      </w:tr>
      <w:tr>
        <w:trPr/>
        <w:tc>
          <w:tcPr>
            <w:tcW w:w="1549"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Treinamento</w:t>
            </w:r>
          </w:p>
        </w:tc>
        <w:tc>
          <w:tcPr>
            <w:tcW w:w="1166"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6.736</w:t>
            </w:r>
          </w:p>
        </w:tc>
        <w:tc>
          <w:tcPr>
            <w:tcW w:w="1410"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5.685</w:t>
            </w:r>
          </w:p>
        </w:tc>
        <w:tc>
          <w:tcPr>
            <w:tcW w:w="2448"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1.051</w:t>
            </w:r>
          </w:p>
        </w:tc>
        <w:tc>
          <w:tcPr>
            <w:tcW w:w="2502"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i/>
                <w:iCs/>
                <w:color w:val="000000"/>
                <w:kern w:val="0"/>
                <w:sz w:val="20"/>
                <w:szCs w:val="20"/>
                <w:lang w:val="pt-BR" w:eastAsia="zh-CN" w:bidi="hi-IN"/>
              </w:rPr>
              <w:t>Background</w:t>
            </w:r>
            <w:r>
              <w:rPr>
                <w:rFonts w:eastAsia="Noto Serif CJK SC" w:cs="Noto Sans Devanagari"/>
                <w:color w:val="000000"/>
                <w:kern w:val="0"/>
                <w:sz w:val="20"/>
                <w:szCs w:val="20"/>
                <w:lang w:val="pt-BR" w:eastAsia="zh-CN" w:bidi="hi-IN"/>
              </w:rPr>
              <w:t xml:space="preserve"> corresponde a aproximadamente 15,6% do treino</w:t>
            </w:r>
          </w:p>
        </w:tc>
      </w:tr>
      <w:tr>
        <w:trPr/>
        <w:tc>
          <w:tcPr>
            <w:tcW w:w="1549"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Validação</w:t>
            </w:r>
          </w:p>
        </w:tc>
        <w:tc>
          <w:tcPr>
            <w:tcW w:w="1166"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1.286</w:t>
            </w:r>
          </w:p>
        </w:tc>
        <w:tc>
          <w:tcPr>
            <w:tcW w:w="1410"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1.101</w:t>
            </w:r>
          </w:p>
        </w:tc>
        <w:tc>
          <w:tcPr>
            <w:tcW w:w="2448"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185</w:t>
            </w:r>
          </w:p>
        </w:tc>
        <w:tc>
          <w:tcPr>
            <w:tcW w:w="2502"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 xml:space="preserve">Validação com </w:t>
            </w:r>
            <w:r>
              <w:rPr>
                <w:rFonts w:eastAsia="Noto Serif CJK SC" w:cs="Noto Sans Devanagari"/>
                <w:i/>
                <w:iCs/>
                <w:color w:val="000000"/>
                <w:kern w:val="0"/>
                <w:sz w:val="20"/>
                <w:szCs w:val="20"/>
                <w:lang w:val="pt-BR" w:eastAsia="zh-CN" w:bidi="hi-IN"/>
              </w:rPr>
              <w:t>background</w:t>
            </w:r>
            <w:r>
              <w:rPr>
                <w:rFonts w:eastAsia="Noto Serif CJK SC" w:cs="Noto Sans Devanagari"/>
                <w:color w:val="000000"/>
                <w:kern w:val="0"/>
                <w:sz w:val="20"/>
                <w:szCs w:val="20"/>
                <w:lang w:val="pt-BR" w:eastAsia="zh-CN" w:bidi="hi-IN"/>
              </w:rPr>
              <w:t>, aproximadamente 14,4%</w:t>
            </w:r>
          </w:p>
        </w:tc>
      </w:tr>
      <w:tr>
        <w:trPr>
          <w:trHeight w:val="513" w:hRule="atLeast"/>
        </w:trPr>
        <w:tc>
          <w:tcPr>
            <w:tcW w:w="1549"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Teste brasileiro</w:t>
            </w:r>
          </w:p>
        </w:tc>
        <w:tc>
          <w:tcPr>
            <w:tcW w:w="1166"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560</w:t>
            </w:r>
          </w:p>
        </w:tc>
        <w:tc>
          <w:tcPr>
            <w:tcW w:w="1410"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280</w:t>
            </w:r>
          </w:p>
        </w:tc>
        <w:tc>
          <w:tcPr>
            <w:tcW w:w="2448"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280</w:t>
            </w:r>
          </w:p>
        </w:tc>
        <w:tc>
          <w:tcPr>
            <w:tcW w:w="2502" w:type="dxa"/>
            <w:tcBorders/>
            <w:vAlign w:val="center"/>
          </w:tcPr>
          <w:p>
            <w:pPr>
              <w:pStyle w:val="normal1"/>
              <w:suppressAutoHyphens w:val="true"/>
              <w:spacing w:lineRule="auto" w:line="240"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color w:val="000000"/>
                <w:kern w:val="0"/>
                <w:sz w:val="20"/>
                <w:szCs w:val="20"/>
                <w:lang w:val="pt-BR" w:eastAsia="zh-CN" w:bidi="hi-IN"/>
              </w:rPr>
              <w:t>Conjunto externo, balanceado e separado do treino</w:t>
            </w:r>
          </w:p>
        </w:tc>
      </w:tr>
    </w:tbl>
    <w:p>
      <w:pPr>
        <w:pStyle w:val="normal1"/>
        <w:spacing w:lineRule="auto" w:line="240"/>
        <w:ind w:hanging="0"/>
        <w:jc w:val="left"/>
        <w:rPr>
          <w:color w:val="000000"/>
          <w:lang w:val="pt-BR"/>
        </w:rPr>
      </w:pPr>
      <w:r>
        <w:rPr>
          <w:rFonts w:eastAsia="Times New Roman" w:cs="Times New Roman"/>
          <w:color w:val="000000"/>
          <w:sz w:val="20"/>
          <w:szCs w:val="20"/>
          <w:lang w:val="pt-BR"/>
        </w:rPr>
        <w:t>Fonte: elaborado pelo autor com base no experimento (2026).</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3.7 Treinamento do YOLOv11m</w:t>
      </w:r>
    </w:p>
    <w:p>
      <w:pPr>
        <w:pStyle w:val="BodyText"/>
        <w:widowControl w:val="false"/>
        <w:suppressAutoHyphens w:val="true"/>
        <w:bidi w:val="0"/>
        <w:ind w:firstLine="709"/>
        <w:jc w:val="both"/>
        <w:rPr>
          <w:lang w:val="pt-BR"/>
        </w:rPr>
      </w:pPr>
      <w:r>
        <w:rPr>
          <w:lang w:val="pt-BR"/>
        </w:rPr>
        <w:t xml:space="preserve">O modelo YOLOv11m foi treinado por </w:t>
      </w:r>
      <w:r>
        <w:rPr>
          <w:i/>
          <w:iCs/>
          <w:lang w:val="pt-BR"/>
        </w:rPr>
        <w:t>fine-tuning</w:t>
      </w:r>
      <w:r>
        <w:rPr>
          <w:lang w:val="pt-BR"/>
        </w:rPr>
        <w:t xml:space="preserve"> a partir de pesos pré-treinados (yolo11m.pt). O treinamento foi realizado com a classe única “lixo”, utilizando imagens positivas provenientes do TACO e do Trash Detection, além de imagens negativas provenientes do Sidewalk Segmentation. Os principais hiperparâmetros adotados foram: 100 épocas, batch size igual a 12, resolução de entrada de 640×640 pixels, otimizador AdamW com taxa de aprendizado inicial de 0,001, paciência de parada antecipada de 20 épocas, augmentation de mosaico (mosaic=1,0) e espelhamento horizontal (fliplr=0,5). O critério de seleção do melhor peso considerou as métricas de validação ao longo das épocas, preservando o </w:t>
      </w:r>
      <w:r>
        <w:rPr>
          <w:i/>
          <w:iCs/>
          <w:lang w:val="pt-BR"/>
        </w:rPr>
        <w:t>checkpoint</w:t>
      </w:r>
      <w:r>
        <w:rPr>
          <w:lang w:val="pt-BR"/>
        </w:rPr>
        <w:t xml:space="preserve"> com melhor desempenho (best.pt) para uso na inferência.</w:t>
      </w:r>
    </w:p>
    <w:p>
      <w:pPr>
        <w:pStyle w:val="BodyText"/>
        <w:widowControl w:val="false"/>
        <w:suppressAutoHyphens w:val="true"/>
        <w:bidi w:val="0"/>
        <w:ind w:firstLine="709"/>
        <w:jc w:val="both"/>
        <w:rPr>
          <w:lang w:val="pt-BR"/>
        </w:rPr>
      </w:pPr>
      <w:r>
        <w:rPr>
          <w:lang w:val="pt-BR"/>
        </w:rPr>
        <w:t>O objetivo do treinamento foi ajustar o detector especializado para reconhecer resíduos em imagens urbanas. Após o treinamento, o melhor peso gerado foi utilizado na etapa de inferência sobre o conjunto de teste brasileiro.</w:t>
      </w:r>
    </w:p>
    <w:p>
      <w:pPr>
        <w:pStyle w:val="BodyText"/>
        <w:widowControl w:val="false"/>
        <w:suppressAutoHyphens w:val="true"/>
        <w:bidi w:val="0"/>
        <w:ind w:firstLine="709"/>
        <w:jc w:val="both"/>
        <w:rPr>
          <w:lang w:val="pt-BR"/>
        </w:rPr>
      </w:pPr>
      <w:r>
        <w:rPr>
          <w:lang w:val="pt-BR"/>
        </w:rPr>
        <w:t>A execução técnica contemplou treinamento, validação, inferência, avaliação e exportação dos artefatos finais. Foram preservados os arquivos de configuração, pesos finais, registros de execução, resultados de validação e saídas de inferência, de modo a permitir auditoria e reprodutibilidade do experimento.</w:t>
      </w:r>
    </w:p>
    <w:p>
      <w:pPr>
        <w:pStyle w:val="BodyText"/>
        <w:widowControl w:val="false"/>
        <w:suppressAutoHyphens w:val="true"/>
        <w:bidi w:val="0"/>
        <w:ind w:firstLine="709"/>
        <w:jc w:val="both"/>
        <w:rPr>
          <w:lang w:val="pt-BR"/>
        </w:rPr>
      </w:pPr>
      <w:r>
        <w:rPr>
          <w:lang w:val="pt-BR"/>
        </w:rPr>
        <w:t>Para converter as saídas do detector em decisão binária por imagem, adotou-se o critério de presença de resíduo quando houvesse pelo menos uma detecção da classe “lixo” com confiança igual ou superior ao limiar definido. O limiar principal utilizado para comparação foi 0,25, definido antes da avaliação final, mas limiares adicionais também foram observados.</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3.8 Inferência com Gemma 3 27B-IT</w:t>
      </w:r>
    </w:p>
    <w:p>
      <w:pPr>
        <w:pStyle w:val="BodyText"/>
        <w:widowControl w:val="false"/>
        <w:suppressAutoHyphens w:val="true"/>
        <w:bidi w:val="0"/>
        <w:ind w:firstLine="709"/>
        <w:jc w:val="both"/>
        <w:rPr/>
      </w:pPr>
      <w:r>
        <w:rPr>
          <w:lang w:val="pt-BR"/>
        </w:rPr>
        <w:t xml:space="preserve">O modelo Gemma 3 27B-IT foi utilizado em modo </w:t>
      </w:r>
      <w:r>
        <w:rPr>
          <w:rStyle w:val="Emphasis"/>
          <w:lang w:val="pt-BR"/>
        </w:rPr>
        <w:t>zero-shot</w:t>
      </w:r>
      <w:r>
        <w:rPr>
          <w:lang w:val="pt-BR"/>
        </w:rPr>
        <w:t xml:space="preserve">, sem treinamento específico no conjunto de dados da pesquisa. A inferência foi realizada por meio do LM Studio, com o envio das imagens ao modelo e a solicitação de uma resposta estruturada indicando a presença ou a ausência de resíduos visíveis. Para adequação à infraestrutura computacional disponível, composta por uma GPU com 32 GB de VRAM, foi utilizada a versão quantizada </w:t>
      </w:r>
      <w:r>
        <w:rPr>
          <w:rStyle w:val="Strong"/>
          <w:lang w:val="pt-BR"/>
        </w:rPr>
        <w:t>Q5_K_M</w:t>
      </w:r>
      <w:r>
        <w:rPr>
          <w:lang w:val="pt-BR"/>
        </w:rPr>
        <w:t>. Desse modo, os resultados preditivos e os valores de latência apresentados correspondem especificamente a essa configuração de execução.</w:t>
      </w:r>
    </w:p>
    <w:p>
      <w:pPr>
        <w:pStyle w:val="BodyText"/>
        <w:widowControl w:val="false"/>
        <w:suppressAutoHyphens w:val="true"/>
        <w:bidi w:val="0"/>
        <w:ind w:firstLine="709"/>
        <w:jc w:val="both"/>
        <w:rPr>
          <w:lang w:val="pt-BR"/>
        </w:rPr>
      </w:pPr>
      <w:r>
        <w:rPr>
          <w:lang w:val="pt-BR"/>
        </w:rPr>
        <w:t xml:space="preserve">A inferência foi realizada com temperatura igual a 0 e </w:t>
      </w:r>
      <w:r>
        <w:rPr>
          <w:i/>
          <w:iCs/>
          <w:lang w:val="pt-BR"/>
        </w:rPr>
        <w:t>seed</w:t>
      </w:r>
      <w:r>
        <w:rPr>
          <w:lang w:val="pt-BR"/>
        </w:rPr>
        <w:t xml:space="preserve"> igual a 42, de modo a reduzir variações nas respostas. A saída foi solicitada em formato JSON, permitindo extrair de forma objetiva a decisão binária do modelo sobre a presença ou ausência de lixo.</w:t>
      </w:r>
    </w:p>
    <w:p>
      <w:pPr>
        <w:pStyle w:val="BodyText"/>
        <w:widowControl w:val="false"/>
        <w:suppressAutoHyphens w:val="true"/>
        <w:bidi w:val="0"/>
        <w:ind w:firstLine="709"/>
        <w:jc w:val="both"/>
        <w:rPr>
          <w:lang w:val="pt-BR"/>
        </w:rPr>
      </w:pPr>
      <w:r>
        <w:rPr>
          <w:lang w:val="pt-BR"/>
        </w:rPr>
        <w:t xml:space="preserve">Para reduzir inconsistências operacionais, utilizou-se um </w:t>
      </w:r>
      <w:r>
        <w:rPr>
          <w:i/>
          <w:iCs/>
          <w:lang w:val="pt-BR"/>
        </w:rPr>
        <w:t>prompt</w:t>
      </w:r>
      <w:r>
        <w:rPr>
          <w:lang w:val="pt-BR"/>
        </w:rPr>
        <w:t xml:space="preserve"> padronizado durante toda a inferência com o Gemma 3 27B-IT. A instrução solicitava que o modelo identificasse a presença ou ausência de resíduos visíveis na imagem, estabelecia exemplos do que deveria ou não ser considerado lixo e exigia resposta em formato JSON. O conteúdo integral do </w:t>
      </w:r>
      <w:r>
        <w:rPr>
          <w:i/>
          <w:iCs/>
          <w:lang w:val="pt-BR"/>
        </w:rPr>
        <w:t>prompt</w:t>
      </w:r>
      <w:r>
        <w:rPr>
          <w:lang w:val="pt-BR"/>
        </w:rPr>
        <w:t xml:space="preserve"> é apresentado no Apêndice A, de modo a favorecer a transparência e a reprodutibilidade do experimento.</w:t>
      </w:r>
    </w:p>
    <w:p>
      <w:pPr>
        <w:pStyle w:val="BodyText"/>
        <w:widowControl w:val="false"/>
        <w:suppressAutoHyphens w:val="true"/>
        <w:bidi w:val="0"/>
        <w:ind w:firstLine="709"/>
        <w:jc w:val="both"/>
        <w:rPr>
          <w:lang w:val="pt-BR"/>
        </w:rPr>
      </w:pPr>
      <w:r>
        <w:rPr>
          <w:lang w:val="pt-BR"/>
        </w:rPr>
        <w:t>A saída estruturada foi obtida por meio de json_schema, quando esse recurso era suportado pelo servidor, com uso de um analisador alternativo nos casos de incompatibilidade. Também foram adotados cache por imagem e controle pelo hash SHA-256 do prompt. Esse procedimento evitou reprocessamentos desnecessários e permitiu verificar se cada resposta reutilizada havia sido gerada com a mesma formulação da tarefa.</w:t>
      </w:r>
    </w:p>
    <w:p>
      <w:pPr>
        <w:pStyle w:val="BodyText"/>
        <w:widowControl w:val="false"/>
        <w:suppressAutoHyphens w:val="true"/>
        <w:bidi w:val="0"/>
        <w:ind w:firstLine="709"/>
        <w:jc w:val="both"/>
        <w:rPr>
          <w:lang w:val="pt-BR"/>
        </w:rPr>
      </w:pPr>
      <w:r>
        <w:rPr>
          <w:lang w:val="pt-BR"/>
        </w:rPr>
        <w:t>A latência do Gemma 3 27B-IT foi mensurada a partir da chamada HTTP ao servidor local do LM Studio até o retorno da resposta do modelo. A leitura do arquivo e sua codificação em Base64 foram realizadas antes do início da cronometragem. Dessa forma, a medida representa o tempo do fluxo de comunicação e inferência executado no servidor, não abrangendo integralmente todas as etapas de preparação da imagem. Essa arquitetura inclui uma camada intermediária de comunicação que não está presente no fluxo local do YOLOv11m, razão pela qual os valores devem ser interpretados como medidas dos respectivos procedimentos de execução.</w:t>
      </w:r>
    </w:p>
    <w:p>
      <w:pPr>
        <w:pStyle w:val="BodyText"/>
        <w:widowControl w:val="false"/>
        <w:suppressAutoHyphens w:val="true"/>
        <w:bidi w:val="0"/>
        <w:ind w:firstLine="709"/>
        <w:jc w:val="both"/>
        <w:rPr>
          <w:lang w:val="pt-BR"/>
        </w:rPr>
      </w:pPr>
      <w:r>
        <w:rPr>
          <w:lang w:val="pt-BR"/>
        </w:rPr>
        <w:t>Essa estratégia possibilitou comparar o comportamento de um modelo generalista visão-linguagem com o comportamento de um detector especializado treinado para a tarefa. A comparação foi realizada sobre o mesmo conjunto de teste e sob a mesma unidade de análise: a imagem.</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3.9 Métricas de avaliação</w:t>
      </w:r>
    </w:p>
    <w:p>
      <w:pPr>
        <w:pStyle w:val="BodyText"/>
        <w:widowControl w:val="false"/>
        <w:suppressAutoHyphens w:val="true"/>
        <w:bidi w:val="0"/>
        <w:ind w:firstLine="709"/>
        <w:jc w:val="both"/>
        <w:rPr>
          <w:lang w:val="pt-BR"/>
        </w:rPr>
      </w:pPr>
      <w:r>
        <w:rPr>
          <w:lang w:val="pt-BR"/>
        </w:rPr>
        <w:t xml:space="preserve">A avaliação foi realizada em nível de imagem, por meio de métricas binárias. Foram calculadas acurácia, precisão, </w:t>
      </w:r>
      <w:r>
        <w:rPr>
          <w:i/>
          <w:iCs/>
          <w:lang w:val="pt-BR"/>
        </w:rPr>
        <w:t>recall</w:t>
      </w:r>
      <w:r>
        <w:rPr>
          <w:lang w:val="pt-BR"/>
        </w:rPr>
        <w:t>, especificidade, F1-score, taxa de falsos positivos, matriz de confusão, tempo de inferência e throughput.</w:t>
      </w:r>
    </w:p>
    <w:p>
      <w:pPr>
        <w:pStyle w:val="BodyText"/>
        <w:widowControl w:val="false"/>
        <w:suppressAutoHyphens w:val="true"/>
        <w:bidi w:val="0"/>
        <w:ind w:firstLine="709"/>
        <w:jc w:val="both"/>
        <w:rPr>
          <w:lang w:val="pt-BR"/>
        </w:rPr>
      </w:pPr>
      <w:r>
        <w:rPr>
          <w:lang w:val="pt-BR"/>
        </w:rPr>
        <w:t xml:space="preserve">A acurácia indicou o percentual geral de classificações corretas. A precisão indicou, entre as imagens classificadas como contendo resíduos, quantas realmente possuíam resíduos. O </w:t>
      </w:r>
      <w:r>
        <w:rPr>
          <w:i/>
          <w:iCs/>
          <w:lang w:val="pt-BR"/>
        </w:rPr>
        <w:t>recall</w:t>
      </w:r>
      <w:r>
        <w:rPr>
          <w:lang w:val="pt-BR"/>
        </w:rPr>
        <w:t xml:space="preserve"> indicou a capacidade do modelo de identificar imagens positivas. A especificidade mediu a capacidade de reconhecer corretamente imagens sem resíduos. O F1-score permitiu observar o equilíbrio entre precisão e </w:t>
      </w:r>
      <w:r>
        <w:rPr>
          <w:i/>
          <w:iCs/>
          <w:lang w:val="pt-BR"/>
        </w:rPr>
        <w:t>recall</w:t>
      </w:r>
      <w:r>
        <w:rPr>
          <w:lang w:val="pt-BR"/>
        </w:rPr>
        <w:t>.</w:t>
      </w:r>
    </w:p>
    <w:p>
      <w:pPr>
        <w:pStyle w:val="BodyText"/>
        <w:widowControl w:val="false"/>
        <w:suppressAutoHyphens w:val="true"/>
        <w:bidi w:val="0"/>
        <w:ind w:firstLine="709"/>
        <w:jc w:val="both"/>
        <w:rPr>
          <w:lang w:val="pt-BR"/>
        </w:rPr>
      </w:pPr>
      <w:r>
        <w:rPr>
          <w:lang w:val="pt-BR"/>
        </w:rPr>
        <w:t>A taxa de falsos positivos foi especialmente relevante para a gestão pública, pois, no contexto analisado, alarmes indevidos podem resultar em abertura desnecessária de chamados, deslocamento de equipes e uso ineficiente de recursos administrativos. Essa interpretação está alinhada à compreensão de que os benefícios da inteligência artificial no setor público dependem de sua capacidade de responder a demandas concretas de serviço e às condições organizacionais de implementação (Madan; Ashok, 2025). A taxa de falsos negativos também foi considerada, uma vez que erros de omissão reduzem a capacidade do sistema de identificar cenas efetivamente contendo resíduos, problema relevante em aplicações de detecção automatizada desenvolvidas em ambientes naturais e urbanos complexos (Majchrowska et al., 2022; Zailan et al., 2022).</w:t>
      </w:r>
    </w:p>
    <w:p>
      <w:pPr>
        <w:pStyle w:val="BodyText"/>
        <w:widowControl w:val="false"/>
        <w:suppressAutoHyphens w:val="true"/>
        <w:bidi w:val="0"/>
        <w:ind w:firstLine="709"/>
        <w:jc w:val="both"/>
        <w:rPr>
          <w:lang w:val="pt-BR"/>
        </w:rPr>
      </w:pPr>
      <w:r>
        <w:rPr>
          <w:lang w:val="pt-BR"/>
        </w:rPr>
        <w:t xml:space="preserve">Além das métricas preditivas, foi avaliada a eficiência computacional dos modelos por meio do tempo de inferência e do </w:t>
      </w:r>
      <w:r>
        <w:rPr>
          <w:i/>
          <w:iCs/>
          <w:lang w:val="pt-BR"/>
        </w:rPr>
        <w:t>throughput</w:t>
      </w:r>
      <w:r>
        <w:rPr>
          <w:lang w:val="pt-BR"/>
        </w:rPr>
        <w:t xml:space="preserve"> como indicadores de eficiência computacional, permitindo comparar a capacidade operacional dos modelos no processamento das imagens.</w:t>
      </w:r>
    </w:p>
    <w:p>
      <w:pPr>
        <w:pStyle w:val="BodyText"/>
        <w:widowControl w:val="false"/>
        <w:suppressAutoHyphens w:val="true"/>
        <w:bidi w:val="0"/>
        <w:ind w:firstLine="709"/>
        <w:jc w:val="both"/>
        <w:rPr>
          <w:lang w:val="pt-BR"/>
        </w:rPr>
      </w:pPr>
      <w:r>
        <w:rPr>
          <w:lang w:val="pt-BR"/>
        </w:rPr>
        <w:t xml:space="preserve">Para a análise da eficiência computacional, foram registradas medidas de latência correspondentes aos fluxos de execução de cada modelo. No YOLOv11m, foram obtidas duas medidas: a latência </w:t>
      </w:r>
      <w:r>
        <w:rPr>
          <w:rStyle w:val="Emphasis"/>
          <w:lang w:val="pt-BR"/>
        </w:rPr>
        <w:t>model-only</w:t>
      </w:r>
      <w:r>
        <w:rPr>
          <w:lang w:val="pt-BR"/>
        </w:rPr>
        <w:t>, correspondente à chamada ao detector, e a latência do fluxo medido, que incluiu a leitura local da imagem e a execução do modelo. No Gemma 3 27B-IT, a latência foi mensurada a partir do início da requisição HTTP ao servidor local do LM Studio até o recebimento da resposta, não incluindo a leitura do arquivo nem sua codificação prévia em Base64.</w:t>
      </w:r>
    </w:p>
    <w:p>
      <w:pPr>
        <w:pStyle w:val="BodyText"/>
        <w:rPr/>
      </w:pPr>
      <w:r>
        <w:rPr/>
        <w:t xml:space="preserve">Para a comparação principal, utilizou-se a medida mais abrangente disponível em cada fluxo de execução. O </w:t>
      </w:r>
      <w:r>
        <w:rPr>
          <w:rStyle w:val="Emphasis"/>
        </w:rPr>
        <w:t>throughput</w:t>
      </w:r>
      <w:r>
        <w:rPr/>
        <w:t xml:space="preserve"> foi estimado pela inversão da latência média, convertida para segundos por imagem, de modo a manter correspondência entre o tempo médio registrado e a capacidade estimada de processamento. Em razão das diferenças entre os procedimentos de execução, os resultados representam o desempenho das implementações avaliadas no experimento, e não exclusivamente o tempo interno de inferência das arquiteturas.</w:t>
      </w:r>
    </w:p>
    <w:p>
      <w:pPr>
        <w:pStyle w:val="BodyText"/>
        <w:widowControl w:val="false"/>
        <w:suppressAutoHyphens w:val="true"/>
        <w:bidi w:val="0"/>
        <w:ind w:firstLine="709"/>
        <w:jc w:val="both"/>
        <w:rPr>
          <w:lang w:val="pt-BR"/>
        </w:rPr>
      </w:pPr>
      <w:r>
        <w:rPr>
          <w:lang w:val="pt-BR"/>
        </w:rPr>
        <w:t>Para fortalecer a análise comparativa, foram calculados intervalos de confiança de 95% pelo método de Wilson para as principais proporções. Também foi aplicado o teste de McNemar para comparar o desempenho dos dois classificadores sobre o mesmo conjunto de teste, pois se tratava de dados pareados. Como métricas complementares de concordância e discriminação, foram calculados o kappa de Cohen e o coeficiente de correlação de Matthews. Essas estatísticas inferenciais e complementares foram recalculadas a partir das matrizes de confusão reportadas pelo experimento e utilizadas no capítulo de resultados e discussão.</w:t>
      </w:r>
    </w:p>
    <w:p>
      <w:pPr>
        <w:pStyle w:val="normal1"/>
        <w:spacing w:lineRule="auto" w:line="240"/>
        <w:ind w:hanging="0"/>
        <w:jc w:val="center"/>
        <w:rPr>
          <w:sz w:val="24"/>
          <w:szCs w:val="24"/>
        </w:rPr>
      </w:pPr>
      <w:r>
        <w:rPr>
          <w:rFonts w:eastAsia="Times New Roman" w:cs="Times New Roman"/>
          <w:sz w:val="24"/>
          <w:szCs w:val="24"/>
          <w:lang w:val="pt-BR"/>
        </w:rPr>
        <w:t>Quadro 1 – Métricas e estatísticas utilizadas na avaliação</w:t>
      </w:r>
    </w:p>
    <w:tbl>
      <w:tblPr>
        <w:tblStyle w:val="TableNormal"/>
        <w:tblW w:w="9071"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3055"/>
        <w:gridCol w:w="6014"/>
      </w:tblGrid>
      <w:tr>
        <w:trPr/>
        <w:tc>
          <w:tcPr>
            <w:tcW w:w="3055" w:type="dxa"/>
            <w:tcBorders/>
            <w:vAlign w:val="center"/>
          </w:tcPr>
          <w:p>
            <w:pPr>
              <w:pStyle w:val="normal1"/>
              <w:suppressAutoHyphens w:val="true"/>
              <w:spacing w:lineRule="auto" w:line="240" w:before="0" w:after="0"/>
              <w:jc w:val="left"/>
              <w:rPr>
                <w:lang w:val="pt-BR"/>
              </w:rPr>
            </w:pPr>
            <w:r>
              <w:rPr>
                <w:rFonts w:eastAsia="Noto Serif CJK SC" w:cs="Noto Sans Devanagari"/>
                <w:b/>
                <w:bCs/>
                <w:kern w:val="0"/>
                <w:sz w:val="20"/>
                <w:szCs w:val="20"/>
                <w:lang w:val="pt-BR" w:eastAsia="zh-CN" w:bidi="hi-IN"/>
              </w:rPr>
              <w:t>Indicador</w:t>
            </w:r>
          </w:p>
        </w:tc>
        <w:tc>
          <w:tcPr>
            <w:tcW w:w="6014" w:type="dxa"/>
            <w:tcBorders/>
            <w:vAlign w:val="center"/>
          </w:tcPr>
          <w:p>
            <w:pPr>
              <w:pStyle w:val="normal1"/>
              <w:suppressAutoHyphens w:val="true"/>
              <w:spacing w:lineRule="auto" w:line="240" w:before="0" w:after="0"/>
              <w:jc w:val="center"/>
              <w:rPr>
                <w:lang w:val="pt-BR"/>
              </w:rPr>
            </w:pPr>
            <w:r>
              <w:rPr>
                <w:rFonts w:eastAsia="Noto Serif CJK SC" w:cs="Noto Sans Devanagari"/>
                <w:b/>
                <w:bCs/>
                <w:kern w:val="0"/>
                <w:sz w:val="20"/>
                <w:szCs w:val="20"/>
                <w:lang w:val="pt-BR" w:eastAsia="zh-CN" w:bidi="hi-IN"/>
              </w:rPr>
              <w:t>Finalidade na pesquisa</w:t>
            </w:r>
          </w:p>
        </w:tc>
      </w:tr>
      <w:tr>
        <w:trPr/>
        <w:tc>
          <w:tcPr>
            <w:tcW w:w="3055" w:type="dxa"/>
            <w:tcBorders/>
            <w:vAlign w:val="center"/>
          </w:tcPr>
          <w:p>
            <w:pPr>
              <w:pStyle w:val="normal1"/>
              <w:suppressAutoHyphens w:val="true"/>
              <w:spacing w:lineRule="auto" w:line="240" w:before="0" w:after="0"/>
              <w:ind w:hanging="0"/>
              <w:jc w:val="left"/>
              <w:rPr>
                <w:lang w:val="pt-BR"/>
              </w:rPr>
            </w:pPr>
            <w:r>
              <w:rPr>
                <w:rFonts w:eastAsia="Noto Serif CJK SC" w:cs="Noto Sans Devanagari"/>
                <w:kern w:val="0"/>
                <w:sz w:val="20"/>
                <w:szCs w:val="20"/>
                <w:lang w:val="pt-BR" w:eastAsia="zh-CN" w:bidi="hi-IN"/>
              </w:rPr>
              <w:t>Acurácia</w:t>
            </w:r>
          </w:p>
        </w:tc>
        <w:tc>
          <w:tcPr>
            <w:tcW w:w="6014"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kern w:val="0"/>
                <w:sz w:val="20"/>
                <w:szCs w:val="20"/>
                <w:lang w:val="pt-BR" w:eastAsia="zh-CN" w:bidi="hi-IN"/>
              </w:rPr>
              <w:t>Medir a proporção geral de acertos</w:t>
            </w:r>
          </w:p>
        </w:tc>
      </w:tr>
      <w:tr>
        <w:trPr/>
        <w:tc>
          <w:tcPr>
            <w:tcW w:w="3055" w:type="dxa"/>
            <w:tcBorders/>
            <w:vAlign w:val="center"/>
          </w:tcPr>
          <w:p>
            <w:pPr>
              <w:pStyle w:val="normal1"/>
              <w:suppressAutoHyphens w:val="true"/>
              <w:spacing w:lineRule="auto" w:line="240" w:before="0" w:after="0"/>
              <w:ind w:hanging="0"/>
              <w:jc w:val="left"/>
              <w:rPr>
                <w:lang w:val="pt-BR"/>
              </w:rPr>
            </w:pPr>
            <w:r>
              <w:rPr>
                <w:rFonts w:eastAsia="Noto Serif CJK SC" w:cs="Noto Sans Devanagari"/>
                <w:kern w:val="0"/>
                <w:sz w:val="20"/>
                <w:szCs w:val="20"/>
                <w:lang w:val="pt-BR" w:eastAsia="zh-CN" w:bidi="hi-IN"/>
              </w:rPr>
              <w:t>Precisão</w:t>
            </w:r>
          </w:p>
        </w:tc>
        <w:tc>
          <w:tcPr>
            <w:tcW w:w="6014"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kern w:val="0"/>
                <w:sz w:val="20"/>
                <w:szCs w:val="20"/>
                <w:lang w:val="pt-BR" w:eastAsia="zh-CN" w:bidi="hi-IN"/>
              </w:rPr>
              <w:t xml:space="preserve">        </w:t>
            </w:r>
            <w:r>
              <w:rPr>
                <w:rFonts w:eastAsia="Noto Serif CJK SC" w:cs="Noto Sans Devanagari"/>
                <w:kern w:val="0"/>
                <w:sz w:val="20"/>
                <w:szCs w:val="20"/>
                <w:lang w:val="pt-BR" w:eastAsia="zh-CN" w:bidi="hi-IN"/>
              </w:rPr>
              <w:t>Avaliar a confiabilidade dos alertas positivos</w:t>
            </w:r>
          </w:p>
        </w:tc>
      </w:tr>
      <w:tr>
        <w:trPr/>
        <w:tc>
          <w:tcPr>
            <w:tcW w:w="3055" w:type="dxa"/>
            <w:tcBorders/>
            <w:vAlign w:val="center"/>
          </w:tcPr>
          <w:p>
            <w:pPr>
              <w:pStyle w:val="normal1"/>
              <w:suppressAutoHyphens w:val="true"/>
              <w:spacing w:lineRule="auto" w:line="240" w:before="0" w:after="0"/>
              <w:ind w:hanging="0"/>
              <w:jc w:val="left"/>
              <w:rPr>
                <w:lang w:val="pt-BR"/>
              </w:rPr>
            </w:pPr>
            <w:r>
              <w:rPr>
                <w:rFonts w:eastAsia="Noto Serif CJK SC" w:cs="Noto Sans Devanagari"/>
                <w:kern w:val="0"/>
                <w:sz w:val="20"/>
                <w:szCs w:val="20"/>
                <w:lang w:val="pt-BR" w:eastAsia="zh-CN" w:bidi="hi-IN"/>
              </w:rPr>
              <w:t>Recall/Sensibilidade</w:t>
            </w:r>
          </w:p>
        </w:tc>
        <w:tc>
          <w:tcPr>
            <w:tcW w:w="6014"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kern w:val="0"/>
                <w:sz w:val="20"/>
                <w:szCs w:val="20"/>
                <w:lang w:val="pt-BR" w:eastAsia="zh-CN" w:bidi="hi-IN"/>
              </w:rPr>
              <w:t xml:space="preserve">          </w:t>
            </w:r>
            <w:r>
              <w:rPr>
                <w:rFonts w:eastAsia="Noto Serif CJK SC" w:cs="Noto Sans Devanagari"/>
                <w:kern w:val="0"/>
                <w:sz w:val="20"/>
                <w:szCs w:val="20"/>
                <w:lang w:val="pt-BR" w:eastAsia="zh-CN" w:bidi="hi-IN"/>
              </w:rPr>
              <w:t>Medir a capacidade de identificar imagens com resíduos</w:t>
            </w:r>
          </w:p>
        </w:tc>
      </w:tr>
      <w:tr>
        <w:trPr/>
        <w:tc>
          <w:tcPr>
            <w:tcW w:w="3055" w:type="dxa"/>
            <w:tcBorders/>
            <w:vAlign w:val="center"/>
          </w:tcPr>
          <w:p>
            <w:pPr>
              <w:pStyle w:val="normal1"/>
              <w:suppressAutoHyphens w:val="true"/>
              <w:spacing w:lineRule="auto" w:line="240" w:before="0" w:after="0"/>
              <w:ind w:hanging="0"/>
              <w:jc w:val="left"/>
              <w:rPr>
                <w:lang w:val="pt-BR"/>
              </w:rPr>
            </w:pPr>
            <w:r>
              <w:rPr>
                <w:rFonts w:eastAsia="Noto Serif CJK SC" w:cs="Noto Sans Devanagari"/>
                <w:kern w:val="0"/>
                <w:sz w:val="20"/>
                <w:szCs w:val="20"/>
                <w:lang w:val="pt-BR" w:eastAsia="zh-CN" w:bidi="hi-IN"/>
              </w:rPr>
              <w:t>Especificidade</w:t>
            </w:r>
          </w:p>
        </w:tc>
        <w:tc>
          <w:tcPr>
            <w:tcW w:w="6014"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kern w:val="0"/>
                <w:sz w:val="20"/>
                <w:szCs w:val="20"/>
                <w:lang w:val="pt-BR" w:eastAsia="zh-CN" w:bidi="hi-IN"/>
              </w:rPr>
              <w:t>Medir a capacidade de reconhecer imagens sem resíduos</w:t>
            </w:r>
          </w:p>
        </w:tc>
      </w:tr>
      <w:tr>
        <w:trPr/>
        <w:tc>
          <w:tcPr>
            <w:tcW w:w="3055" w:type="dxa"/>
            <w:tcBorders/>
            <w:vAlign w:val="center"/>
          </w:tcPr>
          <w:p>
            <w:pPr>
              <w:pStyle w:val="normal1"/>
              <w:suppressAutoHyphens w:val="true"/>
              <w:spacing w:lineRule="auto" w:line="240" w:before="0" w:after="0"/>
              <w:ind w:hanging="0"/>
              <w:jc w:val="left"/>
              <w:rPr>
                <w:lang w:val="pt-BR"/>
              </w:rPr>
            </w:pPr>
            <w:r>
              <w:rPr>
                <w:rFonts w:eastAsia="Noto Serif CJK SC" w:cs="Noto Sans Devanagari"/>
                <w:kern w:val="0"/>
                <w:sz w:val="20"/>
                <w:szCs w:val="20"/>
                <w:lang w:val="pt-BR" w:eastAsia="zh-CN" w:bidi="hi-IN"/>
              </w:rPr>
              <w:t>F1-score</w:t>
            </w:r>
          </w:p>
        </w:tc>
        <w:tc>
          <w:tcPr>
            <w:tcW w:w="6014"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kern w:val="0"/>
                <w:sz w:val="20"/>
                <w:szCs w:val="20"/>
                <w:lang w:val="pt-BR" w:eastAsia="zh-CN" w:bidi="hi-IN"/>
              </w:rPr>
              <w:t>Sintetizar o equilíbrio entre precisão e recall</w:t>
            </w:r>
          </w:p>
        </w:tc>
      </w:tr>
      <w:tr>
        <w:trPr/>
        <w:tc>
          <w:tcPr>
            <w:tcW w:w="3055" w:type="dxa"/>
            <w:tcBorders/>
            <w:vAlign w:val="center"/>
          </w:tcPr>
          <w:p>
            <w:pPr>
              <w:pStyle w:val="normal1"/>
              <w:suppressAutoHyphens w:val="true"/>
              <w:spacing w:lineRule="auto" w:line="240" w:before="0" w:after="0"/>
              <w:ind w:hanging="0"/>
              <w:jc w:val="left"/>
              <w:rPr>
                <w:lang w:val="pt-BR"/>
              </w:rPr>
            </w:pPr>
            <w:r>
              <w:rPr>
                <w:rFonts w:eastAsia="Noto Serif CJK SC" w:cs="Noto Sans Devanagari"/>
                <w:kern w:val="0"/>
                <w:sz w:val="20"/>
                <w:szCs w:val="20"/>
                <w:lang w:val="pt-BR" w:eastAsia="zh-CN" w:bidi="hi-IN"/>
              </w:rPr>
              <w:t>Taxa de falsos positivos</w:t>
            </w:r>
          </w:p>
        </w:tc>
        <w:tc>
          <w:tcPr>
            <w:tcW w:w="6014" w:type="dxa"/>
            <w:tcBorders/>
            <w:vAlign w:val="center"/>
          </w:tcPr>
          <w:p>
            <w:pPr>
              <w:pStyle w:val="normal1"/>
              <w:suppressAutoHyphens w:val="true"/>
              <w:spacing w:lineRule="auto" w:line="240" w:before="0" w:after="0"/>
              <w:jc w:val="center"/>
              <w:rPr>
                <w:lang w:val="pt-BR"/>
              </w:rPr>
            </w:pPr>
            <w:r>
              <w:rPr>
                <w:rFonts w:eastAsia="Noto Serif CJK SC" w:cs="Noto Sans Devanagari"/>
                <w:kern w:val="0"/>
                <w:sz w:val="20"/>
                <w:szCs w:val="20"/>
                <w:lang w:val="pt-BR" w:eastAsia="zh-CN" w:bidi="hi-IN"/>
              </w:rPr>
              <w:t>Avaliar alarmes indevidos em cenas limpas</w:t>
            </w:r>
          </w:p>
        </w:tc>
      </w:tr>
      <w:tr>
        <w:trPr/>
        <w:tc>
          <w:tcPr>
            <w:tcW w:w="3055" w:type="dxa"/>
            <w:tcBorders/>
            <w:vAlign w:val="center"/>
          </w:tcPr>
          <w:p>
            <w:pPr>
              <w:pStyle w:val="normal1"/>
              <w:suppressAutoHyphens w:val="true"/>
              <w:spacing w:lineRule="auto" w:line="240" w:before="0" w:after="0"/>
              <w:ind w:hanging="0"/>
              <w:jc w:val="left"/>
              <w:rPr>
                <w:lang w:val="pt-BR"/>
              </w:rPr>
            </w:pPr>
            <w:r>
              <w:rPr>
                <w:rFonts w:eastAsia="Noto Serif CJK SC" w:cs="Noto Sans Devanagari"/>
                <w:kern w:val="0"/>
                <w:sz w:val="20"/>
                <w:szCs w:val="20"/>
                <w:lang w:val="pt-BR" w:eastAsia="zh-CN" w:bidi="hi-IN"/>
              </w:rPr>
              <w:t>Matriz de confusão</w:t>
            </w:r>
          </w:p>
        </w:tc>
        <w:tc>
          <w:tcPr>
            <w:tcW w:w="6014"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kern w:val="0"/>
                <w:sz w:val="20"/>
                <w:szCs w:val="20"/>
                <w:lang w:val="pt-BR" w:eastAsia="zh-CN" w:bidi="hi-IN"/>
              </w:rPr>
              <w:t>Organizar verdadeiros positivos, verdadeiros negativos, falsos positivos e falsos negativos</w:t>
            </w:r>
          </w:p>
        </w:tc>
      </w:tr>
      <w:tr>
        <w:trPr/>
        <w:tc>
          <w:tcPr>
            <w:tcW w:w="3055" w:type="dxa"/>
            <w:tcBorders/>
            <w:vAlign w:val="center"/>
          </w:tcPr>
          <w:p>
            <w:pPr>
              <w:pStyle w:val="normal1"/>
              <w:suppressAutoHyphens w:val="true"/>
              <w:spacing w:lineRule="auto" w:line="240" w:before="0" w:after="0"/>
              <w:ind w:hanging="0"/>
              <w:jc w:val="left"/>
              <w:rPr>
                <w:lang w:val="pt-BR"/>
              </w:rPr>
            </w:pPr>
            <w:r>
              <w:rPr>
                <w:rFonts w:eastAsia="Noto Serif CJK SC" w:cs="Noto Sans Devanagari"/>
                <w:kern w:val="0"/>
                <w:sz w:val="20"/>
                <w:szCs w:val="20"/>
                <w:lang w:val="pt-BR" w:eastAsia="zh-CN" w:bidi="hi-IN"/>
              </w:rPr>
              <w:t>Tempo de inferência e throughput</w:t>
            </w:r>
          </w:p>
        </w:tc>
        <w:tc>
          <w:tcPr>
            <w:tcW w:w="6014"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kern w:val="0"/>
                <w:sz w:val="20"/>
                <w:szCs w:val="20"/>
                <w:lang w:val="pt-BR" w:eastAsia="zh-CN" w:bidi="hi-IN"/>
              </w:rPr>
              <w:t>Avaliar eficiência computacional e viabilidade operacional</w:t>
            </w:r>
          </w:p>
        </w:tc>
      </w:tr>
      <w:tr>
        <w:trPr/>
        <w:tc>
          <w:tcPr>
            <w:tcW w:w="3055" w:type="dxa"/>
            <w:tcBorders/>
            <w:vAlign w:val="center"/>
          </w:tcPr>
          <w:p>
            <w:pPr>
              <w:pStyle w:val="normal1"/>
              <w:suppressAutoHyphens w:val="true"/>
              <w:spacing w:lineRule="auto" w:line="240" w:before="0" w:after="0"/>
              <w:ind w:hanging="0"/>
              <w:jc w:val="left"/>
              <w:rPr>
                <w:lang w:val="pt-BR"/>
              </w:rPr>
            </w:pPr>
            <w:r>
              <w:rPr>
                <w:rFonts w:eastAsia="Noto Serif CJK SC" w:cs="Noto Sans Devanagari"/>
                <w:kern w:val="0"/>
                <w:sz w:val="20"/>
                <w:szCs w:val="20"/>
                <w:lang w:val="pt-BR" w:eastAsia="zh-CN" w:bidi="hi-IN"/>
              </w:rPr>
              <w:t>Intervalo de confiança de Wilson</w:t>
            </w:r>
          </w:p>
        </w:tc>
        <w:tc>
          <w:tcPr>
            <w:tcW w:w="6014" w:type="dxa"/>
            <w:tcBorders/>
            <w:vAlign w:val="center"/>
          </w:tcPr>
          <w:p>
            <w:pPr>
              <w:pStyle w:val="normal1"/>
              <w:suppressAutoHyphens w:val="true"/>
              <w:spacing w:lineRule="auto" w:line="240" w:before="0" w:after="0"/>
              <w:jc w:val="center"/>
              <w:rPr>
                <w:lang w:val="pt-BR"/>
              </w:rPr>
            </w:pPr>
            <w:r>
              <w:rPr>
                <w:rFonts w:eastAsia="Noto Serif CJK SC" w:cs="Noto Sans Devanagari"/>
                <w:kern w:val="0"/>
                <w:sz w:val="20"/>
                <w:szCs w:val="20"/>
                <w:lang w:val="pt-BR" w:eastAsia="zh-CN" w:bidi="hi-IN"/>
              </w:rPr>
              <w:t>Estimar incerteza das proporções observadas</w:t>
            </w:r>
          </w:p>
        </w:tc>
      </w:tr>
      <w:tr>
        <w:trPr/>
        <w:tc>
          <w:tcPr>
            <w:tcW w:w="3055" w:type="dxa"/>
            <w:tcBorders/>
            <w:vAlign w:val="center"/>
          </w:tcPr>
          <w:p>
            <w:pPr>
              <w:pStyle w:val="normal1"/>
              <w:suppressAutoHyphens w:val="true"/>
              <w:spacing w:lineRule="auto" w:line="240" w:before="0" w:after="0"/>
              <w:ind w:hanging="0"/>
              <w:jc w:val="left"/>
              <w:rPr>
                <w:lang w:val="pt-BR"/>
              </w:rPr>
            </w:pPr>
            <w:r>
              <w:rPr>
                <w:rFonts w:eastAsia="Noto Serif CJK SC" w:cs="Noto Sans Devanagari"/>
                <w:kern w:val="0"/>
                <w:sz w:val="20"/>
                <w:szCs w:val="20"/>
                <w:lang w:val="pt-BR" w:eastAsia="zh-CN" w:bidi="hi-IN"/>
              </w:rPr>
              <w:t>Teste de McNemar</w:t>
            </w:r>
          </w:p>
        </w:tc>
        <w:tc>
          <w:tcPr>
            <w:tcW w:w="6014"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kern w:val="0"/>
                <w:sz w:val="20"/>
                <w:szCs w:val="20"/>
                <w:lang w:val="pt-BR" w:eastAsia="zh-CN" w:bidi="hi-IN"/>
              </w:rPr>
              <w:t>Comparar classificadores pareados no mesmo conjunto de teste</w:t>
            </w:r>
          </w:p>
        </w:tc>
      </w:tr>
      <w:tr>
        <w:trPr/>
        <w:tc>
          <w:tcPr>
            <w:tcW w:w="3055" w:type="dxa"/>
            <w:tcBorders/>
            <w:vAlign w:val="center"/>
          </w:tcPr>
          <w:p>
            <w:pPr>
              <w:pStyle w:val="normal1"/>
              <w:suppressAutoHyphens w:val="true"/>
              <w:spacing w:lineRule="auto" w:line="240" w:before="0" w:after="0"/>
              <w:ind w:hanging="0"/>
              <w:jc w:val="left"/>
              <w:rPr>
                <w:lang w:val="pt-BR"/>
              </w:rPr>
            </w:pPr>
            <w:r>
              <w:rPr>
                <w:rFonts w:eastAsia="Noto Serif CJK SC" w:cs="Noto Sans Devanagari"/>
                <w:kern w:val="0"/>
                <w:sz w:val="20"/>
                <w:szCs w:val="20"/>
                <w:lang w:val="pt-BR" w:eastAsia="zh-CN" w:bidi="hi-IN"/>
              </w:rPr>
              <w:t>Kappa de Cohen e MCC</w:t>
            </w:r>
          </w:p>
        </w:tc>
        <w:tc>
          <w:tcPr>
            <w:tcW w:w="6014"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kern w:val="0"/>
                <w:sz w:val="20"/>
                <w:szCs w:val="20"/>
                <w:lang w:val="pt-BR" w:eastAsia="zh-CN" w:bidi="hi-IN"/>
              </w:rPr>
              <w:t>Avaliar concordância e discriminação complementar</w:t>
            </w:r>
          </w:p>
        </w:tc>
      </w:tr>
    </w:tbl>
    <w:p>
      <w:pPr>
        <w:pStyle w:val="normal1"/>
        <w:spacing w:lineRule="auto" w:line="240"/>
        <w:ind w:hanging="0"/>
        <w:jc w:val="left"/>
        <w:rPr>
          <w:lang w:val="pt-BR"/>
        </w:rPr>
      </w:pPr>
      <w:r>
        <w:rPr>
          <w:rFonts w:eastAsia="Times New Roman" w:cs="Times New Roman"/>
          <w:sz w:val="20"/>
          <w:szCs w:val="20"/>
          <w:lang w:val="pt-BR"/>
        </w:rPr>
        <w:t>Fonte: elaborado pelo autor com base no experimento (2026).</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3.10 Critério de comparação</w:t>
      </w:r>
    </w:p>
    <w:p>
      <w:pPr>
        <w:pStyle w:val="BodyText"/>
        <w:widowControl w:val="false"/>
        <w:suppressAutoHyphens w:val="true"/>
        <w:bidi w:val="0"/>
        <w:ind w:firstLine="709"/>
        <w:jc w:val="both"/>
        <w:rPr>
          <w:lang w:val="pt-BR"/>
        </w:rPr>
      </w:pPr>
      <w:r>
        <w:rPr>
          <w:lang w:val="pt-BR"/>
        </w:rPr>
        <w:t>A comparação entre YOLOv11m e Gemma 3 27B-IT foi realizada a partir de um critério multidimensional de viabilidade. A análise considerou desempenho preditivo, eficiência computacional, controle de erros, rastreabilidade visual, comportamento no conjunto de teste externo e adequação às condições operacionais de uso.</w:t>
      </w:r>
    </w:p>
    <w:p>
      <w:pPr>
        <w:pStyle w:val="BodyText"/>
        <w:widowControl w:val="false"/>
        <w:suppressAutoHyphens w:val="true"/>
        <w:bidi w:val="0"/>
        <w:ind w:firstLine="709"/>
        <w:jc w:val="both"/>
        <w:rPr/>
      </w:pPr>
      <w:r>
        <w:rPr>
          <w:lang w:val="pt-BR"/>
        </w:rPr>
        <w:t xml:space="preserve">O desempenho preditivo foi avaliado por meio das métricas binárias de classificação, incluindo acurácia, precisão, sensibilidade, especificidade, F1-score e taxa de falsos positivos. A eficiência computacional foi examinada pelo tempo de inferência e pelo </w:t>
      </w:r>
      <w:r>
        <w:rPr>
          <w:rStyle w:val="Emphasis"/>
          <w:lang w:val="pt-BR"/>
        </w:rPr>
        <w:t>throughput</w:t>
      </w:r>
      <w:r>
        <w:rPr>
          <w:lang w:val="pt-BR"/>
        </w:rPr>
        <w:t>. A rastreabilidade visual foi considerada a partir da capacidade do detector de apresentar caixas delimitadoras associadas aos objetos identificados.</w:t>
      </w:r>
    </w:p>
    <w:p>
      <w:pPr>
        <w:pStyle w:val="BodyText"/>
        <w:widowControl w:val="false"/>
        <w:suppressAutoHyphens w:val="true"/>
        <w:bidi w:val="0"/>
        <w:ind w:firstLine="709"/>
        <w:jc w:val="both"/>
        <w:rPr>
          <w:lang w:val="pt-BR"/>
        </w:rPr>
      </w:pPr>
      <w:r>
        <w:rPr>
          <w:lang w:val="pt-BR"/>
        </w:rPr>
        <w:t>A adequação operacional foi analisada conforme o tipo de aplicação administrativa. Foram considerados cenários de processamento em tempo real e grande volume de imagens, bem como situações de análise pontual, auditoria, confirmação de denúncias e avaliação de imagens previamente selecionadas. Dessa forma, a viabilidade não foi determinada por uma única métrica, mas pela combinação dos resultados observados em cada dimensão de comparação.</w:t>
      </w:r>
    </w:p>
    <w:p>
      <w:pPr>
        <w:pStyle w:val="normal1"/>
        <w:rPr>
          <w:lang w:val="pt-BR"/>
        </w:rPr>
      </w:pPr>
      <w:r>
        <w:rPr/>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3.11 Limitações metodológicas</w:t>
      </w:r>
    </w:p>
    <w:p>
      <w:pPr>
        <w:pStyle w:val="BodyText"/>
        <w:widowControl w:val="false"/>
        <w:suppressAutoHyphens w:val="true"/>
        <w:bidi w:val="0"/>
        <w:ind w:firstLine="709"/>
        <w:jc w:val="both"/>
        <w:rPr/>
      </w:pPr>
      <w:r>
        <w:rPr>
          <w:lang w:val="pt-BR"/>
        </w:rPr>
        <w:t>Algumas limitações metodológicas devem ser consideradas. Em primeiro lugar, o conjunto de teste foi balanceado artificialmente entre imagens com e sem resíduos, o que facilitou a comparação entre modelos, mas pode não representar a frequência real de descarte irregular em vias públicas.</w:t>
      </w:r>
    </w:p>
    <w:p>
      <w:pPr>
        <w:pStyle w:val="BodyText"/>
        <w:widowControl w:val="false"/>
        <w:suppressAutoHyphens w:val="true"/>
        <w:bidi w:val="0"/>
        <w:ind w:firstLine="709"/>
        <w:jc w:val="both"/>
        <w:rPr>
          <w:lang w:val="pt-BR"/>
        </w:rPr>
      </w:pPr>
      <w:r>
        <w:rPr>
          <w:lang w:val="pt-BR"/>
        </w:rPr>
        <w:t>Em segundo lugar, a avaliação foi binária. Portanto, o estudo não mediu tipo de resíduo, quantidade de itens, volume descartado, gravidade sanitária ou localização precisa dos resíduos como eixo principal. Essa delimitação foi adotada para manter o foco na viabilidade inicial do monitoramento automatizado.</w:t>
      </w:r>
    </w:p>
    <w:p>
      <w:pPr>
        <w:pStyle w:val="BodyText"/>
        <w:widowControl w:val="false"/>
        <w:suppressAutoHyphens w:val="true"/>
        <w:bidi w:val="0"/>
        <w:ind w:firstLine="709"/>
        <w:jc w:val="both"/>
        <w:rPr>
          <w:lang w:val="pt-BR"/>
        </w:rPr>
      </w:pPr>
      <w:r>
        <w:rPr>
          <w:lang w:val="pt-BR"/>
        </w:rPr>
        <w:t xml:space="preserve">Em terceiro lugar, o Gemma 3 27B-IT foi utilizado em modo </w:t>
      </w:r>
      <w:r>
        <w:rPr>
          <w:i/>
          <w:iCs/>
          <w:lang w:val="pt-BR"/>
        </w:rPr>
        <w:t>zero-shot</w:t>
      </w:r>
      <w:r>
        <w:rPr>
          <w:lang w:val="pt-BR"/>
        </w:rPr>
        <w:t>, sem ajuste específico ao domínio de resíduos urbanos. Assim, seu desempenho pode refletir tanto sua capacidade generalista quanto suas limitações diante de uma tarefa específica.</w:t>
      </w:r>
    </w:p>
    <w:p>
      <w:pPr>
        <w:pStyle w:val="BodyText"/>
        <w:widowControl w:val="false"/>
        <w:suppressAutoHyphens w:val="true"/>
        <w:bidi w:val="0"/>
        <w:ind w:firstLine="709"/>
        <w:jc w:val="both"/>
        <w:rPr>
          <w:lang w:val="pt-BR"/>
        </w:rPr>
      </w:pPr>
      <w:r>
        <w:rPr>
          <w:lang w:val="pt-BR"/>
        </w:rPr>
        <w:t xml:space="preserve">A proporção de imagens negativas no treinamento foi fixada em aproximadamente 15%, dentro da faixa adotada como referência interna para uso de </w:t>
      </w:r>
      <w:r>
        <w:rPr>
          <w:i/>
          <w:iCs/>
          <w:lang w:val="pt-BR"/>
        </w:rPr>
        <w:t>background</w:t>
      </w:r>
      <w:r>
        <w:rPr>
          <w:lang w:val="pt-BR"/>
        </w:rPr>
        <w:t xml:space="preserve"> em detecção de objetos. Essa escolha favorece o controle de falsos positivos, mas pode tornar o detector mais conservador, com impacto sobre a sensibilidade (</w:t>
      </w:r>
      <w:r>
        <w:rPr>
          <w:i/>
          <w:iCs/>
          <w:lang w:val="pt-BR"/>
        </w:rPr>
        <w:t>recall</w:t>
      </w:r>
      <w:r>
        <w:rPr>
          <w:lang w:val="pt-BR"/>
        </w:rPr>
        <w:t xml:space="preserve">). Assim, a composição do treinamento deve ser interpretada como uma decisão metodológica que envolve </w:t>
      </w:r>
      <w:r>
        <w:rPr>
          <w:i/>
          <w:iCs/>
          <w:lang w:val="pt-BR"/>
        </w:rPr>
        <w:t xml:space="preserve">trade-off </w:t>
      </w:r>
      <w:r>
        <w:rPr>
          <w:lang w:val="pt-BR"/>
        </w:rPr>
        <w:t>entre reduzir alarmes indevidos e evitar omissões de cenas com resíduos.</w:t>
      </w:r>
    </w:p>
    <w:p>
      <w:pPr>
        <w:pStyle w:val="BodyText"/>
        <w:widowControl w:val="false"/>
        <w:suppressAutoHyphens w:val="true"/>
        <w:bidi w:val="0"/>
        <w:ind w:firstLine="709"/>
        <w:jc w:val="both"/>
        <w:rPr>
          <w:lang w:val="pt-BR"/>
        </w:rPr>
      </w:pPr>
      <w:r>
        <w:rPr>
          <w:lang w:val="pt-BR"/>
        </w:rPr>
        <w:t>Também há limitação relacionada à heterogeneidade das imagens brasileiras usadas no teste externo. Como o conjunto incluiu capturas de plataformas de visualização urbana, fotografias próprias e imagens disponibilizadas por ONGs ou projetos, podem existir diferenças de resolução, ângulo, qualidade, iluminação, data de registro e enquadramento. Essas diferenças ampliam a diversidade visual do conjunto, mas também podem influenciar o desempenho dos modelos.</w:t>
      </w:r>
    </w:p>
    <w:p>
      <w:pPr>
        <w:pStyle w:val="BodyText"/>
        <w:widowControl w:val="false"/>
        <w:suppressAutoHyphens w:val="true"/>
        <w:bidi w:val="0"/>
        <w:ind w:firstLine="709"/>
        <w:jc w:val="both"/>
        <w:rPr>
          <w:lang w:val="pt-BR"/>
        </w:rPr>
      </w:pPr>
      <w:r>
        <w:rPr>
          <w:lang w:val="pt-BR"/>
        </w:rPr>
        <w:t xml:space="preserve">A convenção de anotação por regiões de descarte, e não necessariamente por cada item individual de resíduo, também constitui limitação interpretativa. Resíduos muito pequenos, distantes ou não anotados podem influenciar a contagem de falsos positivos, especialmente no caso do modelo visão-linguagem, que pode sinalizar elementos perceptíveis não registrados no </w:t>
      </w:r>
      <w:r>
        <w:rPr>
          <w:i/>
          <w:iCs/>
          <w:lang w:val="pt-BR"/>
        </w:rPr>
        <w:t>ground truth.</w:t>
      </w:r>
    </w:p>
    <w:p>
      <w:pPr>
        <w:pStyle w:val="BodyText"/>
        <w:widowControl w:val="false"/>
        <w:suppressAutoHyphens w:val="true"/>
        <w:bidi w:val="0"/>
        <w:ind w:firstLine="709"/>
        <w:jc w:val="both"/>
        <w:rPr>
          <w:lang w:val="pt-BR"/>
        </w:rPr>
      </w:pPr>
      <w:r>
        <w:rPr>
          <w:lang w:val="pt-BR"/>
        </w:rPr>
        <w:t>Por fim, os resultados dependeram das condições de execução, especialmente do hardware utilizado. Como a pesquisa avaliou tempo de inferência, a máquina usada no experimento foi registrada para que os resultados fossem interpretados corretamente. Esse registro incluiu GPU, memória de vídeo, CUDA e arquitetura de execução. As métricas de latência observadas devem ser interpretadas como resultados do ambiente experimental, e não como previsão direta de desempenho em qualquer infraestrutura municipal.</w:t>
      </w:r>
    </w:p>
    <w:p>
      <w:pPr>
        <w:pStyle w:val="normal1"/>
        <w:rPr>
          <w:lang w:val="pt-BR"/>
        </w:rPr>
      </w:pPr>
      <w:r>
        <w:rPr>
          <w:lang w:val="pt-BR"/>
        </w:rPr>
      </w:r>
      <w:r>
        <w:br w:type="page"/>
      </w:r>
    </w:p>
    <w:p>
      <w:pPr>
        <w:pStyle w:val="Heading1"/>
        <w:numPr>
          <w:ilvl w:val="0"/>
          <w:numId w:val="1"/>
        </w:numPr>
        <w:spacing w:before="0" w:after="240"/>
        <w:rPr>
          <w:lang w:val="pt-BR"/>
        </w:rPr>
      </w:pPr>
      <w:r>
        <w:rPr>
          <w:lang w:val="pt-BR"/>
        </w:rPr>
        <w:t>4 RESULTADOS E DISCUSSÃO</w:t>
      </w:r>
    </w:p>
    <w:p>
      <w:pPr>
        <w:pStyle w:val="BodyText"/>
        <w:widowControl w:val="false"/>
        <w:suppressAutoHyphens w:val="true"/>
        <w:bidi w:val="0"/>
        <w:ind w:firstLine="709"/>
        <w:jc w:val="both"/>
        <w:rPr>
          <w:lang w:val="pt-BR"/>
        </w:rPr>
      </w:pPr>
      <w:r>
        <w:rPr>
          <w:lang w:val="pt-BR"/>
        </w:rPr>
        <w:t xml:space="preserve">Este capítulo apresenta e discute os resultados do experimento computacional realizado para comparar a viabilidade de dois paradigmas de inteligência artificial no monitoramento visual de resíduos urbanos em vias públicas: o YOLOv11m, utilizado como detector especializado com </w:t>
      </w:r>
      <w:r>
        <w:rPr>
          <w:i/>
          <w:iCs/>
          <w:lang w:val="pt-BR"/>
        </w:rPr>
        <w:t>fine-tuning</w:t>
      </w:r>
      <w:r>
        <w:rPr>
          <w:lang w:val="pt-BR"/>
        </w:rPr>
        <w:t xml:space="preserve"> para a classe única “lixo”, e o Gemma 3 27B-IT, empregado como modelo visão-linguagem generalista em regime </w:t>
      </w:r>
      <w:r>
        <w:rPr>
          <w:i/>
          <w:iCs/>
          <w:lang w:val="pt-BR"/>
        </w:rPr>
        <w:t>zero-shot</w:t>
      </w:r>
      <w:r>
        <w:rPr>
          <w:lang w:val="pt-BR"/>
        </w:rPr>
        <w:t>. A análise segue a orientação metodológica de apresentar, interpretar, comparar e relacionar os resultados com o problema de pesquisa e com a hipótese inicialmente formulada.</w:t>
      </w:r>
    </w:p>
    <w:p>
      <w:pPr>
        <w:pStyle w:val="BodyText"/>
        <w:widowControl w:val="false"/>
        <w:suppressAutoHyphens w:val="true"/>
        <w:bidi w:val="0"/>
        <w:ind w:firstLine="709"/>
        <w:jc w:val="both"/>
        <w:rPr>
          <w:lang w:val="pt-BR"/>
        </w:rPr>
      </w:pPr>
      <w:r>
        <w:rPr>
          <w:lang w:val="pt-BR"/>
        </w:rPr>
        <w:t xml:space="preserve">A questão operacional do experimento consistiu em verificar se, dada uma imagem real de via pública brasileira, o modelo seria capaz de indicar corretamente a presença ou ausência de resíduos visíveis. Assim, a avaliação foi estruturada como uma tarefa binária em nível de imagem, coerente com o objetivo da pesquisa: identificar se determinada cena urbana demanda ou não atenção do poder público para fins de monitoramento. </w:t>
      </w:r>
    </w:p>
    <w:p>
      <w:pPr>
        <w:pStyle w:val="BodyText"/>
        <w:widowControl w:val="false"/>
        <w:suppressAutoHyphens w:val="true"/>
        <w:bidi w:val="0"/>
        <w:ind w:firstLine="709"/>
        <w:jc w:val="both"/>
        <w:rPr>
          <w:lang w:val="pt-BR"/>
        </w:rPr>
      </w:pPr>
      <w:r>
        <w:rPr>
          <w:lang w:val="pt-BR"/>
        </w:rPr>
        <w:t xml:space="preserve">A hipótese provisória do estudo indicava que um modelo especializado de detecção, como o YOLOv11m, tenderia a apresentar maior viabilidade operacional quando comparado a um modelo visão-linguagem generalista em modo </w:t>
      </w:r>
      <w:r>
        <w:rPr>
          <w:i/>
          <w:iCs/>
          <w:lang w:val="pt-BR"/>
        </w:rPr>
        <w:t>zero-shot</w:t>
      </w:r>
      <w:r>
        <w:rPr>
          <w:lang w:val="pt-BR"/>
        </w:rPr>
        <w:t>, especialmente em termos de velocidade de inferência e controle de falsos positivos. Os resultados, contudo, demonstraram um quadro mais complexo: o YOLOv11m apresentou vantagem expressiva em eficiência computacional, enquanto, nas condições experimentais adotadas e para a tarefa binária em nível de imagem, o Gemma 3 27B-IT obteve melhor desempenho preditivo nas métricas de classificação binária.</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4.1 Caracterização do experimento</w:t>
      </w:r>
    </w:p>
    <w:p>
      <w:pPr>
        <w:pStyle w:val="BodyText"/>
        <w:widowControl w:val="false"/>
        <w:suppressAutoHyphens w:val="true"/>
        <w:bidi w:val="0"/>
        <w:ind w:firstLine="709"/>
        <w:jc w:val="both"/>
        <w:rPr>
          <w:lang w:val="pt-BR"/>
        </w:rPr>
      </w:pPr>
      <w:r>
        <w:rPr>
          <w:lang w:val="pt-BR"/>
        </w:rPr>
        <w:t xml:space="preserve">O experimento foi executado utilizando uma GPU NVIDIA GeForce RTX 5090, com 32 GB de VRAM GDDR7, CUDA </w:t>
      </w:r>
      <w:r>
        <w:rPr>
          <w:lang w:val="pt-BR"/>
        </w:rPr>
        <w:t>13</w:t>
      </w:r>
      <w:r>
        <w:rPr>
          <w:lang w:val="pt-BR"/>
        </w:rPr>
        <w:t xml:space="preserve"> e arquitetura Blackwell. O YOLOv11m foi avaliado como detector especializado, treinado por </w:t>
      </w:r>
      <w:r>
        <w:rPr>
          <w:i/>
          <w:iCs/>
          <w:lang w:val="pt-BR"/>
        </w:rPr>
        <w:t>fine-tuning</w:t>
      </w:r>
      <w:r>
        <w:rPr>
          <w:lang w:val="pt-BR"/>
        </w:rPr>
        <w:t xml:space="preserve"> para a classe única “lixo”, com limiar de confiança fixado em 0,25. O Gemma 3 27B-IT foi avaliado como modelo visão-linguagem em modo </w:t>
      </w:r>
      <w:r>
        <w:rPr>
          <w:i/>
          <w:iCs/>
          <w:lang w:val="pt-BR"/>
        </w:rPr>
        <w:t>zero-shot</w:t>
      </w:r>
      <w:r>
        <w:rPr>
          <w:lang w:val="pt-BR"/>
        </w:rPr>
        <w:t xml:space="preserve">, via LM Studio, com temperatura igual a 0, </w:t>
      </w:r>
      <w:r>
        <w:rPr>
          <w:i/>
          <w:iCs/>
          <w:lang w:val="pt-BR"/>
        </w:rPr>
        <w:t>seed</w:t>
      </w:r>
      <w:r>
        <w:rPr>
          <w:lang w:val="pt-BR"/>
        </w:rPr>
        <w:t xml:space="preserve"> igual a 42 e saída estruturada em JSON.</w:t>
      </w:r>
    </w:p>
    <w:p>
      <w:pPr>
        <w:pStyle w:val="normal1"/>
        <w:jc w:val="center"/>
        <w:rPr>
          <w:lang w:val="pt-BR"/>
        </w:rPr>
      </w:pPr>
      <w:r>
        <w:rPr/>
        <w:drawing>
          <wp:inline distT="0" distB="0" distL="0" distR="0">
            <wp:extent cx="5400040" cy="2663825"/>
            <wp:effectExtent l="0" t="0" r="0" b="0"/>
            <wp:docPr id="2"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png" descr=""/>
                    <pic:cNvPicPr>
                      <a:picLocks noChangeAspect="1" noChangeArrowheads="1"/>
                    </pic:cNvPicPr>
                  </pic:nvPicPr>
                  <pic:blipFill>
                    <a:blip r:embed="rId11"/>
                    <a:stretch>
                      <a:fillRect/>
                    </a:stretch>
                  </pic:blipFill>
                  <pic:spPr bwMode="auto">
                    <a:xfrm>
                      <a:off x="0" y="0"/>
                      <a:ext cx="5400040" cy="2663825"/>
                    </a:xfrm>
                    <a:prstGeom prst="rect">
                      <a:avLst/>
                    </a:prstGeom>
                  </pic:spPr>
                </pic:pic>
              </a:graphicData>
            </a:graphic>
          </wp:inline>
        </w:drawing>
      </w:r>
    </w:p>
    <w:p>
      <w:pPr>
        <w:pStyle w:val="normal1"/>
        <w:spacing w:lineRule="auto" w:line="240"/>
        <w:ind w:hanging="0"/>
        <w:jc w:val="center"/>
        <w:rPr>
          <w:lang w:val="pt-BR"/>
        </w:rPr>
      </w:pPr>
      <w:r>
        <w:rPr>
          <w:rFonts w:eastAsia="Times New Roman" w:cs="Times New Roman"/>
          <w:sz w:val="20"/>
          <w:szCs w:val="20"/>
          <w:lang w:val="pt-BR"/>
        </w:rPr>
        <w:t>Figura 1 – Curvas de treinamento do YOLOv11m — funções de perda e precisão de validação ao longo das 100 épocas</w:t>
      </w:r>
    </w:p>
    <w:p>
      <w:pPr>
        <w:pStyle w:val="normal1"/>
        <w:spacing w:lineRule="auto" w:line="240"/>
        <w:ind w:hanging="0"/>
        <w:jc w:val="left"/>
        <w:rPr>
          <w:lang w:val="pt-BR"/>
        </w:rPr>
      </w:pPr>
      <w:r>
        <w:rPr>
          <w:rFonts w:eastAsia="Times New Roman" w:cs="Times New Roman"/>
          <w:sz w:val="20"/>
          <w:szCs w:val="20"/>
          <w:lang w:val="pt-BR"/>
        </w:rPr>
        <w:t>Fonte: elaborado pelo autor com base nos resultados do treinamento (2026).</w:t>
      </w:r>
    </w:p>
    <w:p>
      <w:pPr>
        <w:pStyle w:val="normal1"/>
        <w:spacing w:lineRule="auto" w:line="240"/>
        <w:ind w:hanging="0"/>
        <w:jc w:val="left"/>
        <w:rPr>
          <w:lang w:val="pt-BR"/>
        </w:rPr>
      </w:pPr>
      <w:r>
        <w:rPr/>
      </w:r>
    </w:p>
    <w:p>
      <w:pPr>
        <w:pStyle w:val="BodyText"/>
        <w:widowControl w:val="false"/>
        <w:suppressAutoHyphens w:val="true"/>
        <w:bidi w:val="0"/>
        <w:ind w:firstLine="709"/>
        <w:jc w:val="both"/>
        <w:rPr>
          <w:lang w:val="pt-BR"/>
        </w:rPr>
      </w:pPr>
      <w:r>
        <w:rPr>
          <w:lang w:val="pt-BR"/>
        </w:rPr>
        <w:t>O conjunto de teste foi composto por 560 imagens reais de ruas brasileiras, distribuídas de forma balanceada entre 280 imagens com resíduos visíveis e 280 imagens sem resíduos visíveis. Essa composição permitiu comparar os modelos em condições controladas, ainda que não represente necessariamente a prevalência real de resíduos em vias públicas. O balanceamento, portanto, foi adotado para fins de avaliação comparativa entre modelos, e não como estimativa da ocorrência real de descarte irregular nas cidades.</w:t>
      </w:r>
    </w:p>
    <w:p>
      <w:pPr>
        <w:pStyle w:val="BodyText"/>
        <w:widowControl w:val="false"/>
        <w:suppressAutoHyphens w:val="true"/>
        <w:bidi w:val="0"/>
        <w:ind w:firstLine="709"/>
        <w:jc w:val="both"/>
        <w:rPr>
          <w:lang w:val="pt-BR"/>
        </w:rPr>
      </w:pPr>
      <w:r>
        <w:rPr>
          <w:lang w:val="pt-BR"/>
        </w:rPr>
        <w:t xml:space="preserve">A avaliação dos modelos foi realizada por meio de métricas binárias: acurácia, precisão, </w:t>
      </w:r>
      <w:r>
        <w:rPr>
          <w:i/>
          <w:iCs/>
          <w:lang w:val="pt-BR"/>
        </w:rPr>
        <w:t>recall</w:t>
      </w:r>
      <w:r>
        <w:rPr>
          <w:lang w:val="pt-BR"/>
        </w:rPr>
        <w:t xml:space="preserve"> ou sensibilidade, especificidade, F1-score e taxa de falsos positivos. Também foram avaliadas métricas de eficiência computacional, especialmente latência média, latência mediana, percentil 95 e </w:t>
      </w:r>
      <w:r>
        <w:rPr>
          <w:i/>
          <w:iCs/>
          <w:lang w:val="pt-BR"/>
        </w:rPr>
        <w:t>throughput</w:t>
      </w:r>
      <w:r>
        <w:rPr>
          <w:lang w:val="pt-BR"/>
        </w:rPr>
        <w:t>. Além dessas métricas descritivas, foram utilizados intervalos de confiança de 95% pelo método de Wilson, teste de McNemar, kappa de Cohen e coeficiente de correlação de Matthews, de modo a fortalecer a interpretação estatística dos resultados.</w:t>
      </w:r>
    </w:p>
    <w:p>
      <w:pPr>
        <w:pStyle w:val="normal1"/>
        <w:spacing w:before="0" w:after="120"/>
        <w:jc w:val="left"/>
        <w:rPr>
          <w:b/>
          <w:bCs/>
        </w:rPr>
      </w:pPr>
      <w:r>
        <w:rPr>
          <w:b/>
          <w:bCs/>
          <w:color w:val="000000"/>
          <w:lang w:val="pt-BR"/>
        </w:rPr>
        <w:t>4.2 Composição e integridade dos dados</w:t>
      </w:r>
    </w:p>
    <w:p>
      <w:pPr>
        <w:pStyle w:val="BodyText"/>
        <w:widowControl w:val="false"/>
        <w:suppressAutoHyphens w:val="true"/>
        <w:bidi w:val="0"/>
        <w:ind w:firstLine="709"/>
        <w:jc w:val="both"/>
        <w:rPr>
          <w:lang w:val="pt-BR"/>
        </w:rPr>
      </w:pPr>
      <w:r>
        <w:rPr>
          <w:lang w:val="pt-BR"/>
        </w:rPr>
        <w:t xml:space="preserve">O conjunto de treinamento foi formado por 6.736 imagens, das quais 5.685 eram positivas e 1.051 correspondiam a imagens de </w:t>
      </w:r>
      <w:r>
        <w:rPr>
          <w:i/>
          <w:iCs/>
          <w:lang w:val="pt-BR"/>
        </w:rPr>
        <w:t>background</w:t>
      </w:r>
      <w:r>
        <w:rPr>
          <w:lang w:val="pt-BR"/>
        </w:rPr>
        <w:t xml:space="preserve">, isto é, imagens sem resíduos anotados. A validação contou com 1.286 imagens, sendo 1.101 positivas e 185 de </w:t>
      </w:r>
      <w:r>
        <w:rPr>
          <w:i/>
          <w:iCs/>
          <w:lang w:val="pt-BR"/>
        </w:rPr>
        <w:t>background</w:t>
      </w:r>
      <w:r>
        <w:rPr>
          <w:lang w:val="pt-BR"/>
        </w:rPr>
        <w:t>. O conjunto de teste, por sua vez, foi mantido separado e composto por 560 imagens brasileiras, sendo 280 com resíduos e 280 sem resíduos.</w:t>
      </w:r>
    </w:p>
    <w:p>
      <w:pPr>
        <w:pStyle w:val="normal1"/>
        <w:spacing w:lineRule="auto" w:line="240"/>
        <w:ind w:hanging="0"/>
        <w:jc w:val="center"/>
        <w:rPr/>
      </w:pPr>
      <w:r>
        <w:rPr>
          <w:rFonts w:eastAsia="Times New Roman" w:cs="Times New Roman"/>
          <w:sz w:val="24"/>
          <w:szCs w:val="24"/>
          <w:lang w:val="pt-BR"/>
        </w:rPr>
        <w:t>Tabela 3 – Composição dos conjuntos utilizados no experimento</w:t>
      </w:r>
    </w:p>
    <w:tbl>
      <w:tblPr>
        <w:tblStyle w:val="TableNormal"/>
        <w:tblW w:w="9071"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2267"/>
        <w:gridCol w:w="1810"/>
        <w:gridCol w:w="1937"/>
        <w:gridCol w:w="3056"/>
      </w:tblGrid>
      <w:tr>
        <w:trPr/>
        <w:tc>
          <w:tcPr>
            <w:tcW w:w="2267" w:type="dxa"/>
            <w:tcBorders/>
            <w:vAlign w:val="center"/>
          </w:tcPr>
          <w:p>
            <w:pPr>
              <w:pStyle w:val="normal1"/>
              <w:suppressAutoHyphens w:val="true"/>
              <w:spacing w:lineRule="auto" w:line="240" w:before="0" w:after="0"/>
              <w:jc w:val="left"/>
              <w:rPr>
                <w:lang w:val="pt-BR"/>
              </w:rPr>
            </w:pPr>
            <w:r>
              <w:rPr>
                <w:rFonts w:eastAsia="Noto Serif CJK SC" w:cs="Noto Sans Devanagari"/>
                <w:b/>
                <w:bCs/>
                <w:kern w:val="0"/>
                <w:sz w:val="20"/>
                <w:szCs w:val="20"/>
                <w:lang w:val="pt-BR" w:eastAsia="zh-CN" w:bidi="hi-IN"/>
              </w:rPr>
              <w:t>Conjunto</w:t>
            </w:r>
          </w:p>
        </w:tc>
        <w:tc>
          <w:tcPr>
            <w:tcW w:w="1810"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b/>
                <w:bCs/>
                <w:kern w:val="0"/>
                <w:sz w:val="20"/>
                <w:szCs w:val="20"/>
                <w:lang w:val="pt-BR" w:eastAsia="zh-CN" w:bidi="hi-IN"/>
              </w:rPr>
              <w:t>Total de imagens</w:t>
            </w:r>
          </w:p>
        </w:tc>
        <w:tc>
          <w:tcPr>
            <w:tcW w:w="1937"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b/>
                <w:bCs/>
                <w:kern w:val="0"/>
                <w:sz w:val="20"/>
                <w:szCs w:val="20"/>
                <w:lang w:val="pt-BR" w:eastAsia="zh-CN" w:bidi="hi-IN"/>
              </w:rPr>
              <w:t>Imagens positivas</w:t>
            </w:r>
          </w:p>
        </w:tc>
        <w:tc>
          <w:tcPr>
            <w:tcW w:w="3056"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b/>
                <w:bCs/>
                <w:kern w:val="0"/>
                <w:sz w:val="20"/>
                <w:szCs w:val="20"/>
                <w:lang w:val="pt-BR" w:eastAsia="zh-CN" w:bidi="hi-IN"/>
              </w:rPr>
              <w:t>Imagens negativas/</w:t>
            </w:r>
            <w:r>
              <w:rPr>
                <w:rFonts w:eastAsia="Noto Serif CJK SC" w:cs="Noto Sans Devanagari"/>
                <w:b/>
                <w:bCs/>
                <w:i/>
                <w:iCs/>
                <w:kern w:val="0"/>
                <w:sz w:val="20"/>
                <w:szCs w:val="20"/>
                <w:lang w:val="pt-BR" w:eastAsia="zh-CN" w:bidi="hi-IN"/>
              </w:rPr>
              <w:t>background</w:t>
            </w:r>
          </w:p>
        </w:tc>
      </w:tr>
      <w:tr>
        <w:trPr/>
        <w:tc>
          <w:tcPr>
            <w:tcW w:w="2267"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Treino</w:t>
            </w:r>
          </w:p>
        </w:tc>
        <w:tc>
          <w:tcPr>
            <w:tcW w:w="1810"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6.736</w:t>
            </w:r>
          </w:p>
        </w:tc>
        <w:tc>
          <w:tcPr>
            <w:tcW w:w="1937"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5.685</w:t>
            </w:r>
          </w:p>
        </w:tc>
        <w:tc>
          <w:tcPr>
            <w:tcW w:w="3056"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1.051</w:t>
            </w:r>
          </w:p>
        </w:tc>
      </w:tr>
      <w:tr>
        <w:trPr/>
        <w:tc>
          <w:tcPr>
            <w:tcW w:w="2267"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Validação</w:t>
            </w:r>
          </w:p>
        </w:tc>
        <w:tc>
          <w:tcPr>
            <w:tcW w:w="1810"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1.286</w:t>
            </w:r>
          </w:p>
        </w:tc>
        <w:tc>
          <w:tcPr>
            <w:tcW w:w="1937"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1.101</w:t>
            </w:r>
          </w:p>
        </w:tc>
        <w:tc>
          <w:tcPr>
            <w:tcW w:w="3056"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185</w:t>
            </w:r>
          </w:p>
        </w:tc>
      </w:tr>
      <w:tr>
        <w:trPr/>
        <w:tc>
          <w:tcPr>
            <w:tcW w:w="2267"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Teste</w:t>
            </w:r>
          </w:p>
        </w:tc>
        <w:tc>
          <w:tcPr>
            <w:tcW w:w="1810"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560</w:t>
            </w:r>
          </w:p>
        </w:tc>
        <w:tc>
          <w:tcPr>
            <w:tcW w:w="1937"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280</w:t>
            </w:r>
          </w:p>
        </w:tc>
        <w:tc>
          <w:tcPr>
            <w:tcW w:w="3056"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280</w:t>
            </w:r>
          </w:p>
        </w:tc>
      </w:tr>
    </w:tbl>
    <w:p>
      <w:pPr>
        <w:pStyle w:val="normal1"/>
        <w:spacing w:lineRule="auto" w:line="240"/>
        <w:ind w:hanging="0"/>
        <w:jc w:val="left"/>
        <w:rPr>
          <w:lang w:val="pt-BR"/>
        </w:rPr>
      </w:pPr>
      <w:r>
        <w:rPr>
          <w:rFonts w:eastAsia="Times New Roman" w:cs="Times New Roman"/>
          <w:sz w:val="20"/>
          <w:szCs w:val="20"/>
          <w:lang w:val="pt-BR"/>
        </w:rPr>
        <w:t>Fonte: elaborado pelo autor com base nos resultados do experimento (2026).</w:t>
      </w:r>
    </w:p>
    <w:p>
      <w:pPr>
        <w:pStyle w:val="normal1"/>
        <w:spacing w:lineRule="auto" w:line="240"/>
        <w:ind w:hanging="0"/>
        <w:jc w:val="left"/>
        <w:rPr>
          <w:lang w:val="pt-BR"/>
        </w:rPr>
      </w:pPr>
      <w:r>
        <w:rPr/>
      </w:r>
    </w:p>
    <w:p>
      <w:pPr>
        <w:pStyle w:val="BodyText"/>
        <w:widowControl w:val="false"/>
        <w:suppressAutoHyphens w:val="true"/>
        <w:bidi w:val="0"/>
        <w:ind w:firstLine="709"/>
        <w:jc w:val="both"/>
        <w:rPr>
          <w:lang w:val="pt-BR"/>
        </w:rPr>
      </w:pPr>
      <w:r>
        <w:rPr>
          <w:lang w:val="pt-BR"/>
        </w:rPr>
        <w:t>A integridade dos dados foi controlada por meio de deduplicação perceptual com pHash. No pool bruto de treinamento, foram removidas 1.661 duplicatas perceptuais de um total inicial de 10.211 imagens, o que corresponde a uma redução aproximada de 16,3%. No conjunto de teste, nenhuma duplicata foi detectada. Além disso, a verificação cruzada entre treino e teste não identificou vazamento de dados. Esse controle é relevante porque evita que imagens iguais ou muito semelhantes apareçam simultaneamente nos conjuntos de treinamento e teste, o que poderia inflar artificialmente o desempenho dos modelos.</w:t>
      </w:r>
    </w:p>
    <w:p>
      <w:pPr>
        <w:pStyle w:val="normal1"/>
        <w:jc w:val="center"/>
        <w:rPr>
          <w:lang w:val="pt-BR"/>
        </w:rPr>
      </w:pPr>
      <w:r>
        <w:rPr/>
        <w:drawing>
          <wp:inline distT="0" distB="0" distL="0" distR="0">
            <wp:extent cx="5400040" cy="1908175"/>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12"/>
                    <a:stretch>
                      <a:fillRect/>
                    </a:stretch>
                  </pic:blipFill>
                  <pic:spPr bwMode="auto">
                    <a:xfrm>
                      <a:off x="0" y="0"/>
                      <a:ext cx="5400040" cy="1908175"/>
                    </a:xfrm>
                    <a:prstGeom prst="rect">
                      <a:avLst/>
                    </a:prstGeom>
                  </pic:spPr>
                </pic:pic>
              </a:graphicData>
            </a:graphic>
          </wp:inline>
        </w:drawing>
      </w:r>
    </w:p>
    <w:p>
      <w:pPr>
        <w:pStyle w:val="normal1"/>
        <w:spacing w:lineRule="auto" w:line="240"/>
        <w:ind w:hanging="0"/>
        <w:jc w:val="center"/>
        <w:rPr>
          <w:lang w:val="pt-BR"/>
        </w:rPr>
      </w:pPr>
      <w:r>
        <w:rPr>
          <w:rFonts w:eastAsia="Times New Roman" w:cs="Times New Roman"/>
          <w:sz w:val="20"/>
          <w:szCs w:val="20"/>
          <w:lang w:val="pt-BR"/>
        </w:rPr>
        <w:t>Figura 2 – Composição do conjunto de teste e distribuição de</w:t>
      </w:r>
      <w:r>
        <w:rPr>
          <w:rFonts w:eastAsia="Times New Roman" w:cs="Times New Roman"/>
          <w:i/>
          <w:iCs/>
          <w:sz w:val="20"/>
          <w:szCs w:val="20"/>
          <w:lang w:val="pt-BR"/>
        </w:rPr>
        <w:t xml:space="preserve"> bounding boxes </w:t>
      </w:r>
      <w:r>
        <w:rPr>
          <w:rFonts w:eastAsia="Times New Roman" w:cs="Times New Roman"/>
          <w:sz w:val="20"/>
          <w:szCs w:val="20"/>
          <w:lang w:val="pt-BR"/>
        </w:rPr>
        <w:t>por imagem positiva</w:t>
      </w:r>
    </w:p>
    <w:p>
      <w:pPr>
        <w:pStyle w:val="normal1"/>
        <w:spacing w:lineRule="auto" w:line="240"/>
        <w:ind w:hanging="0"/>
        <w:jc w:val="left"/>
        <w:rPr>
          <w:lang w:val="pt-BR"/>
        </w:rPr>
      </w:pPr>
      <w:r>
        <w:rPr>
          <w:rFonts w:eastAsia="Times New Roman" w:cs="Times New Roman"/>
          <w:sz w:val="20"/>
          <w:szCs w:val="20"/>
          <w:lang w:val="pt-BR"/>
        </w:rPr>
        <w:tab/>
        <w:t>Fonte: elaborado pelo autor com base nos resultados do experimento (2026).</w:t>
      </w:r>
    </w:p>
    <w:p>
      <w:pPr>
        <w:pStyle w:val="normal1"/>
        <w:spacing w:lineRule="auto" w:line="240"/>
        <w:ind w:hanging="0"/>
        <w:jc w:val="left"/>
        <w:rPr>
          <w:lang w:val="pt-BR"/>
        </w:rPr>
      </w:pPr>
      <w:r>
        <w:rPr/>
      </w:r>
    </w:p>
    <w:p>
      <w:pPr>
        <w:pStyle w:val="normal1"/>
        <w:jc w:val="center"/>
        <w:rPr>
          <w:lang w:val="pt-BR"/>
        </w:rPr>
      </w:pPr>
      <w:r>
        <w:rPr/>
        <w:drawing>
          <wp:inline distT="0" distB="0" distL="0" distR="0">
            <wp:extent cx="5400040" cy="2736215"/>
            <wp:effectExtent l="0" t="0" r="0" b="0"/>
            <wp:docPr id="4"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descr=""/>
                    <pic:cNvPicPr>
                      <a:picLocks noChangeAspect="1" noChangeArrowheads="1"/>
                    </pic:cNvPicPr>
                  </pic:nvPicPr>
                  <pic:blipFill>
                    <a:blip r:embed="rId13"/>
                    <a:stretch>
                      <a:fillRect/>
                    </a:stretch>
                  </pic:blipFill>
                  <pic:spPr bwMode="auto">
                    <a:xfrm>
                      <a:off x="0" y="0"/>
                      <a:ext cx="5400040" cy="2736215"/>
                    </a:xfrm>
                    <a:prstGeom prst="rect">
                      <a:avLst/>
                    </a:prstGeom>
                  </pic:spPr>
                </pic:pic>
              </a:graphicData>
            </a:graphic>
          </wp:inline>
        </w:drawing>
      </w:r>
    </w:p>
    <w:p>
      <w:pPr>
        <w:pStyle w:val="normal1"/>
        <w:spacing w:lineRule="auto" w:line="240"/>
        <w:ind w:hanging="0"/>
        <w:jc w:val="center"/>
        <w:rPr>
          <w:lang w:val="pt-BR"/>
        </w:rPr>
      </w:pPr>
      <w:r>
        <w:rPr>
          <w:rFonts w:eastAsia="Times New Roman" w:cs="Times New Roman"/>
          <w:sz w:val="20"/>
          <w:szCs w:val="20"/>
          <w:lang w:val="pt-BR"/>
        </w:rPr>
        <w:t>Figura 3 – Amostras do conjunto de teste</w:t>
      </w:r>
      <w:r>
        <w:rPr>
          <w:sz w:val="20"/>
          <w:szCs w:val="20"/>
          <w:lang w:val="pt-BR"/>
        </w:rPr>
        <w:t xml:space="preserve">: </w:t>
      </w:r>
      <w:r>
        <w:rPr>
          <w:rFonts w:eastAsia="Times New Roman" w:cs="Times New Roman"/>
          <w:sz w:val="20"/>
          <w:szCs w:val="20"/>
          <w:lang w:val="pt-BR"/>
        </w:rPr>
        <w:t>linha superior: imagens com resíduos; linha inferior: imagens sem resíduos</w:t>
      </w:r>
    </w:p>
    <w:p>
      <w:pPr>
        <w:pStyle w:val="normal1"/>
        <w:spacing w:lineRule="auto" w:line="240"/>
        <w:ind w:hanging="0"/>
        <w:jc w:val="left"/>
        <w:rPr>
          <w:lang w:val="pt-BR"/>
        </w:rPr>
      </w:pPr>
      <w:r>
        <w:rPr>
          <w:rFonts w:eastAsia="Times New Roman" w:cs="Times New Roman"/>
          <w:sz w:val="20"/>
          <w:szCs w:val="20"/>
          <w:lang w:val="pt-BR"/>
        </w:rPr>
        <w:t>Fonte: elaborado pelo autor com base no conjunto de teste (2026). Imagens de vias públicas brasileiras.</w:t>
      </w:r>
    </w:p>
    <w:p>
      <w:pPr>
        <w:pStyle w:val="normal1"/>
        <w:spacing w:lineRule="auto" w:line="240"/>
        <w:ind w:hanging="0"/>
        <w:jc w:val="left"/>
        <w:rPr>
          <w:lang w:val="pt-BR"/>
        </w:rPr>
      </w:pPr>
      <w:r>
        <w:rPr/>
      </w:r>
    </w:p>
    <w:p>
      <w:pPr>
        <w:pStyle w:val="BodyText"/>
        <w:widowControl w:val="false"/>
        <w:suppressAutoHyphens w:val="true"/>
        <w:bidi w:val="0"/>
        <w:ind w:firstLine="709"/>
        <w:jc w:val="both"/>
        <w:rPr>
          <w:lang w:val="pt-BR"/>
        </w:rPr>
      </w:pPr>
      <w:r>
        <w:rPr>
          <w:lang w:val="pt-BR"/>
        </w:rPr>
        <w:t xml:space="preserve">Na composição final do conjunto de treinamento do YOLOv11m, 1.051 das 6.736 imagens corresponderam a exemplos de </w:t>
      </w:r>
      <w:r>
        <w:rPr>
          <w:rStyle w:val="Emphasis"/>
          <w:lang w:val="pt-BR"/>
        </w:rPr>
        <w:t>background</w:t>
      </w:r>
      <w:r>
        <w:rPr>
          <w:lang w:val="pt-BR"/>
        </w:rPr>
        <w:t>, representando aproximadamente 15,6% do total. Essas imagens foram incluídas como exemplos de cenas urbanas sem resíduos, conforme o procedimento de preparação dos dados descrito na metodologia.</w:t>
      </w:r>
    </w:p>
    <w:p>
      <w:pPr>
        <w:pStyle w:val="normal1"/>
        <w:spacing w:before="0" w:after="120"/>
        <w:jc w:val="left"/>
        <w:rPr>
          <w:b/>
          <w:bCs/>
        </w:rPr>
      </w:pPr>
      <w:r>
        <w:rPr>
          <w:b/>
          <w:bCs/>
          <w:color w:val="000000"/>
          <w:lang w:val="pt-BR"/>
        </w:rPr>
        <w:t>4.3 Desempenho preditivo dos modelos</w:t>
      </w:r>
    </w:p>
    <w:p>
      <w:pPr>
        <w:pStyle w:val="BodyText"/>
        <w:widowControl w:val="false"/>
        <w:suppressAutoHyphens w:val="true"/>
        <w:bidi w:val="0"/>
        <w:ind w:firstLine="709"/>
        <w:jc w:val="both"/>
        <w:rPr>
          <w:lang w:val="pt-BR"/>
        </w:rPr>
      </w:pPr>
      <w:r>
        <w:rPr>
          <w:lang w:val="pt-BR"/>
        </w:rPr>
        <w:t>Nas condições experimentais adotadas e para a tarefa binária em nível de imagem, os resultados indicaram melhor desempenho preditivo do Gemma 3 27B-IT em relação ao YOLOv11m. Essa diferença apareceu nas métricas de classificação binária e foi reforçada pelos testes estatísticos aplicados. Contudo, essa superioridade preditiva deve ser interpretada com cautela, pois se trata da comparação entre um Large Vision-Language Model de grande porte e um detector de objetos mais leve, especializado e orientado à eficiência. Portanto, os resultados não autorizam concluir superioridade arquitetural universal do modelo visão-linguagem, mas apenas sua vantagem preditiva no desenho experimental adotado.</w:t>
      </w:r>
    </w:p>
    <w:p>
      <w:pPr>
        <w:pStyle w:val="normal1"/>
        <w:spacing w:lineRule="auto" w:line="240"/>
        <w:ind w:hanging="0"/>
        <w:jc w:val="center"/>
        <w:rPr>
          <w:sz w:val="24"/>
          <w:szCs w:val="24"/>
        </w:rPr>
      </w:pPr>
      <w:r>
        <w:rPr>
          <w:rFonts w:eastAsia="Times New Roman" w:cs="Times New Roman"/>
          <w:sz w:val="24"/>
          <w:szCs w:val="24"/>
          <w:lang w:val="pt-BR"/>
        </w:rPr>
        <w:t>Tabela 4 – Comparação das métricas preditivas entre YOLOv11m e Gemma 3 27B-IT</w:t>
      </w:r>
    </w:p>
    <w:tbl>
      <w:tblPr>
        <w:tblStyle w:val="TableNormal"/>
        <w:tblW w:w="9072"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2268"/>
        <w:gridCol w:w="2268"/>
        <w:gridCol w:w="2268"/>
        <w:gridCol w:w="2267"/>
      </w:tblGrid>
      <w:tr>
        <w:trPr/>
        <w:tc>
          <w:tcPr>
            <w:tcW w:w="2268" w:type="dxa"/>
            <w:tcBorders/>
            <w:vAlign w:val="center"/>
          </w:tcPr>
          <w:p>
            <w:pPr>
              <w:pStyle w:val="normal1"/>
              <w:suppressAutoHyphens w:val="true"/>
              <w:spacing w:lineRule="auto" w:line="240" w:before="0" w:after="0"/>
              <w:jc w:val="left"/>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Métrica</w:t>
            </w:r>
          </w:p>
        </w:tc>
        <w:tc>
          <w:tcPr>
            <w:tcW w:w="2268"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YOLOv11m</w:t>
            </w:r>
          </w:p>
        </w:tc>
        <w:tc>
          <w:tcPr>
            <w:tcW w:w="2268"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Gemma 3</w:t>
            </w:r>
          </w:p>
        </w:tc>
        <w:tc>
          <w:tcPr>
            <w:tcW w:w="2267"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Diferença Gemma – YOLO</w:t>
            </w:r>
          </w:p>
        </w:tc>
      </w:tr>
      <w:tr>
        <w:trPr/>
        <w:tc>
          <w:tcPr>
            <w:tcW w:w="2268"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Acurácia</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0,7071</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0,9179</w:t>
            </w:r>
          </w:p>
        </w:tc>
        <w:tc>
          <w:tcPr>
            <w:tcW w:w="2267"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+0,2108</w:t>
            </w:r>
          </w:p>
        </w:tc>
      </w:tr>
      <w:tr>
        <w:trPr/>
        <w:tc>
          <w:tcPr>
            <w:tcW w:w="2268"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Precisão</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0,7117</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0,8611</w:t>
            </w:r>
          </w:p>
        </w:tc>
        <w:tc>
          <w:tcPr>
            <w:tcW w:w="2267"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+0,1494</w:t>
            </w:r>
          </w:p>
        </w:tc>
      </w:tr>
      <w:tr>
        <w:trPr/>
        <w:tc>
          <w:tcPr>
            <w:tcW w:w="2268"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Recall</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0,6964</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0,9964</w:t>
            </w:r>
          </w:p>
        </w:tc>
        <w:tc>
          <w:tcPr>
            <w:tcW w:w="2267"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+0,3000</w:t>
            </w:r>
          </w:p>
        </w:tc>
      </w:tr>
      <w:tr>
        <w:trPr/>
        <w:tc>
          <w:tcPr>
            <w:tcW w:w="2268"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Especificidade</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0,7179</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0,8393</w:t>
            </w:r>
          </w:p>
        </w:tc>
        <w:tc>
          <w:tcPr>
            <w:tcW w:w="2267"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+0,1214</w:t>
            </w:r>
          </w:p>
        </w:tc>
      </w:tr>
      <w:tr>
        <w:trPr/>
        <w:tc>
          <w:tcPr>
            <w:tcW w:w="2268"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F1-score</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0,7040</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0,9238</w:t>
            </w:r>
          </w:p>
        </w:tc>
        <w:tc>
          <w:tcPr>
            <w:tcW w:w="2267"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+0,2198</w:t>
            </w:r>
          </w:p>
        </w:tc>
      </w:tr>
      <w:tr>
        <w:trPr/>
        <w:tc>
          <w:tcPr>
            <w:tcW w:w="2268"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Taxa de FP</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0,2821</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0,1607</w:t>
            </w:r>
          </w:p>
        </w:tc>
        <w:tc>
          <w:tcPr>
            <w:tcW w:w="2267"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-0,1214</w:t>
            </w:r>
          </w:p>
        </w:tc>
      </w:tr>
    </w:tbl>
    <w:p>
      <w:pPr>
        <w:pStyle w:val="normal1"/>
        <w:spacing w:lineRule="auto" w:line="240"/>
        <w:ind w:hanging="0"/>
        <w:jc w:val="left"/>
        <w:rPr>
          <w:lang w:val="pt-BR"/>
        </w:rPr>
      </w:pPr>
      <w:r>
        <w:rPr>
          <w:rFonts w:eastAsia="Times New Roman" w:cs="Times New Roman"/>
          <w:sz w:val="20"/>
          <w:szCs w:val="20"/>
          <w:lang w:val="pt-BR"/>
        </w:rPr>
        <w:t>Fonte: elaborado pelo autor com base nos resultados do experimento (2026).</w:t>
      </w:r>
    </w:p>
    <w:p>
      <w:pPr>
        <w:pStyle w:val="normal1"/>
        <w:spacing w:lineRule="auto" w:line="240"/>
        <w:ind w:hanging="0"/>
        <w:jc w:val="left"/>
        <w:rPr>
          <w:lang w:val="pt-BR"/>
        </w:rPr>
      </w:pPr>
      <w:r>
        <w:rPr/>
      </w:r>
    </w:p>
    <w:p>
      <w:pPr>
        <w:pStyle w:val="BodyText"/>
        <w:widowControl w:val="false"/>
        <w:suppressAutoHyphens w:val="true"/>
        <w:bidi w:val="0"/>
        <w:ind w:firstLine="709"/>
        <w:jc w:val="both"/>
        <w:rPr>
          <w:lang w:val="pt-BR"/>
        </w:rPr>
      </w:pPr>
      <w:r>
        <w:rPr>
          <w:lang w:val="pt-BR"/>
        </w:rPr>
        <w:t xml:space="preserve">O resultado mais expressivo aparece no </w:t>
      </w:r>
      <w:r>
        <w:rPr>
          <w:i/>
          <w:iCs/>
          <w:lang w:val="pt-BR"/>
        </w:rPr>
        <w:t>recall</w:t>
      </w:r>
      <w:r>
        <w:rPr>
          <w:lang w:val="pt-BR"/>
        </w:rPr>
        <w:t xml:space="preserve">. O Gemma 3 27B-IT identificou corretamente 279 das 280 imagens com resíduos, alcançando sensibilidade de 0,9964. O YOLOv11m, por sua vez, identificou corretamente 195 das 280 imagens positivas, com </w:t>
      </w:r>
      <w:r>
        <w:rPr>
          <w:i/>
          <w:iCs/>
          <w:lang w:val="pt-BR"/>
        </w:rPr>
        <w:t>recall</w:t>
      </w:r>
      <w:r>
        <w:rPr>
          <w:lang w:val="pt-BR"/>
        </w:rPr>
        <w:t xml:space="preserve"> de 0,6964. Isso significa que o YOLOv11m deixou de identificar 85 cenas com resíduos, enquanto o Gemma 3 27B-IT deixou de identificar apenas uma. Para uma aplicação de monitoramento urbano, essa diferença é relevante, pois falsos negativos podem significar pontos de descarte irregular não detectados pelo sistema.</w:t>
      </w:r>
    </w:p>
    <w:p>
      <w:pPr>
        <w:pStyle w:val="normal1"/>
        <w:jc w:val="center"/>
        <w:rPr>
          <w:lang w:val="pt-BR"/>
        </w:rPr>
      </w:pPr>
      <w:r>
        <w:rPr/>
        <w:drawing>
          <wp:inline distT="0" distB="0" distL="0" distR="0">
            <wp:extent cx="5400040" cy="2411730"/>
            <wp:effectExtent l="0" t="0" r="0" b="0"/>
            <wp:docPr id="5"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
                    <pic:cNvPicPr>
                      <a:picLocks noChangeAspect="1" noChangeArrowheads="1"/>
                    </pic:cNvPicPr>
                  </pic:nvPicPr>
                  <pic:blipFill>
                    <a:blip r:embed="rId14"/>
                    <a:stretch>
                      <a:fillRect/>
                    </a:stretch>
                  </pic:blipFill>
                  <pic:spPr bwMode="auto">
                    <a:xfrm>
                      <a:off x="0" y="0"/>
                      <a:ext cx="5400040" cy="2411730"/>
                    </a:xfrm>
                    <a:prstGeom prst="rect">
                      <a:avLst/>
                    </a:prstGeom>
                  </pic:spPr>
                </pic:pic>
              </a:graphicData>
            </a:graphic>
          </wp:inline>
        </w:drawing>
      </w:r>
    </w:p>
    <w:p>
      <w:pPr>
        <w:pStyle w:val="normal1"/>
        <w:spacing w:lineRule="auto" w:line="240"/>
        <w:ind w:hanging="0"/>
        <w:jc w:val="center"/>
        <w:rPr>
          <w:lang w:val="pt-BR"/>
        </w:rPr>
      </w:pPr>
      <w:r>
        <w:rPr>
          <w:rFonts w:eastAsia="Times New Roman" w:cs="Times New Roman"/>
          <w:sz w:val="20"/>
          <w:szCs w:val="20"/>
          <w:lang w:val="pt-BR"/>
        </w:rPr>
        <w:t>Figura 4 – Comparação de métricas preditivas entre YOLOv11m e Gemma 3 27B-IT</w:t>
      </w:r>
    </w:p>
    <w:p>
      <w:pPr>
        <w:pStyle w:val="normal1"/>
        <w:spacing w:lineRule="auto" w:line="240"/>
        <w:ind w:hanging="0"/>
        <w:jc w:val="left"/>
        <w:rPr>
          <w:lang w:val="pt-BR"/>
        </w:rPr>
      </w:pPr>
      <w:r>
        <w:rPr>
          <w:rFonts w:eastAsia="Times New Roman" w:cs="Times New Roman"/>
          <w:sz w:val="20"/>
          <w:szCs w:val="20"/>
          <w:lang w:val="pt-BR"/>
        </w:rPr>
        <w:tab/>
        <w:tab/>
        <w:t>Fonte: elaborado pelo autor com base nos resultados do experimento (2026).</w:t>
      </w:r>
    </w:p>
    <w:p>
      <w:pPr>
        <w:pStyle w:val="normal1"/>
        <w:spacing w:lineRule="auto" w:line="240"/>
        <w:ind w:hanging="0"/>
        <w:jc w:val="left"/>
        <w:rPr>
          <w:lang w:val="pt-BR"/>
        </w:rPr>
      </w:pPr>
      <w:r>
        <w:rPr/>
      </w:r>
    </w:p>
    <w:p>
      <w:pPr>
        <w:pStyle w:val="BodyText"/>
        <w:widowControl w:val="false"/>
        <w:suppressAutoHyphens w:val="true"/>
        <w:bidi w:val="0"/>
        <w:ind w:firstLine="709"/>
        <w:jc w:val="both"/>
        <w:rPr>
          <w:lang w:val="pt-BR"/>
        </w:rPr>
      </w:pPr>
      <w:r>
        <w:rPr>
          <w:lang w:val="pt-BR"/>
        </w:rPr>
        <w:t>Nas condições experimentais adotadas, a especificidade também foi mais elevada no Gemma 3 27B-IT. O modelo visão-linguagem classificou corretamente 235 das 280 imagens sem resíduos, enquanto o YOLOv11m classificou corretamente 201 das 280 imagens negativas. Dessa forma, o YOLOv11m gerou 79 falsos positivos, ao passo que o Gemma 3 27B-IT gerou 45. Em termos administrativos, esse resultado é importante porque falsos positivos podem levar ao deslocamento desnecessário de equipes, abertura indevida de chamados, uso ineficiente de recursos públicos e redução da confiança no sistema de monitoramento.</w:t>
      </w:r>
    </w:p>
    <w:p>
      <w:pPr>
        <w:pStyle w:val="BodyText"/>
        <w:widowControl w:val="false"/>
        <w:suppressAutoHyphens w:val="true"/>
        <w:bidi w:val="0"/>
        <w:ind w:firstLine="709"/>
        <w:jc w:val="both"/>
        <w:rPr>
          <w:lang w:val="pt-BR"/>
        </w:rPr>
      </w:pPr>
      <w:r>
        <w:rPr>
          <w:lang w:val="pt-BR"/>
        </w:rPr>
        <w:t>Em um lote hipotético de 10.000 imagens sem resíduos, mantidas as taxas de falsos positivos observadas no teste, o YOLOv11m geraria aproximadamente 2.821 alertas indevidos, enquanto o Gemma 3 27B-IT geraria cerca de 1.607 alertas indevidos. A diferença de 1.214 acionamentos desnecessários ilustra o impacto gerencial dos falsos positivos em escala, especialmente quando alertas são convertidos em chamados operacionais, deslocamento de equipes ou verificação manual.</w:t>
      </w:r>
    </w:p>
    <w:p>
      <w:pPr>
        <w:pStyle w:val="normal1"/>
        <w:rPr>
          <w:lang w:val="pt-BR"/>
        </w:rPr>
      </w:pPr>
      <w:r>
        <w:rPr>
          <w:lang w:val="pt-BR"/>
        </w:rPr>
        <w:t>As matrizes de confusão permitem visualizar melhor essa diferença.</w:t>
      </w:r>
    </w:p>
    <w:p>
      <w:pPr>
        <w:pStyle w:val="normal1"/>
        <w:spacing w:lineRule="auto" w:line="240"/>
        <w:ind w:hanging="0"/>
        <w:jc w:val="center"/>
        <w:rPr>
          <w:sz w:val="24"/>
          <w:szCs w:val="24"/>
        </w:rPr>
      </w:pPr>
      <w:r>
        <w:rPr>
          <w:rFonts w:eastAsia="Times New Roman" w:cs="Times New Roman"/>
          <w:sz w:val="24"/>
          <w:szCs w:val="24"/>
          <w:lang w:val="pt-BR"/>
        </w:rPr>
        <w:t>Tabela 5 – Matriz de confusão do YOLOv11m</w:t>
      </w:r>
    </w:p>
    <w:tbl>
      <w:tblPr>
        <w:tblStyle w:val="TableNormal"/>
        <w:tblW w:w="9072"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3024"/>
        <w:gridCol w:w="3024"/>
        <w:gridCol w:w="3024"/>
      </w:tblGrid>
      <w:tr>
        <w:trPr/>
        <w:tc>
          <w:tcPr>
            <w:tcW w:w="3024" w:type="dxa"/>
            <w:tcBorders/>
            <w:vAlign w:val="center"/>
          </w:tcPr>
          <w:p>
            <w:pPr>
              <w:pStyle w:val="normal1"/>
              <w:suppressAutoHyphens w:val="true"/>
              <w:spacing w:lineRule="auto" w:line="240" w:before="0" w:after="0"/>
              <w:jc w:val="left"/>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Situação real / Predição</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Predito: sem resíduo</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Predito: com resíduo</w:t>
            </w:r>
          </w:p>
        </w:tc>
      </w:tr>
      <w:tr>
        <w:trPr/>
        <w:tc>
          <w:tcPr>
            <w:tcW w:w="3024" w:type="dxa"/>
            <w:tcBorders/>
            <w:vAlign w:val="center"/>
          </w:tcPr>
          <w:p>
            <w:pPr>
              <w:pStyle w:val="normal1"/>
              <w:suppressAutoHyphens w:val="true"/>
              <w:spacing w:lineRule="auto" w:line="240" w:before="0" w:after="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Real: sem resíduo</w:t>
            </w:r>
          </w:p>
        </w:tc>
        <w:tc>
          <w:tcPr>
            <w:tcW w:w="3024"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VN = 201</w:t>
            </w:r>
          </w:p>
        </w:tc>
        <w:tc>
          <w:tcPr>
            <w:tcW w:w="3024"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FP = 79</w:t>
            </w:r>
          </w:p>
        </w:tc>
      </w:tr>
      <w:tr>
        <w:trPr/>
        <w:tc>
          <w:tcPr>
            <w:tcW w:w="3024" w:type="dxa"/>
            <w:tcBorders/>
            <w:vAlign w:val="center"/>
          </w:tcPr>
          <w:p>
            <w:pPr>
              <w:pStyle w:val="normal1"/>
              <w:suppressAutoHyphens w:val="true"/>
              <w:spacing w:lineRule="auto" w:line="240" w:before="0" w:after="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Real: com resíduo</w:t>
            </w:r>
          </w:p>
        </w:tc>
        <w:tc>
          <w:tcPr>
            <w:tcW w:w="3024"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FN = 85</w:t>
            </w:r>
          </w:p>
        </w:tc>
        <w:tc>
          <w:tcPr>
            <w:tcW w:w="3024"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VP = 195</w:t>
            </w:r>
          </w:p>
        </w:tc>
      </w:tr>
    </w:tbl>
    <w:p>
      <w:pPr>
        <w:pStyle w:val="normal1"/>
        <w:spacing w:lineRule="auto" w:line="240"/>
        <w:ind w:hanging="0"/>
        <w:jc w:val="left"/>
        <w:rPr>
          <w:lang w:val="pt-BR"/>
        </w:rPr>
      </w:pPr>
      <w:r>
        <w:rPr>
          <w:rFonts w:eastAsia="Times New Roman" w:cs="Times New Roman"/>
          <w:sz w:val="20"/>
          <w:szCs w:val="20"/>
          <w:lang w:val="pt-BR"/>
        </w:rPr>
        <w:t>Fonte: elaborado pelo autor com base nos resultados do experimento (2026).</w:t>
      </w:r>
    </w:p>
    <w:p>
      <w:pPr>
        <w:pStyle w:val="normal1"/>
        <w:spacing w:lineRule="auto" w:line="240"/>
        <w:ind w:hanging="0"/>
        <w:jc w:val="left"/>
        <w:rPr>
          <w:lang w:val="pt-BR"/>
        </w:rPr>
      </w:pPr>
      <w:r>
        <w:rPr/>
      </w:r>
    </w:p>
    <w:p>
      <w:pPr>
        <w:pStyle w:val="normal1"/>
        <w:spacing w:lineRule="auto" w:line="240"/>
        <w:ind w:hanging="0"/>
        <w:jc w:val="center"/>
        <w:rPr>
          <w:sz w:val="24"/>
          <w:szCs w:val="24"/>
        </w:rPr>
      </w:pPr>
      <w:r>
        <w:rPr>
          <w:rFonts w:eastAsia="Times New Roman" w:cs="Times New Roman"/>
          <w:sz w:val="24"/>
          <w:szCs w:val="24"/>
          <w:lang w:val="pt-BR"/>
        </w:rPr>
        <w:t>Tabela 6 – Matriz de confusão do Gemma 3 27B-IT</w:t>
      </w:r>
    </w:p>
    <w:tbl>
      <w:tblPr>
        <w:tblStyle w:val="TableNormal"/>
        <w:tblW w:w="9072"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3024"/>
        <w:gridCol w:w="3024"/>
        <w:gridCol w:w="3024"/>
      </w:tblGrid>
      <w:tr>
        <w:trPr/>
        <w:tc>
          <w:tcPr>
            <w:tcW w:w="3024" w:type="dxa"/>
            <w:tcBorders/>
            <w:vAlign w:val="center"/>
          </w:tcPr>
          <w:p>
            <w:pPr>
              <w:pStyle w:val="normal1"/>
              <w:suppressAutoHyphens w:val="true"/>
              <w:spacing w:lineRule="auto" w:line="240" w:before="0" w:after="0"/>
              <w:jc w:val="left"/>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Situação real / Predição</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Predito: sem resíduo</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Predito: com resíduo</w:t>
            </w:r>
          </w:p>
        </w:tc>
      </w:tr>
      <w:tr>
        <w:trPr/>
        <w:tc>
          <w:tcPr>
            <w:tcW w:w="3024" w:type="dxa"/>
            <w:tcBorders/>
            <w:vAlign w:val="center"/>
          </w:tcPr>
          <w:p>
            <w:pPr>
              <w:pStyle w:val="normal1"/>
              <w:suppressAutoHyphens w:val="true"/>
              <w:spacing w:lineRule="auto" w:line="240" w:before="0" w:after="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Real: sem resíduo</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VN = 235</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FP = 45</w:t>
            </w:r>
          </w:p>
        </w:tc>
      </w:tr>
      <w:tr>
        <w:trPr/>
        <w:tc>
          <w:tcPr>
            <w:tcW w:w="3024" w:type="dxa"/>
            <w:tcBorders/>
            <w:vAlign w:val="center"/>
          </w:tcPr>
          <w:p>
            <w:pPr>
              <w:pStyle w:val="normal1"/>
              <w:suppressAutoHyphens w:val="true"/>
              <w:spacing w:lineRule="auto" w:line="240" w:before="0" w:after="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Real: com resíduo</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FN = 1</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VP = 279</w:t>
            </w:r>
          </w:p>
        </w:tc>
      </w:tr>
    </w:tbl>
    <w:p>
      <w:pPr>
        <w:pStyle w:val="normal1"/>
        <w:spacing w:lineRule="auto" w:line="240"/>
        <w:ind w:hanging="0"/>
        <w:jc w:val="left"/>
        <w:rPr>
          <w:lang w:val="pt-BR"/>
        </w:rPr>
      </w:pPr>
      <w:r>
        <w:rPr>
          <w:rFonts w:eastAsia="Times New Roman" w:cs="Times New Roman"/>
          <w:sz w:val="20"/>
          <w:szCs w:val="20"/>
          <w:lang w:val="pt-BR"/>
        </w:rPr>
        <w:t>Fonte: elaborado pelo autor com base nos resultados do experimento (2026).</w:t>
      </w:r>
    </w:p>
    <w:p>
      <w:pPr>
        <w:pStyle w:val="normal1"/>
        <w:spacing w:lineRule="auto" w:line="240"/>
        <w:ind w:hanging="0"/>
        <w:jc w:val="left"/>
        <w:rPr>
          <w:lang w:val="pt-BR"/>
        </w:rPr>
      </w:pPr>
      <w:r>
        <w:rPr/>
      </w:r>
    </w:p>
    <w:p>
      <w:pPr>
        <w:pStyle w:val="normal1"/>
        <w:spacing w:lineRule="auto" w:line="240" w:before="60" w:after="120"/>
        <w:jc w:val="left"/>
        <w:rPr>
          <w:lang w:val="pt-BR"/>
        </w:rPr>
      </w:pPr>
      <w:r>
        <w:rPr>
          <w:lang w:val="pt-BR"/>
        </w:rPr>
        <w:t>Nas condições experimentais adotadas, a análise das matrizes indica que o Gemma 3 27B-IT apresentou melhor desempenho tanto na identificação de imagens com resíduos quanto na rejeição de imagens sem resíduos. O YOLOv11m, embora tenha apresentado desempenho útil para uma triagem inicial, tornou-se mais conservador após o aumento de background, reduzindo falsos positivos em relação à execução anterior, mas deixando de identificar uma quantidade maior de cenas positivas.</w:t>
      </w:r>
    </w:p>
    <w:p>
      <w:pPr>
        <w:pStyle w:val="normal1"/>
        <w:jc w:val="center"/>
        <w:rPr>
          <w:lang w:val="pt-BR"/>
        </w:rPr>
      </w:pPr>
      <w:r>
        <w:rPr/>
        <w:drawing>
          <wp:inline distT="0" distB="0" distL="0" distR="0">
            <wp:extent cx="5400040" cy="2303780"/>
            <wp:effectExtent l="0" t="0" r="0" b="0"/>
            <wp:docPr id="6"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
                    <pic:cNvPicPr>
                      <a:picLocks noChangeAspect="1" noChangeArrowheads="1"/>
                    </pic:cNvPicPr>
                  </pic:nvPicPr>
                  <pic:blipFill>
                    <a:blip r:embed="rId15"/>
                    <a:stretch>
                      <a:fillRect/>
                    </a:stretch>
                  </pic:blipFill>
                  <pic:spPr bwMode="auto">
                    <a:xfrm>
                      <a:off x="0" y="0"/>
                      <a:ext cx="5400040" cy="2303780"/>
                    </a:xfrm>
                    <a:prstGeom prst="rect">
                      <a:avLst/>
                    </a:prstGeom>
                  </pic:spPr>
                </pic:pic>
              </a:graphicData>
            </a:graphic>
          </wp:inline>
        </w:drawing>
      </w:r>
    </w:p>
    <w:p>
      <w:pPr>
        <w:pStyle w:val="normal1"/>
        <w:spacing w:lineRule="auto" w:line="240"/>
        <w:ind w:hanging="0"/>
        <w:jc w:val="center"/>
        <w:rPr>
          <w:lang w:val="pt-BR"/>
        </w:rPr>
      </w:pPr>
      <w:r>
        <w:rPr>
          <w:rFonts w:eastAsia="Times New Roman" w:cs="Times New Roman"/>
          <w:sz w:val="20"/>
          <w:szCs w:val="20"/>
          <w:lang w:val="pt-BR"/>
        </w:rPr>
        <w:t>Figura 5 – Matrizes de confusão — classificação binária por imagem (YOLOv11m, limiar 0,25, e Gemma 3 27B-IT, zero-shot)</w:t>
      </w:r>
    </w:p>
    <w:p>
      <w:pPr>
        <w:pStyle w:val="normal1"/>
        <w:spacing w:lineRule="auto" w:line="240"/>
        <w:ind w:hanging="0"/>
        <w:jc w:val="center"/>
        <w:rPr>
          <w:lang w:val="pt-BR"/>
        </w:rPr>
      </w:pPr>
      <w:r>
        <w:rPr>
          <w:rFonts w:eastAsia="Times New Roman" w:cs="Times New Roman"/>
          <w:sz w:val="20"/>
          <w:szCs w:val="20"/>
          <w:lang w:val="pt-BR"/>
        </w:rPr>
        <w:t>Fonte: elaborado pelo autor com base nos resultados do experimento (2026).</w:t>
      </w:r>
    </w:p>
    <w:p>
      <w:pPr>
        <w:pStyle w:val="normal1"/>
        <w:spacing w:lineRule="auto" w:line="240"/>
        <w:ind w:hanging="0"/>
        <w:jc w:val="left"/>
        <w:rPr>
          <w:lang w:val="pt-BR"/>
        </w:rPr>
      </w:pPr>
      <w:r>
        <w:rPr/>
      </w:r>
    </w:p>
    <w:p>
      <w:pPr>
        <w:pStyle w:val="BodyText"/>
        <w:rPr>
          <w:lang w:val="pt-BR"/>
        </w:rPr>
      </w:pPr>
      <w:r>
        <w:rPr>
          <w:lang w:val="pt-BR"/>
        </w:rPr>
        <w:t xml:space="preserve">Na configuração final do treinamento, aproximadamente 15% das imagens corresponderam a exemplos de </w:t>
      </w:r>
      <w:r>
        <w:rPr>
          <w:rStyle w:val="Emphasis"/>
          <w:lang w:val="pt-BR"/>
        </w:rPr>
        <w:t>background</w:t>
      </w:r>
      <w:r>
        <w:rPr>
          <w:lang w:val="pt-BR"/>
        </w:rPr>
        <w:t>. Nessa condição experimental, o YOLOv11m apresentou especificidade mais elevada do que sensibilidade, indicando comportamento mais conservador. O detector gerou falsos positivos em cenas sem resíduos e também deixou de identificar parte das imagens efetivamente positivas.</w:t>
      </w:r>
    </w:p>
    <w:p>
      <w:pPr>
        <w:pStyle w:val="BodyText"/>
        <w:rPr/>
      </w:pPr>
      <w:r>
        <w:rPr/>
        <w:t xml:space="preserve">Esse comportamento evidencia um </w:t>
      </w:r>
      <w:r>
        <w:rPr>
          <w:rStyle w:val="Emphasis"/>
        </w:rPr>
        <w:t>trade-off</w:t>
      </w:r>
      <w:r>
        <w:rPr/>
        <w:t xml:space="preserve"> relevante para a gestão pública. A priorização da especificidade pode reduzir acionamentos desnecessários, enquanto a priorização da sensibilidade pode diminuir a omissão de pontos de descarte irregular. A análise dos limiares de confiança reforçou essa relação: em valores mais elevados, o YOLOv11m alcançou especificidade superior a 0,88 e taxa de falsos positivos inferior a 0,12, porém com </w:t>
      </w:r>
      <w:r>
        <w:rPr>
          <w:rStyle w:val="Emphasis"/>
        </w:rPr>
        <w:t>recall</w:t>
      </w:r>
      <w:r>
        <w:rPr/>
        <w:t xml:space="preserve"> próximo de 0,43. A Tabela 7 apresenta os resultados dos quatro limiares avaliados. Dessa forma, a escolha do ponto de operação deve considerar o custo administrativo atribuído a cada tipo de erro.</w:t>
      </w:r>
    </w:p>
    <w:p>
      <w:pPr>
        <w:pStyle w:val="normal1"/>
        <w:spacing w:lineRule="auto" w:line="240"/>
        <w:ind w:hanging="0"/>
        <w:jc w:val="center"/>
        <w:rPr>
          <w:sz w:val="24"/>
          <w:szCs w:val="24"/>
        </w:rPr>
      </w:pPr>
      <w:r>
        <w:rPr>
          <w:rFonts w:eastAsia="Times New Roman" w:cs="Times New Roman"/>
          <w:sz w:val="24"/>
          <w:szCs w:val="24"/>
          <w:lang w:val="pt-BR"/>
        </w:rPr>
        <w:t>Tabela 7 – Análise de sensibilidade ao limiar de confiança (YOLOv11m)</w:t>
      </w:r>
    </w:p>
    <w:tbl>
      <w:tblPr>
        <w:tblStyle w:val="TableNormal"/>
        <w:tblW w:w="9026" w:type="dxa"/>
        <w:jc w:val="left"/>
        <w:tblInd w:w="-115" w:type="dxa"/>
        <w:tblLayout w:type="fixed"/>
        <w:tblCellMar>
          <w:top w:w="0" w:type="dxa"/>
          <w:left w:w="108" w:type="dxa"/>
          <w:bottom w:w="0" w:type="dxa"/>
          <w:right w:w="108" w:type="dxa"/>
        </w:tblCellMar>
        <w:tblLook w:val="0000" w:noHBand="0" w:noVBand="0" w:firstColumn="0" w:lastRow="0" w:lastColumn="0" w:firstRow="0"/>
      </w:tblPr>
      <w:tblGrid>
        <w:gridCol w:w="1199"/>
        <w:gridCol w:w="1303"/>
        <w:gridCol w:w="1297"/>
        <w:gridCol w:w="1015"/>
        <w:gridCol w:w="1588"/>
        <w:gridCol w:w="1298"/>
        <w:gridCol w:w="1325"/>
      </w:tblGrid>
      <w:tr>
        <w:trPr/>
        <w:tc>
          <w:tcPr>
            <w:tcW w:w="1199"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Limiar</w:t>
            </w:r>
          </w:p>
        </w:tc>
        <w:tc>
          <w:tcPr>
            <w:tcW w:w="1303"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Acurácia</w:t>
            </w:r>
          </w:p>
        </w:tc>
        <w:tc>
          <w:tcPr>
            <w:tcW w:w="1297"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Precisão</w:t>
            </w:r>
          </w:p>
        </w:tc>
        <w:tc>
          <w:tcPr>
            <w:tcW w:w="1015"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Recall</w:t>
            </w:r>
          </w:p>
        </w:tc>
        <w:tc>
          <w:tcPr>
            <w:tcW w:w="1588"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Especificidade</w:t>
            </w:r>
          </w:p>
        </w:tc>
        <w:tc>
          <w:tcPr>
            <w:tcW w:w="1298"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F1-score</w:t>
            </w:r>
          </w:p>
        </w:tc>
        <w:tc>
          <w:tcPr>
            <w:tcW w:w="1325"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Taxa de FP</w:t>
            </w:r>
          </w:p>
        </w:tc>
      </w:tr>
      <w:tr>
        <w:trPr/>
        <w:tc>
          <w:tcPr>
            <w:tcW w:w="1199"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0,25*</w:t>
            </w:r>
          </w:p>
        </w:tc>
        <w:tc>
          <w:tcPr>
            <w:tcW w:w="1303"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0,7071</w:t>
            </w:r>
          </w:p>
        </w:tc>
        <w:tc>
          <w:tcPr>
            <w:tcW w:w="1297"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0,7117</w:t>
            </w:r>
          </w:p>
        </w:tc>
        <w:tc>
          <w:tcPr>
            <w:tcW w:w="1015"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0,6964</w:t>
            </w:r>
          </w:p>
        </w:tc>
        <w:tc>
          <w:tcPr>
            <w:tcW w:w="1588"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0,7179</w:t>
            </w:r>
          </w:p>
        </w:tc>
        <w:tc>
          <w:tcPr>
            <w:tcW w:w="1298"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0,7040</w:t>
            </w:r>
          </w:p>
        </w:tc>
        <w:tc>
          <w:tcPr>
            <w:tcW w:w="1325"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0,2821</w:t>
            </w:r>
          </w:p>
        </w:tc>
      </w:tr>
      <w:tr>
        <w:trPr/>
        <w:tc>
          <w:tcPr>
            <w:tcW w:w="1199"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0,35</w:t>
            </w:r>
          </w:p>
        </w:tc>
        <w:tc>
          <w:tcPr>
            <w:tcW w:w="1303"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0,7268</w:t>
            </w:r>
          </w:p>
        </w:tc>
        <w:tc>
          <w:tcPr>
            <w:tcW w:w="1297"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0,7617</w:t>
            </w:r>
          </w:p>
        </w:tc>
        <w:tc>
          <w:tcPr>
            <w:tcW w:w="1015"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0,6464</w:t>
            </w:r>
          </w:p>
        </w:tc>
        <w:tc>
          <w:tcPr>
            <w:tcW w:w="1588"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0,8071</w:t>
            </w:r>
          </w:p>
        </w:tc>
        <w:tc>
          <w:tcPr>
            <w:tcW w:w="1298"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0,6967</w:t>
            </w:r>
          </w:p>
        </w:tc>
        <w:tc>
          <w:tcPr>
            <w:tcW w:w="1325"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0,1929</w:t>
            </w:r>
          </w:p>
        </w:tc>
      </w:tr>
      <w:tr>
        <w:trPr/>
        <w:tc>
          <w:tcPr>
            <w:tcW w:w="1199"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0,50</w:t>
            </w:r>
          </w:p>
        </w:tc>
        <w:tc>
          <w:tcPr>
            <w:tcW w:w="1303"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0,7054</w:t>
            </w:r>
          </w:p>
        </w:tc>
        <w:tc>
          <w:tcPr>
            <w:tcW w:w="1297"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0,8182</w:t>
            </w:r>
          </w:p>
        </w:tc>
        <w:tc>
          <w:tcPr>
            <w:tcW w:w="1015"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0,5464</w:t>
            </w:r>
          </w:p>
        </w:tc>
        <w:tc>
          <w:tcPr>
            <w:tcW w:w="1588"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0,8643</w:t>
            </w:r>
          </w:p>
        </w:tc>
        <w:tc>
          <w:tcPr>
            <w:tcW w:w="1298"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0,6548</w:t>
            </w:r>
          </w:p>
        </w:tc>
        <w:tc>
          <w:tcPr>
            <w:tcW w:w="1325"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0,1357</w:t>
            </w:r>
          </w:p>
        </w:tc>
      </w:tr>
      <w:tr>
        <w:trPr/>
        <w:tc>
          <w:tcPr>
            <w:tcW w:w="1199"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0,65</w:t>
            </w:r>
          </w:p>
        </w:tc>
        <w:tc>
          <w:tcPr>
            <w:tcW w:w="1303"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0,6661</w:t>
            </w:r>
          </w:p>
        </w:tc>
        <w:tc>
          <w:tcPr>
            <w:tcW w:w="1297"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0,8737</w:t>
            </w:r>
          </w:p>
        </w:tc>
        <w:tc>
          <w:tcPr>
            <w:tcW w:w="1015"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0,4286</w:t>
            </w:r>
          </w:p>
        </w:tc>
        <w:tc>
          <w:tcPr>
            <w:tcW w:w="1588"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0,9036</w:t>
            </w:r>
          </w:p>
        </w:tc>
        <w:tc>
          <w:tcPr>
            <w:tcW w:w="1298"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0,5746</w:t>
            </w:r>
          </w:p>
        </w:tc>
        <w:tc>
          <w:tcPr>
            <w:tcW w:w="1325" w:type="dxa"/>
            <w:tcBorders>
              <w:top w:val="single" w:sz="4" w:space="0" w:color="000000"/>
              <w:left w:val="single" w:sz="4" w:space="0" w:color="000000"/>
              <w:bottom w:val="single" w:sz="4" w:space="0" w:color="000000"/>
              <w:right w:val="single" w:sz="4" w:space="0" w:color="000000"/>
            </w:tcBorders>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0,0964</w:t>
            </w:r>
          </w:p>
        </w:tc>
      </w:tr>
    </w:tbl>
    <w:p>
      <w:pPr>
        <w:pStyle w:val="normal1"/>
        <w:ind w:hanging="0"/>
        <w:jc w:val="left"/>
        <w:rPr>
          <w:lang w:val="pt-BR"/>
        </w:rPr>
      </w:pPr>
      <w:r>
        <w:rPr>
          <w:lang w:val="pt-BR"/>
        </w:rPr>
        <w:t xml:space="preserve">* Limiar principal utilizado na comparação. </w:t>
        <w:br/>
        <w:t>Fonte: elaborado pelo autor com base nos resultados do experimento (2026).</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4.4 Significância estatística dos resultados</w:t>
      </w:r>
    </w:p>
    <w:p>
      <w:pPr>
        <w:pStyle w:val="normal1"/>
        <w:rPr>
          <w:lang w:val="pt-BR"/>
        </w:rPr>
      </w:pPr>
      <w:r>
        <w:rPr>
          <w:lang w:val="pt-BR"/>
        </w:rPr>
        <w:t>A análise do experimento acrescentou uma camada estatística importante aos resultados. Foram calculados intervalos de confiança de 95% pelo método de Wilson, além do teste de McNemar para comparação entre classificadores avaliados sobre o mesmo conjunto de teste.</w:t>
      </w:r>
    </w:p>
    <w:p>
      <w:pPr>
        <w:pStyle w:val="normal1"/>
        <w:spacing w:lineRule="auto" w:line="240"/>
        <w:ind w:hanging="0"/>
        <w:jc w:val="center"/>
        <w:rPr>
          <w:lang w:val="pt-BR"/>
        </w:rPr>
      </w:pPr>
      <w:r>
        <w:rPr>
          <w:rFonts w:eastAsia="Times New Roman" w:cs="Times New Roman"/>
          <w:sz w:val="20"/>
          <w:szCs w:val="20"/>
          <w:lang w:val="pt-BR"/>
        </w:rPr>
        <w:t>Tabela 8 – Métricas com intervalos de confiança de 95%</w:t>
      </w:r>
    </w:p>
    <w:tbl>
      <w:tblPr>
        <w:tblStyle w:val="TableNormal"/>
        <w:tblW w:w="9071"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3000"/>
        <w:gridCol w:w="2550"/>
        <w:gridCol w:w="3521"/>
      </w:tblGrid>
      <w:tr>
        <w:trPr/>
        <w:tc>
          <w:tcPr>
            <w:tcW w:w="3000" w:type="dxa"/>
            <w:tcBorders/>
            <w:vAlign w:val="center"/>
          </w:tcPr>
          <w:p>
            <w:pPr>
              <w:pStyle w:val="normal1"/>
              <w:suppressAutoHyphens w:val="true"/>
              <w:spacing w:lineRule="auto" w:line="240" w:before="0" w:after="0"/>
              <w:jc w:val="left"/>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Métrica</w:t>
            </w:r>
          </w:p>
        </w:tc>
        <w:tc>
          <w:tcPr>
            <w:tcW w:w="2550"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YOLOv11m – IC 95%</w:t>
            </w:r>
          </w:p>
        </w:tc>
        <w:tc>
          <w:tcPr>
            <w:tcW w:w="3521"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Gemma 3 27B-IT – IC 95%</w:t>
            </w:r>
          </w:p>
        </w:tc>
      </w:tr>
      <w:tr>
        <w:trPr/>
        <w:tc>
          <w:tcPr>
            <w:tcW w:w="3000"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Acurácia</w:t>
            </w:r>
          </w:p>
        </w:tc>
        <w:tc>
          <w:tcPr>
            <w:tcW w:w="2550"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0,7071 [0,668 – 0,743]</w:t>
            </w:r>
          </w:p>
        </w:tc>
        <w:tc>
          <w:tcPr>
            <w:tcW w:w="3521"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0,9179 [0,892 – 0,938]</w:t>
            </w:r>
          </w:p>
        </w:tc>
      </w:tr>
      <w:tr>
        <w:trPr/>
        <w:tc>
          <w:tcPr>
            <w:tcW w:w="3000"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Precisão</w:t>
            </w:r>
          </w:p>
        </w:tc>
        <w:tc>
          <w:tcPr>
            <w:tcW w:w="2550"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0,7117 [0,655 – 0,762]</w:t>
            </w:r>
          </w:p>
        </w:tc>
        <w:tc>
          <w:tcPr>
            <w:tcW w:w="3521"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0,8611 [0,819 – 0,895]</w:t>
            </w:r>
          </w:p>
        </w:tc>
      </w:tr>
      <w:tr>
        <w:trPr/>
        <w:tc>
          <w:tcPr>
            <w:tcW w:w="3000"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Recall/Sensibilidade</w:t>
            </w:r>
          </w:p>
        </w:tc>
        <w:tc>
          <w:tcPr>
            <w:tcW w:w="2550"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0,6964 [0,640 – 0,747]</w:t>
            </w:r>
          </w:p>
        </w:tc>
        <w:tc>
          <w:tcPr>
            <w:tcW w:w="3521"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0,9964 [0,980 – 0,999]</w:t>
            </w:r>
          </w:p>
        </w:tc>
      </w:tr>
      <w:tr>
        <w:trPr/>
        <w:tc>
          <w:tcPr>
            <w:tcW w:w="3000"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Especificidade</w:t>
            </w:r>
          </w:p>
        </w:tc>
        <w:tc>
          <w:tcPr>
            <w:tcW w:w="2550"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0,7179 [0,663 – 0,767]</w:t>
            </w:r>
          </w:p>
        </w:tc>
        <w:tc>
          <w:tcPr>
            <w:tcW w:w="3521"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0,8393 [0,792 – 0,878]</w:t>
            </w:r>
          </w:p>
        </w:tc>
      </w:tr>
      <w:tr>
        <w:trPr/>
        <w:tc>
          <w:tcPr>
            <w:tcW w:w="3000"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Taxa de falsos positivos</w:t>
            </w:r>
          </w:p>
        </w:tc>
        <w:tc>
          <w:tcPr>
            <w:tcW w:w="2550"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0,2821 [0,233 – 0,338]</w:t>
            </w:r>
          </w:p>
        </w:tc>
        <w:tc>
          <w:tcPr>
            <w:tcW w:w="3521"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0,1607 [0,122 – 0,208]</w:t>
            </w:r>
          </w:p>
        </w:tc>
      </w:tr>
    </w:tbl>
    <w:p>
      <w:pPr>
        <w:pStyle w:val="normal1"/>
        <w:spacing w:lineRule="auto" w:line="240"/>
        <w:ind w:hanging="0"/>
        <w:jc w:val="left"/>
        <w:rPr>
          <w:lang w:val="pt-BR"/>
        </w:rPr>
      </w:pPr>
      <w:r>
        <w:rPr>
          <w:rFonts w:eastAsia="Times New Roman" w:cs="Times New Roman"/>
          <w:sz w:val="20"/>
          <w:szCs w:val="20"/>
          <w:lang w:val="pt-BR"/>
        </w:rPr>
        <w:t>Fonte: elaborado pelo autor com base na análise estatística do experimento (2026).</w:t>
      </w:r>
    </w:p>
    <w:p>
      <w:pPr>
        <w:pStyle w:val="normal1"/>
        <w:spacing w:lineRule="auto" w:line="240"/>
        <w:ind w:hanging="0"/>
        <w:jc w:val="left"/>
        <w:rPr>
          <w:lang w:val="pt-BR"/>
        </w:rPr>
      </w:pPr>
      <w:r>
        <w:rPr/>
      </w:r>
    </w:p>
    <w:p>
      <w:pPr>
        <w:pStyle w:val="BodyText"/>
        <w:widowControl w:val="false"/>
        <w:suppressAutoHyphens w:val="true"/>
        <w:bidi w:val="0"/>
        <w:ind w:firstLine="709"/>
        <w:jc w:val="both"/>
        <w:rPr>
          <w:lang w:val="pt-BR"/>
        </w:rPr>
      </w:pPr>
      <w:r>
        <w:rPr>
          <w:lang w:val="pt-BR"/>
        </w:rPr>
        <w:t>Os intervalos de confiança não se sobrepõem nas principais métricas, o que reforça a consistência da diferença entre os modelos nas condições avaliadas. Além disso, o teste de McNemar apresentou χ² = 74,40, com p ≈ 6,4 × 10⁻¹⁸. Considerando as discordâncias entre os classificadores, o Gemma 3 27B-IT acertou sozinho 151 casos, enquanto o YOLOv11m acertou sozinho 33 casos. Como esse teste é indicado para comparar dois classificadores aplicados ao mesmo conjunto de dados, o resultado permite afirmar que o melhor desempenho preditivo do Gemma 3 27B-IT nesta tarefa foi estatisticamente significativo.</w:t>
      </w:r>
    </w:p>
    <w:p>
      <w:pPr>
        <w:pStyle w:val="BodyText"/>
        <w:widowControl w:val="false"/>
        <w:suppressAutoHyphens w:val="true"/>
        <w:bidi w:val="0"/>
        <w:ind w:firstLine="709"/>
        <w:jc w:val="both"/>
        <w:rPr>
          <w:lang w:val="pt-BR"/>
        </w:rPr>
      </w:pPr>
      <w:r>
        <w:rPr>
          <w:lang w:val="pt-BR"/>
        </w:rPr>
        <w:t xml:space="preserve">Foram também calculados o kappa de Cohen e o coeficiente de correlação de Matthews. O kappa do YOLOv11m em relação ao </w:t>
      </w:r>
      <w:r>
        <w:rPr>
          <w:i/>
          <w:iCs/>
          <w:lang w:val="pt-BR"/>
        </w:rPr>
        <w:t>ground truth</w:t>
      </w:r>
      <w:r>
        <w:rPr>
          <w:lang w:val="pt-BR"/>
        </w:rPr>
        <w:t xml:space="preserve"> foi de 0,414, enquanto o Gemma 3 27B-IT obteve 0,836. O MCC foi de 0,414 para o YOLOv11m e 0,846 para o Gemma 3 27B-IT.</w:t>
      </w:r>
    </w:p>
    <w:p>
      <w:pPr>
        <w:pStyle w:val="normal1"/>
        <w:spacing w:lineRule="auto" w:line="240"/>
        <w:ind w:hanging="0"/>
        <w:jc w:val="center"/>
        <w:rPr>
          <w:lang w:val="pt-BR"/>
        </w:rPr>
      </w:pPr>
      <w:r>
        <w:rPr>
          <w:rFonts w:eastAsia="Times New Roman" w:cs="Times New Roman"/>
          <w:sz w:val="20"/>
          <w:szCs w:val="20"/>
          <w:lang w:val="pt-BR"/>
        </w:rPr>
        <w:t>Tabela 9 – Indicadores complementares de concordância e discriminação</w:t>
      </w:r>
    </w:p>
    <w:tbl>
      <w:tblPr>
        <w:tblStyle w:val="TableNormal"/>
        <w:tblW w:w="9071"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3450"/>
        <w:gridCol w:w="2597"/>
        <w:gridCol w:w="3024"/>
      </w:tblGrid>
      <w:tr>
        <w:trPr/>
        <w:tc>
          <w:tcPr>
            <w:tcW w:w="3450" w:type="dxa"/>
            <w:tcBorders/>
            <w:vAlign w:val="center"/>
          </w:tcPr>
          <w:p>
            <w:pPr>
              <w:pStyle w:val="normal1"/>
              <w:suppressAutoHyphens w:val="true"/>
              <w:spacing w:lineRule="auto" w:line="240" w:before="0" w:after="0"/>
              <w:jc w:val="left"/>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Indicador</w:t>
            </w:r>
          </w:p>
        </w:tc>
        <w:tc>
          <w:tcPr>
            <w:tcW w:w="2597"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YOLOv11m</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Gemma 3 27B-IT</w:t>
            </w:r>
          </w:p>
        </w:tc>
      </w:tr>
      <w:tr>
        <w:trPr/>
        <w:tc>
          <w:tcPr>
            <w:tcW w:w="3450"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Kappa de Cohen vs. Ground truth</w:t>
            </w:r>
          </w:p>
        </w:tc>
        <w:tc>
          <w:tcPr>
            <w:tcW w:w="2597"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0,414</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0,836</w:t>
            </w:r>
          </w:p>
        </w:tc>
      </w:tr>
      <w:tr>
        <w:trPr/>
        <w:tc>
          <w:tcPr>
            <w:tcW w:w="3450"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Coeficiente de correlação de Matthews</w:t>
            </w:r>
          </w:p>
        </w:tc>
        <w:tc>
          <w:tcPr>
            <w:tcW w:w="2597"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0,414</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0,846</w:t>
            </w:r>
          </w:p>
        </w:tc>
      </w:tr>
      <w:tr>
        <w:trPr/>
        <w:tc>
          <w:tcPr>
            <w:tcW w:w="3450"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Acurácia balanceada</w:t>
            </w:r>
          </w:p>
        </w:tc>
        <w:tc>
          <w:tcPr>
            <w:tcW w:w="2597"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0,707</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0,918</w:t>
            </w:r>
          </w:p>
        </w:tc>
      </w:tr>
      <w:tr>
        <w:trPr/>
        <w:tc>
          <w:tcPr>
            <w:tcW w:w="3450"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Índice J de Youden</w:t>
            </w:r>
          </w:p>
        </w:tc>
        <w:tc>
          <w:tcPr>
            <w:tcW w:w="2597" w:type="dxa"/>
            <w:tcBorders/>
            <w:vAlign w:val="center"/>
          </w:tcPr>
          <w:p>
            <w:pPr>
              <w:pStyle w:val="normal1"/>
              <w:suppressAutoHyphens w:val="true"/>
              <w:spacing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0,414</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0,836</w:t>
            </w:r>
          </w:p>
        </w:tc>
      </w:tr>
    </w:tbl>
    <w:p>
      <w:pPr>
        <w:pStyle w:val="normal1"/>
        <w:spacing w:lineRule="auto" w:line="240"/>
        <w:ind w:hanging="0"/>
        <w:jc w:val="left"/>
        <w:rPr>
          <w:lang w:val="pt-BR"/>
        </w:rPr>
      </w:pPr>
      <w:r>
        <w:rPr>
          <w:rFonts w:eastAsia="Times New Roman" w:cs="Times New Roman"/>
          <w:sz w:val="20"/>
          <w:szCs w:val="20"/>
          <w:lang w:val="pt-BR"/>
        </w:rPr>
        <w:t>Fonte: elaborado pelo autor com base na análise estatística do experimento (2026).</w:t>
      </w:r>
    </w:p>
    <w:p>
      <w:pPr>
        <w:pStyle w:val="normal1"/>
        <w:spacing w:lineRule="auto" w:line="240"/>
        <w:ind w:hanging="0"/>
        <w:jc w:val="left"/>
        <w:rPr>
          <w:lang w:val="pt-BR"/>
        </w:rPr>
      </w:pPr>
      <w:r>
        <w:rPr/>
      </w:r>
    </w:p>
    <w:p>
      <w:pPr>
        <w:pStyle w:val="BodyText"/>
        <w:widowControl w:val="false"/>
        <w:suppressAutoHyphens w:val="true"/>
        <w:bidi w:val="0"/>
        <w:ind w:firstLine="709"/>
        <w:jc w:val="both"/>
        <w:rPr>
          <w:lang w:val="pt-BR"/>
        </w:rPr>
      </w:pPr>
      <w:r>
        <w:rPr>
          <w:lang w:val="pt-BR"/>
        </w:rPr>
        <w:t>Desse modo, a diferença entre os modelos não deve ser interpretada como uma oscilação casual do conjunto de teste. Os dados sustentam que, para a formulação binária adotada neste TCC e nas condições experimentais avaliadas, o Gemma 3 27B-IT apresentou melhor desempenho preditivo que o YOLOv11m.</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4.5 Eficiência computacional</w:t>
      </w:r>
    </w:p>
    <w:p>
      <w:pPr>
        <w:pStyle w:val="BodyText"/>
        <w:widowControl w:val="false"/>
        <w:suppressAutoHyphens w:val="true"/>
        <w:bidi w:val="0"/>
        <w:ind w:firstLine="709"/>
        <w:jc w:val="both"/>
        <w:rPr>
          <w:lang w:val="pt-BR"/>
        </w:rPr>
      </w:pPr>
      <w:r>
        <w:rPr>
          <w:lang w:val="pt-BR"/>
        </w:rPr>
        <w:t>Apesar do melhor desempenho preditivo do Gemma 3 27B-IT nas condições avaliadas, o YOLOv11m apresentou vantagem expressiva em eficiência computacional. A latência média do fluxo medido foi de 8,4 milissegundos por imagem para o YOLOv11m e de 1.191,9 milissegundos para o Gemma 3 27B-IT. A razão entre essas médias foi de aproximadamente 141,9, indicando diferença superior a duas ordens de magnitude entre os procedimentos de execução.</w:t>
      </w:r>
    </w:p>
    <w:p>
      <w:pPr>
        <w:pStyle w:val="normal1"/>
        <w:spacing w:lineRule="auto" w:line="240"/>
        <w:ind w:hanging="0"/>
        <w:jc w:val="center"/>
        <w:rPr>
          <w:sz w:val="24"/>
          <w:szCs w:val="24"/>
        </w:rPr>
      </w:pPr>
      <w:r>
        <w:rPr>
          <w:rFonts w:eastAsia="Times New Roman" w:cs="Times New Roman"/>
          <w:sz w:val="24"/>
          <w:szCs w:val="24"/>
          <w:lang w:val="pt-BR"/>
        </w:rPr>
        <w:t>Tabela 10 – Eficiência computacional dos modelos</w:t>
      </w:r>
    </w:p>
    <w:tbl>
      <w:tblPr>
        <w:tblStyle w:val="TableNormal"/>
        <w:tblW w:w="9072"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3024"/>
        <w:gridCol w:w="3024"/>
        <w:gridCol w:w="3024"/>
      </w:tblGrid>
      <w:tr>
        <w:trPr/>
        <w:tc>
          <w:tcPr>
            <w:tcW w:w="3024" w:type="dxa"/>
            <w:tcBorders/>
            <w:vAlign w:val="center"/>
          </w:tcPr>
          <w:p>
            <w:pPr>
              <w:pStyle w:val="normal1"/>
              <w:suppressAutoHyphens w:val="true"/>
              <w:spacing w:lineRule="auto" w:line="240" w:before="0" w:after="0"/>
              <w:jc w:val="left"/>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Indicador</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YOLOv11m</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Gemma 3 27B-IT</w:t>
            </w:r>
          </w:p>
        </w:tc>
      </w:tr>
      <w:tr>
        <w:trPr>
          <w:trHeight w:val="159" w:hRule="atLeast"/>
        </w:trPr>
        <w:tc>
          <w:tcPr>
            <w:tcW w:w="3024"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Latência média do fluxo medid</w:t>
            </w:r>
            <w:r>
              <w:rPr>
                <w:rFonts w:eastAsia="Noto Serif CJK SC" w:cs="Noto Sans Devanagari"/>
                <w:kern w:val="0"/>
                <w:sz w:val="20"/>
                <w:szCs w:val="20"/>
                <w:lang w:val="pt-BR" w:eastAsia="zh-CN" w:bidi="hi-IN"/>
              </w:rPr>
              <w:t>o</w:t>
            </w:r>
          </w:p>
        </w:tc>
        <w:tc>
          <w:tcPr>
            <w:tcW w:w="3024"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w:t>
            </w:r>
            <w:r>
              <w:rPr>
                <w:rFonts w:eastAsia="Noto Serif CJK SC" w:cs="Noto Sans Devanagari"/>
                <w:kern w:val="0"/>
                <w:sz w:val="20"/>
                <w:szCs w:val="20"/>
                <w:lang w:val="pt-BR" w:eastAsia="zh-CN" w:bidi="hi-IN"/>
              </w:rPr>
              <w:t>8,4 ms</w:t>
            </w:r>
          </w:p>
        </w:tc>
        <w:tc>
          <w:tcPr>
            <w:tcW w:w="3024"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1.191,9 ms</w:t>
            </w:r>
          </w:p>
        </w:tc>
      </w:tr>
      <w:tr>
        <w:trPr/>
        <w:tc>
          <w:tcPr>
            <w:tcW w:w="3024"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Latência mediana P50</w:t>
            </w:r>
          </w:p>
        </w:tc>
        <w:tc>
          <w:tcPr>
            <w:tcW w:w="3024"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8,4 ms</w:t>
            </w:r>
          </w:p>
        </w:tc>
        <w:tc>
          <w:tcPr>
            <w:tcW w:w="3024"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1.172,2 ms</w:t>
            </w:r>
          </w:p>
        </w:tc>
      </w:tr>
      <w:tr>
        <w:trPr/>
        <w:tc>
          <w:tcPr>
            <w:tcW w:w="3024"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Latência P95</w:t>
            </w:r>
          </w:p>
        </w:tc>
        <w:tc>
          <w:tcPr>
            <w:tcW w:w="3024"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9,3 ms</w:t>
            </w:r>
          </w:p>
        </w:tc>
        <w:tc>
          <w:tcPr>
            <w:tcW w:w="3024"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1.346,9 ms</w:t>
            </w:r>
          </w:p>
        </w:tc>
      </w:tr>
      <w:tr>
        <w:trPr/>
        <w:tc>
          <w:tcPr>
            <w:tcW w:w="3024" w:type="dxa"/>
            <w:tcBorders/>
            <w:vAlign w:val="center"/>
          </w:tcPr>
          <w:p>
            <w:pPr>
              <w:pStyle w:val="normal1"/>
              <w:suppressAutoHyphens w:val="true"/>
              <w:spacing w:before="0" w:after="0"/>
              <w:ind w:hanging="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Throughput</w:t>
            </w:r>
          </w:p>
        </w:tc>
        <w:tc>
          <w:tcPr>
            <w:tcW w:w="3024"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1</w:t>
            </w:r>
            <w:r>
              <w:rPr>
                <w:rFonts w:eastAsia="Noto Serif CJK SC" w:cs="Noto Sans Devanagari"/>
                <w:kern w:val="0"/>
                <w:sz w:val="20"/>
                <w:szCs w:val="20"/>
                <w:lang w:val="pt-BR" w:eastAsia="zh-CN" w:bidi="hi-IN"/>
              </w:rPr>
              <w:t>19</w:t>
            </w:r>
            <w:r>
              <w:rPr>
                <w:rFonts w:eastAsia="Noto Serif CJK SC" w:cs="Noto Sans Devanagari"/>
                <w:kern w:val="0"/>
                <w:sz w:val="20"/>
                <w:szCs w:val="20"/>
                <w:lang w:val="pt-BR" w:eastAsia="zh-CN" w:bidi="hi-IN"/>
              </w:rPr>
              <w:t xml:space="preserve"> img/s</w:t>
            </w:r>
          </w:p>
        </w:tc>
        <w:tc>
          <w:tcPr>
            <w:tcW w:w="3024"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0,839 img/s</w:t>
            </w:r>
          </w:p>
        </w:tc>
      </w:tr>
    </w:tbl>
    <w:p>
      <w:pPr>
        <w:pStyle w:val="normal1"/>
        <w:spacing w:lineRule="auto" w:line="240"/>
        <w:ind w:hanging="0"/>
        <w:jc w:val="left"/>
        <w:rPr>
          <w:lang w:val="pt-BR"/>
        </w:rPr>
      </w:pPr>
      <w:r>
        <w:rPr>
          <w:rFonts w:eastAsia="Times New Roman" w:cs="Times New Roman"/>
          <w:sz w:val="20"/>
          <w:szCs w:val="20"/>
          <w:lang w:val="pt-BR"/>
        </w:rPr>
        <w:t>Fonte: elaborado pelo autor com base nos resultados do experimento (2026).</w:t>
      </w:r>
    </w:p>
    <w:p>
      <w:pPr>
        <w:pStyle w:val="normal1"/>
        <w:spacing w:lineRule="auto" w:line="240"/>
        <w:ind w:hanging="0"/>
        <w:jc w:val="left"/>
        <w:rPr>
          <w:lang w:val="pt-BR"/>
        </w:rPr>
      </w:pPr>
      <w:r>
        <w:rPr/>
      </w:r>
    </w:p>
    <w:p>
      <w:pPr>
        <w:pStyle w:val="BodyText"/>
        <w:rPr/>
      </w:pPr>
      <w:r>
        <w:rPr/>
        <w:t>A razão entre as latências médias foi de aproximadamente 141,9, indicando diferença superior a duas ordens de magnitude entre os procedimentos de execução. Em outras palavras, a latência registrada para o Gemma 3 27B-IT correspondeu a aproximadamente 141,9 vezes a latência do YOLOv11m. A partir dessas médias, estimou-se capacidade de processamento de aproximadamente 119 imagens por segundo para o detector especializado e de 0,839 imagem por segundo para o modelo visão-linguagem.</w:t>
      </w:r>
    </w:p>
    <w:p>
      <w:pPr>
        <w:pStyle w:val="BodyText"/>
        <w:rPr/>
      </w:pPr>
      <w:r>
        <w:rPr/>
        <w:t>Essa diferença indica maior adequação computacional do YOLOv11m para situações que demandem processamento contínuo, elevado volume de imagens ou menor tempo de resposta. Contudo, esse resultado não permite afirmar, isoladamente, que o detector teria o mesmo desempenho em um sistema municipal real, pois o experimento não avaliou transmissão simultânea de imagens, concorrência entre requisições, armazenamento, integração com câmeras ou outros componentes de infraestrutura.</w:t>
      </w:r>
    </w:p>
    <w:p>
      <w:pPr>
        <w:pStyle w:val="BodyText"/>
        <w:rPr/>
      </w:pPr>
      <w:r>
        <w:rPr/>
        <w:t>A interpretação dos valores também deve considerar as condições do experimento. As execuções foram realizadas em uma GPU NVIDIA GeForce RTX 5090, com 32 GB de memória de vídeo, configuração de alto desempenho que pode não representar a infraestrutura disponível em órgãos públicos municipais. Além disso, os modelos foram executados por fluxos distintos: o YOLOv11m operou diretamente no ambiente local, enquanto o Gemma 3 27B-IT utilizou uma interface HTTP e um servidor intermediário no LM Studio. Dessa forma, os resultados representam o desempenho das implementações avaliadas, e não exclusivamente o tempo interno de inferência das arquiteturas.</w:t>
      </w:r>
    </w:p>
    <w:p>
      <w:pPr>
        <w:pStyle w:val="BodyText"/>
        <w:rPr/>
      </w:pPr>
      <w:r>
        <w:rPr/>
        <w:t>O resultado é coerente com a literatura sobre detecção de objetos. O YOLO foi originalmente proposto como uma abordagem unificada voltada à execução rápida da detecção, estimando caixas delimitadoras e probabilidades de classe a partir da imagem completa (Redmon et al., 2016). Estudos aplicados à detecção automatizada de resíduos também apontam a adequação de arquiteturas da família YOLO a cenários que demandam equilíbrio entre desempenho preditivo e eficiência computacional (Córdova et al., 2022).</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4.6 Teste da hipótese de pesquisa</w:t>
      </w:r>
    </w:p>
    <w:p>
      <w:pPr>
        <w:pStyle w:val="BodyText"/>
        <w:widowControl w:val="false"/>
        <w:suppressAutoHyphens w:val="true"/>
        <w:bidi w:val="0"/>
        <w:ind w:firstLine="709"/>
        <w:jc w:val="both"/>
        <w:rPr>
          <w:lang w:val="pt-BR"/>
        </w:rPr>
      </w:pPr>
      <w:r>
        <w:rPr>
          <w:lang w:val="pt-BR"/>
        </w:rPr>
        <w:t xml:space="preserve">A hipótese provisória da pesquisa afirmava que modelos especializados de detecção, como o YOLOv11m, tenderiam a apresentar maior viabilidade operacional para monitoramento automatizado de resíduos urbanos quando comparados a modelos visão-linguagem generalistas em modo </w:t>
      </w:r>
      <w:r>
        <w:rPr>
          <w:i/>
          <w:iCs/>
          <w:lang w:val="pt-BR"/>
        </w:rPr>
        <w:t>zero-shot</w:t>
      </w:r>
      <w:r>
        <w:rPr>
          <w:lang w:val="pt-BR"/>
        </w:rPr>
        <w:t>, especialmente em termos de velocidade de inferência e controle de falsos positivos.</w:t>
      </w:r>
    </w:p>
    <w:p>
      <w:pPr>
        <w:pStyle w:val="BodyText"/>
        <w:widowControl w:val="false"/>
        <w:suppressAutoHyphens w:val="true"/>
        <w:bidi w:val="0"/>
        <w:ind w:firstLine="709"/>
        <w:jc w:val="both"/>
        <w:rPr>
          <w:lang w:val="pt-BR"/>
        </w:rPr>
      </w:pPr>
      <w:r>
        <w:rPr>
          <w:lang w:val="pt-BR"/>
        </w:rPr>
        <w:t xml:space="preserve">Os resultados permitem afirmar que essa hipótese foi parcialmente corroborada. A primeira parte da hipótese foi confirmada: o YOLOv11m foi significativamente mais rápido que o Gemma 3 27B-IT. A diferença de latência e </w:t>
      </w:r>
      <w:r>
        <w:rPr>
          <w:i/>
          <w:iCs/>
          <w:lang w:val="pt-BR"/>
        </w:rPr>
        <w:t>throughput</w:t>
      </w:r>
      <w:r>
        <w:rPr>
          <w:lang w:val="pt-BR"/>
        </w:rPr>
        <w:t xml:space="preserve"> confirma a vantagem operacional do detector especializado quando o critério principal é processamento em escala ou tempo real.</w:t>
      </w:r>
    </w:p>
    <w:p>
      <w:pPr>
        <w:pStyle w:val="BodyText"/>
        <w:widowControl w:val="false"/>
        <w:suppressAutoHyphens w:val="true"/>
        <w:bidi w:val="0"/>
        <w:ind w:firstLine="709"/>
        <w:jc w:val="both"/>
        <w:rPr>
          <w:lang w:val="pt-BR"/>
        </w:rPr>
      </w:pPr>
      <w:r>
        <w:rPr>
          <w:lang w:val="pt-BR"/>
        </w:rPr>
        <w:t>A segunda parte da hipótese, contudo, foi refutada. Esperava-se que o YOLOv11m apresentasse melhor controle de falsos positivos, mas ocorreu o contrário. O detector especializado produziu 79 falsos positivos, enquanto o Gemma 3 27B-IT produziu 45. A taxa de falsos positivos do YOLOv11m foi de 0,2821, contra 0,1607 do modelo visão-linguagem. Portanto, o Gemma 3 27B-IT apresentou menor taxa de alarmes falsos em relação ao YOLOv11m nas condições experimentais adotadas.</w:t>
      </w:r>
    </w:p>
    <w:p>
      <w:pPr>
        <w:pStyle w:val="BodyText"/>
        <w:widowControl w:val="false"/>
        <w:suppressAutoHyphens w:val="true"/>
        <w:bidi w:val="0"/>
        <w:ind w:firstLine="709"/>
        <w:jc w:val="both"/>
        <w:rPr>
          <w:lang w:val="pt-BR"/>
        </w:rPr>
      </w:pPr>
      <w:r>
        <w:rPr>
          <w:lang w:val="pt-BR"/>
        </w:rPr>
        <w:t>A refutação parcial da hipótese é compatível com o método hipotético-dedutivo, no qual uma hipótese provisória é formulada e submetida à verificação empírica, sendo posteriormente avaliada conforme sua correspondência com os dados observados (Marconi; Lakatos, 2011). Nesse processo, a hipótese pode ser corroborada integral ou parcialmente, ou não ser corroborada pelos resultados. No presente estudo, a suposição inicial de maior controle de falsos positivos por parte do modelo especializado não se sustentou nas condições experimentais adotadas.</w:t>
      </w:r>
    </w:p>
    <w:p>
      <w:pPr>
        <w:pStyle w:val="BodyText"/>
        <w:widowControl w:val="false"/>
        <w:suppressAutoHyphens w:val="true"/>
        <w:bidi w:val="0"/>
        <w:ind w:firstLine="709"/>
        <w:jc w:val="both"/>
        <w:rPr>
          <w:lang w:val="pt-BR"/>
        </w:rPr>
      </w:pPr>
      <w:r>
        <w:rPr>
          <w:lang w:val="pt-BR"/>
        </w:rPr>
        <w:t>Quanto ao controle de falsos positivos, a hipótese não foi corroborada, pois o YOLOv11m apresentou taxa de alarmes indevidos superior à observada no Gemma 3 27B-IT. O detector especializado também registrou menor sensibilidade, deixando de identificar uma parcela maior das imagens positivas. Dessa forma, nas condições experimentais avaliadas, a especialização do modelo não assegurou melhor equilíbrio entre falsos positivos e falsos negativos.</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4.7 Análise de erros e complementaridade entre os modelos</w:t>
      </w:r>
    </w:p>
    <w:p>
      <w:pPr>
        <w:pStyle w:val="BodyText"/>
        <w:widowControl w:val="false"/>
        <w:suppressAutoHyphens w:val="true"/>
        <w:bidi w:val="0"/>
        <w:ind w:firstLine="709"/>
        <w:jc w:val="both"/>
        <w:rPr>
          <w:lang w:val="pt-BR"/>
        </w:rPr>
      </w:pPr>
      <w:r>
        <w:rPr>
          <w:lang w:val="pt-BR"/>
        </w:rPr>
        <w:t>A análise conjunta dos erros mostra que os modelos não apenas tiveram desempenhos diferentes, mas também erraram de formas distintas. Em 363 das 560 imagens avaliadas, ambos os modelos acertaram. Em 151 casos, apenas o Gemma 3 27B-IT classificou corretamente a imagem; em 33 casos, apenas o YOLOv11m acertou; e, em 13 casos, ambos erraram. Essa distribuição reforça a existência de discordâncias relevantes entre os classificadores e ajuda a explicar a significância estatística observada no teste de McNemar.</w:t>
      </w:r>
    </w:p>
    <w:p>
      <w:pPr>
        <w:pStyle w:val="normal1"/>
        <w:spacing w:lineRule="auto" w:line="240"/>
        <w:ind w:hanging="0"/>
        <w:jc w:val="center"/>
        <w:rPr>
          <w:sz w:val="24"/>
          <w:szCs w:val="24"/>
        </w:rPr>
      </w:pPr>
      <w:r>
        <w:rPr>
          <w:rFonts w:eastAsia="Times New Roman" w:cs="Times New Roman"/>
          <w:sz w:val="24"/>
          <w:szCs w:val="24"/>
          <w:lang w:val="pt-BR"/>
        </w:rPr>
        <w:t>Tabela 11 – Distribuição conjunta dos casos de acerto e erro</w:t>
      </w:r>
    </w:p>
    <w:tbl>
      <w:tblPr>
        <w:tblStyle w:val="TableNormal"/>
        <w:tblW w:w="9072"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4536"/>
        <w:gridCol w:w="2268"/>
        <w:gridCol w:w="2268"/>
      </w:tblGrid>
      <w:tr>
        <w:trPr/>
        <w:tc>
          <w:tcPr>
            <w:tcW w:w="4536"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Classificação conjunta</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N</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w:t>
            </w:r>
          </w:p>
        </w:tc>
      </w:tr>
      <w:tr>
        <w:trPr/>
        <w:tc>
          <w:tcPr>
            <w:tcW w:w="4536"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Ambos corretos</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363</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64,8%</w:t>
            </w:r>
          </w:p>
        </w:tc>
      </w:tr>
      <w:tr>
        <w:trPr/>
        <w:tc>
          <w:tcPr>
            <w:tcW w:w="4536"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Apenas Gemma 3 27B-IT correto</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151</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27,0%</w:t>
            </w:r>
          </w:p>
        </w:tc>
      </w:tr>
      <w:tr>
        <w:trPr/>
        <w:tc>
          <w:tcPr>
            <w:tcW w:w="4536"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Apenas YOLOv11m correto</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33</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5,9%</w:t>
            </w:r>
          </w:p>
        </w:tc>
      </w:tr>
      <w:tr>
        <w:trPr/>
        <w:tc>
          <w:tcPr>
            <w:tcW w:w="4536"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Ambos incorretos</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13</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2,3%</w:t>
            </w:r>
          </w:p>
        </w:tc>
      </w:tr>
    </w:tbl>
    <w:p>
      <w:pPr>
        <w:pStyle w:val="normal1"/>
        <w:spacing w:lineRule="auto" w:line="240"/>
        <w:ind w:hanging="0"/>
        <w:jc w:val="left"/>
        <w:rPr>
          <w:lang w:val="pt-BR"/>
        </w:rPr>
      </w:pPr>
      <w:r>
        <w:rPr>
          <w:rFonts w:eastAsia="Times New Roman" w:cs="Times New Roman"/>
          <w:sz w:val="20"/>
          <w:szCs w:val="20"/>
          <w:lang w:val="pt-BR"/>
        </w:rPr>
        <w:t>Fonte: elaborado pelo autor com base nos resultados do experimento (2026).</w:t>
      </w:r>
    </w:p>
    <w:p>
      <w:pPr>
        <w:pStyle w:val="normal1"/>
        <w:spacing w:lineRule="auto" w:line="240"/>
        <w:ind w:hanging="0"/>
        <w:jc w:val="left"/>
        <w:rPr>
          <w:lang w:val="pt-BR"/>
        </w:rPr>
      </w:pPr>
      <w:r>
        <w:rPr/>
      </w:r>
    </w:p>
    <w:p>
      <w:pPr>
        <w:pStyle w:val="BodyText"/>
        <w:widowControl w:val="false"/>
        <w:suppressAutoHyphens w:val="true"/>
        <w:bidi w:val="0"/>
        <w:ind w:firstLine="709"/>
        <w:jc w:val="both"/>
        <w:rPr>
          <w:lang w:val="pt-BR"/>
        </w:rPr>
      </w:pPr>
      <w:r>
        <w:rPr>
          <w:lang w:val="pt-BR"/>
        </w:rPr>
        <w:t>O dado mais relevante é a existência de complementaridade parcial entre as abordagens. O número de casos em que apenas um dos modelos acertou indica que detector especializado e modelo visão-linguagem não reproduziram exatamente o mesmo padrão de erro. Essa diferença abre espaço para uma arquitetura híbrida, na qual um modelo atua como triagem e o outro como confirmação.</w:t>
      </w:r>
    </w:p>
    <w:p>
      <w:pPr>
        <w:pStyle w:val="normal1"/>
        <w:jc w:val="center"/>
        <w:rPr>
          <w:lang w:val="pt-BR"/>
        </w:rPr>
      </w:pPr>
      <w:r>
        <w:rPr/>
        <w:drawing>
          <wp:inline distT="0" distB="0" distL="0" distR="0">
            <wp:extent cx="5400040" cy="1908175"/>
            <wp:effectExtent l="0" t="0" r="0" b="0"/>
            <wp:docPr id="7"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descr=""/>
                    <pic:cNvPicPr>
                      <a:picLocks noChangeAspect="1" noChangeArrowheads="1"/>
                    </pic:cNvPicPr>
                  </pic:nvPicPr>
                  <pic:blipFill>
                    <a:blip r:embed="rId16"/>
                    <a:stretch>
                      <a:fillRect/>
                    </a:stretch>
                  </pic:blipFill>
                  <pic:spPr bwMode="auto">
                    <a:xfrm>
                      <a:off x="0" y="0"/>
                      <a:ext cx="5400040" cy="1908175"/>
                    </a:xfrm>
                    <a:prstGeom prst="rect">
                      <a:avLst/>
                    </a:prstGeom>
                  </pic:spPr>
                </pic:pic>
              </a:graphicData>
            </a:graphic>
          </wp:inline>
        </w:drawing>
      </w:r>
    </w:p>
    <w:p>
      <w:pPr>
        <w:pStyle w:val="normal1"/>
        <w:spacing w:lineRule="auto" w:line="240"/>
        <w:ind w:hanging="0"/>
        <w:jc w:val="center"/>
        <w:rPr>
          <w:lang w:val="pt-BR"/>
        </w:rPr>
      </w:pPr>
      <w:r>
        <w:rPr>
          <w:rFonts w:eastAsia="Times New Roman" w:cs="Times New Roman"/>
          <w:sz w:val="20"/>
          <w:szCs w:val="20"/>
          <w:lang w:val="pt-BR"/>
        </w:rPr>
        <w:t>Figura 6 – Exemplos de acerto conjunto — imagens com resíduos detectadas por ambos os modelos (GT=1, Y=1, V=1)</w:t>
      </w:r>
    </w:p>
    <w:p>
      <w:pPr>
        <w:pStyle w:val="normal1"/>
        <w:spacing w:lineRule="auto" w:line="240"/>
        <w:ind w:hanging="0"/>
        <w:jc w:val="left"/>
        <w:rPr>
          <w:lang w:val="pt-BR"/>
        </w:rPr>
      </w:pPr>
      <w:r>
        <w:rPr>
          <w:rFonts w:eastAsia="Times New Roman" w:cs="Times New Roman"/>
          <w:sz w:val="20"/>
          <w:szCs w:val="20"/>
          <w:lang w:val="pt-BR"/>
        </w:rPr>
        <w:t>Fonte: elaborado pelo autor com base na análise qualitativa do experimento (2026). Imagens de vias públicas brasileiras.</w:t>
      </w:r>
    </w:p>
    <w:p>
      <w:pPr>
        <w:pStyle w:val="normal1"/>
        <w:jc w:val="center"/>
        <w:rPr>
          <w:lang w:val="pt-BR"/>
        </w:rPr>
      </w:pPr>
      <w:r>
        <w:rPr/>
        <w:drawing>
          <wp:inline distT="0" distB="0" distL="0" distR="0">
            <wp:extent cx="5400040" cy="1908175"/>
            <wp:effectExtent l="0" t="0" r="0" b="0"/>
            <wp:docPr id="8"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descr=""/>
                    <pic:cNvPicPr>
                      <a:picLocks noChangeAspect="1" noChangeArrowheads="1"/>
                    </pic:cNvPicPr>
                  </pic:nvPicPr>
                  <pic:blipFill>
                    <a:blip r:embed="rId17"/>
                    <a:stretch>
                      <a:fillRect/>
                    </a:stretch>
                  </pic:blipFill>
                  <pic:spPr bwMode="auto">
                    <a:xfrm>
                      <a:off x="0" y="0"/>
                      <a:ext cx="5400040" cy="1908175"/>
                    </a:xfrm>
                    <a:prstGeom prst="rect">
                      <a:avLst/>
                    </a:prstGeom>
                  </pic:spPr>
                </pic:pic>
              </a:graphicData>
            </a:graphic>
          </wp:inline>
        </w:drawing>
      </w:r>
    </w:p>
    <w:p>
      <w:pPr>
        <w:pStyle w:val="normal1"/>
        <w:spacing w:lineRule="auto" w:line="240"/>
        <w:ind w:hanging="0"/>
        <w:jc w:val="center"/>
        <w:rPr>
          <w:lang w:val="pt-BR"/>
        </w:rPr>
      </w:pPr>
      <w:r>
        <w:rPr>
          <w:rFonts w:eastAsia="Times New Roman" w:cs="Times New Roman"/>
          <w:sz w:val="20"/>
          <w:szCs w:val="20"/>
          <w:lang w:val="pt-BR"/>
        </w:rPr>
        <w:t>Figura 7 – Exemplos de acerto conjunto — imagens sem resíduos classificadas corretamente por ambos os modelos (GT=0, Y=0, V=0)</w:t>
      </w:r>
    </w:p>
    <w:p>
      <w:pPr>
        <w:pStyle w:val="normal1"/>
        <w:spacing w:lineRule="auto" w:line="240"/>
        <w:ind w:hanging="0"/>
        <w:jc w:val="left"/>
        <w:rPr>
          <w:lang w:val="pt-BR"/>
        </w:rPr>
      </w:pPr>
      <w:r>
        <w:rPr>
          <w:rFonts w:eastAsia="Times New Roman" w:cs="Times New Roman"/>
          <w:sz w:val="20"/>
          <w:szCs w:val="20"/>
          <w:lang w:val="pt-BR"/>
        </w:rPr>
        <w:t>Fonte: elaborado pelo autor com base na análise qualitativa do experimento (2026). Imagens de vias públicas brasileiras.</w:t>
      </w:r>
    </w:p>
    <w:p>
      <w:pPr>
        <w:pStyle w:val="normal1"/>
        <w:jc w:val="center"/>
        <w:rPr>
          <w:lang w:val="pt-BR"/>
        </w:rPr>
      </w:pPr>
      <w:r>
        <w:rPr/>
        <w:drawing>
          <wp:inline distT="0" distB="0" distL="0" distR="0">
            <wp:extent cx="5400040" cy="1908175"/>
            <wp:effectExtent l="0" t="0" r="0" b="0"/>
            <wp:docPr id="9"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png" descr=""/>
                    <pic:cNvPicPr>
                      <a:picLocks noChangeAspect="1" noChangeArrowheads="1"/>
                    </pic:cNvPicPr>
                  </pic:nvPicPr>
                  <pic:blipFill>
                    <a:blip r:embed="rId18"/>
                    <a:stretch>
                      <a:fillRect/>
                    </a:stretch>
                  </pic:blipFill>
                  <pic:spPr bwMode="auto">
                    <a:xfrm>
                      <a:off x="0" y="0"/>
                      <a:ext cx="5400040" cy="1908175"/>
                    </a:xfrm>
                    <a:prstGeom prst="rect">
                      <a:avLst/>
                    </a:prstGeom>
                  </pic:spPr>
                </pic:pic>
              </a:graphicData>
            </a:graphic>
          </wp:inline>
        </w:drawing>
      </w:r>
    </w:p>
    <w:p>
      <w:pPr>
        <w:pStyle w:val="normal1"/>
        <w:spacing w:lineRule="auto" w:line="240"/>
        <w:ind w:hanging="0"/>
        <w:jc w:val="center"/>
        <w:rPr>
          <w:lang w:val="pt-BR"/>
        </w:rPr>
      </w:pPr>
      <w:r>
        <w:rPr>
          <w:rFonts w:eastAsia="Times New Roman" w:cs="Times New Roman"/>
          <w:sz w:val="20"/>
          <w:szCs w:val="20"/>
          <w:lang w:val="pt-BR"/>
        </w:rPr>
        <w:t>Figura 8 – Exemplos de erro exclusivo do YOLOv11m — imagens com resíduos identificadas pelo VLM mas não pelo detector (FN YOLO: GT=1, Y=0, V=1)</w:t>
      </w:r>
    </w:p>
    <w:p>
      <w:pPr>
        <w:pStyle w:val="normal1"/>
        <w:spacing w:lineRule="auto" w:line="240"/>
        <w:ind w:hanging="0"/>
        <w:jc w:val="left"/>
        <w:rPr>
          <w:lang w:val="pt-BR"/>
        </w:rPr>
      </w:pPr>
      <w:r>
        <w:rPr>
          <w:rFonts w:eastAsia="Times New Roman" w:cs="Times New Roman"/>
          <w:sz w:val="20"/>
          <w:szCs w:val="20"/>
          <w:lang w:val="pt-BR"/>
        </w:rPr>
        <w:t>Fonte: elaborado pelo autor com base na análise qualitativa do experimento (2026). Imagens de vias públicas brasileiras.</w:t>
      </w:r>
    </w:p>
    <w:p>
      <w:pPr>
        <w:pStyle w:val="normal1"/>
        <w:jc w:val="center"/>
        <w:rPr>
          <w:lang w:val="pt-BR"/>
        </w:rPr>
      </w:pPr>
      <w:r>
        <w:rPr/>
        <w:drawing>
          <wp:inline distT="0" distB="0" distL="0" distR="0">
            <wp:extent cx="2160270" cy="2520315"/>
            <wp:effectExtent l="0" t="0" r="0" b="0"/>
            <wp:docPr id="10"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descr=""/>
                    <pic:cNvPicPr>
                      <a:picLocks noChangeAspect="1" noChangeArrowheads="1"/>
                    </pic:cNvPicPr>
                  </pic:nvPicPr>
                  <pic:blipFill>
                    <a:blip r:embed="rId19"/>
                    <a:stretch>
                      <a:fillRect/>
                    </a:stretch>
                  </pic:blipFill>
                  <pic:spPr bwMode="auto">
                    <a:xfrm>
                      <a:off x="0" y="0"/>
                      <a:ext cx="2160270" cy="2520315"/>
                    </a:xfrm>
                    <a:prstGeom prst="rect">
                      <a:avLst/>
                    </a:prstGeom>
                  </pic:spPr>
                </pic:pic>
              </a:graphicData>
            </a:graphic>
          </wp:inline>
        </w:drawing>
      </w:r>
    </w:p>
    <w:p>
      <w:pPr>
        <w:pStyle w:val="normal1"/>
        <w:spacing w:lineRule="auto" w:line="240"/>
        <w:ind w:hanging="0"/>
        <w:jc w:val="center"/>
        <w:rPr>
          <w:lang w:val="pt-BR"/>
        </w:rPr>
      </w:pPr>
      <w:r>
        <w:rPr>
          <w:rFonts w:eastAsia="Times New Roman" w:cs="Times New Roman"/>
          <w:sz w:val="20"/>
          <w:szCs w:val="20"/>
          <w:lang w:val="pt-BR"/>
        </w:rPr>
        <w:t>Figura 9 – Exemplo de erro exclusivo do VLM — imagem com resíduos detectada pelo YOLO mas não identificada pelo Gemma (FN VLM: GT=1, Y=1, V=0)</w:t>
      </w:r>
    </w:p>
    <w:p>
      <w:pPr>
        <w:pStyle w:val="normal1"/>
        <w:spacing w:lineRule="auto" w:line="240"/>
        <w:ind w:hanging="0"/>
        <w:jc w:val="left"/>
        <w:rPr>
          <w:lang w:val="pt-BR"/>
        </w:rPr>
      </w:pPr>
      <w:r>
        <w:rPr>
          <w:rFonts w:eastAsia="Times New Roman" w:cs="Times New Roman"/>
          <w:sz w:val="20"/>
          <w:szCs w:val="20"/>
          <w:lang w:val="pt-BR"/>
        </w:rPr>
        <w:t>Fonte: elaborado pelo autor com base na análise qualitativa do experimento (2026). Imagem de via pública brasileira.</w:t>
      </w:r>
    </w:p>
    <w:p>
      <w:pPr>
        <w:pStyle w:val="normal1"/>
        <w:spacing w:lineRule="auto" w:line="240"/>
        <w:ind w:hanging="0"/>
        <w:jc w:val="left"/>
        <w:rPr>
          <w:lang w:val="pt-BR"/>
        </w:rPr>
      </w:pPr>
      <w:r>
        <w:rPr/>
      </w:r>
    </w:p>
    <w:p>
      <w:pPr>
        <w:pStyle w:val="normal1"/>
        <w:jc w:val="center"/>
        <w:rPr>
          <w:lang w:val="pt-BR"/>
        </w:rPr>
      </w:pPr>
      <w:r>
        <w:rPr/>
        <w:drawing>
          <wp:inline distT="0" distB="0" distL="0" distR="0">
            <wp:extent cx="5400040" cy="1908175"/>
            <wp:effectExtent l="0" t="0" r="0" b="0"/>
            <wp:docPr id="11"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png" descr=""/>
                    <pic:cNvPicPr>
                      <a:picLocks noChangeAspect="1" noChangeArrowheads="1"/>
                    </pic:cNvPicPr>
                  </pic:nvPicPr>
                  <pic:blipFill>
                    <a:blip r:embed="rId20"/>
                    <a:stretch>
                      <a:fillRect/>
                    </a:stretch>
                  </pic:blipFill>
                  <pic:spPr bwMode="auto">
                    <a:xfrm>
                      <a:off x="0" y="0"/>
                      <a:ext cx="5400040" cy="1908175"/>
                    </a:xfrm>
                    <a:prstGeom prst="rect">
                      <a:avLst/>
                    </a:prstGeom>
                  </pic:spPr>
                </pic:pic>
              </a:graphicData>
            </a:graphic>
          </wp:inline>
        </w:drawing>
      </w:r>
    </w:p>
    <w:p>
      <w:pPr>
        <w:pStyle w:val="normal1"/>
        <w:spacing w:lineRule="auto" w:line="240"/>
        <w:ind w:hanging="0"/>
        <w:jc w:val="center"/>
        <w:rPr>
          <w:lang w:val="pt-BR"/>
        </w:rPr>
      </w:pPr>
      <w:r>
        <w:rPr>
          <w:rFonts w:eastAsia="Times New Roman" w:cs="Times New Roman"/>
          <w:sz w:val="20"/>
          <w:szCs w:val="20"/>
          <w:lang w:val="pt-BR"/>
        </w:rPr>
        <w:t>Figura 10 – Exemplos de falso positivo exclusivo do YOLOv11m — cenas sem resíduos classificadas erroneamente pelo detector (GT=0, Y=1, V=0)</w:t>
      </w:r>
    </w:p>
    <w:p>
      <w:pPr>
        <w:pStyle w:val="normal1"/>
        <w:spacing w:lineRule="auto" w:line="240"/>
        <w:ind w:hanging="0"/>
        <w:jc w:val="left"/>
        <w:rPr>
          <w:lang w:val="pt-BR"/>
        </w:rPr>
      </w:pPr>
      <w:r>
        <w:rPr>
          <w:rFonts w:eastAsia="Times New Roman" w:cs="Times New Roman"/>
          <w:sz w:val="20"/>
          <w:szCs w:val="20"/>
          <w:lang w:val="pt-BR"/>
        </w:rPr>
        <w:t>Fonte: elaborado pelo autor com base na análise qualitativa do experimento (2026). Imagens de vias públicas brasileiras.</w:t>
      </w:r>
    </w:p>
    <w:p>
      <w:pPr>
        <w:pStyle w:val="normal1"/>
        <w:spacing w:lineRule="auto" w:line="240"/>
        <w:ind w:hanging="0"/>
        <w:jc w:val="left"/>
        <w:rPr>
          <w:lang w:val="pt-BR"/>
        </w:rPr>
      </w:pPr>
      <w:r>
        <w:rPr/>
      </w:r>
    </w:p>
    <w:p>
      <w:pPr>
        <w:pStyle w:val="normal1"/>
        <w:jc w:val="center"/>
        <w:rPr>
          <w:lang w:val="pt-BR"/>
        </w:rPr>
      </w:pPr>
      <w:r>
        <w:rPr/>
        <w:drawing>
          <wp:inline distT="0" distB="0" distL="0" distR="0">
            <wp:extent cx="5400040" cy="1908175"/>
            <wp:effectExtent l="0" t="0" r="0" b="0"/>
            <wp:docPr id="12"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descr=""/>
                    <pic:cNvPicPr>
                      <a:picLocks noChangeAspect="1" noChangeArrowheads="1"/>
                    </pic:cNvPicPr>
                  </pic:nvPicPr>
                  <pic:blipFill>
                    <a:blip r:embed="rId21"/>
                    <a:stretch>
                      <a:fillRect/>
                    </a:stretch>
                  </pic:blipFill>
                  <pic:spPr bwMode="auto">
                    <a:xfrm>
                      <a:off x="0" y="0"/>
                      <a:ext cx="5400040" cy="1908175"/>
                    </a:xfrm>
                    <a:prstGeom prst="rect">
                      <a:avLst/>
                    </a:prstGeom>
                  </pic:spPr>
                </pic:pic>
              </a:graphicData>
            </a:graphic>
          </wp:inline>
        </w:drawing>
      </w:r>
    </w:p>
    <w:p>
      <w:pPr>
        <w:pStyle w:val="normal1"/>
        <w:spacing w:lineRule="auto" w:line="240"/>
        <w:ind w:hanging="0"/>
        <w:jc w:val="center"/>
        <w:rPr>
          <w:lang w:val="pt-BR"/>
        </w:rPr>
      </w:pPr>
      <w:r>
        <w:rPr>
          <w:rFonts w:eastAsia="Times New Roman" w:cs="Times New Roman"/>
          <w:sz w:val="20"/>
          <w:szCs w:val="20"/>
          <w:lang w:val="pt-BR"/>
        </w:rPr>
        <w:t>Figura 11 – Exemplos de falso positivo exclusivo do Gemma 3 27B-IT — cenas sem resíduos classificadas erroneamente pelo VLM (GT=0, Y=0, V=1)</w:t>
      </w:r>
    </w:p>
    <w:p>
      <w:pPr>
        <w:pStyle w:val="normal1"/>
        <w:spacing w:lineRule="auto" w:line="240"/>
        <w:ind w:hanging="0"/>
        <w:jc w:val="left"/>
        <w:rPr>
          <w:lang w:val="pt-BR"/>
        </w:rPr>
      </w:pPr>
      <w:r>
        <w:rPr>
          <w:rFonts w:eastAsia="Times New Roman" w:cs="Times New Roman"/>
          <w:sz w:val="20"/>
          <w:szCs w:val="20"/>
          <w:lang w:val="pt-BR"/>
        </w:rPr>
        <w:t>Fonte: elaborado pelo autor com base na análise qualitativa do experimento (2026). Imagens de vias públicas brasileiras.</w:t>
      </w:r>
    </w:p>
    <w:p>
      <w:pPr>
        <w:pStyle w:val="normal1"/>
        <w:jc w:val="center"/>
        <w:rPr>
          <w:lang w:val="pt-BR"/>
        </w:rPr>
      </w:pPr>
      <w:r>
        <w:rPr/>
        <w:drawing>
          <wp:inline distT="0" distB="0" distL="0" distR="0">
            <wp:extent cx="5400040" cy="1908175"/>
            <wp:effectExtent l="0" t="0" r="0" b="0"/>
            <wp:docPr id="13"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png" descr=""/>
                    <pic:cNvPicPr>
                      <a:picLocks noChangeAspect="1" noChangeArrowheads="1"/>
                    </pic:cNvPicPr>
                  </pic:nvPicPr>
                  <pic:blipFill>
                    <a:blip r:embed="rId22"/>
                    <a:stretch>
                      <a:fillRect/>
                    </a:stretch>
                  </pic:blipFill>
                  <pic:spPr bwMode="auto">
                    <a:xfrm>
                      <a:off x="0" y="0"/>
                      <a:ext cx="5400040" cy="1908175"/>
                    </a:xfrm>
                    <a:prstGeom prst="rect">
                      <a:avLst/>
                    </a:prstGeom>
                  </pic:spPr>
                </pic:pic>
              </a:graphicData>
            </a:graphic>
          </wp:inline>
        </w:drawing>
      </w:r>
    </w:p>
    <w:p>
      <w:pPr>
        <w:pStyle w:val="normal1"/>
        <w:spacing w:lineRule="auto" w:line="240"/>
        <w:ind w:hanging="0"/>
        <w:jc w:val="center"/>
        <w:rPr>
          <w:lang w:val="pt-BR"/>
        </w:rPr>
      </w:pPr>
      <w:r>
        <w:rPr>
          <w:rFonts w:eastAsia="Times New Roman" w:cs="Times New Roman"/>
          <w:sz w:val="20"/>
          <w:szCs w:val="20"/>
          <w:lang w:val="pt-BR"/>
        </w:rPr>
        <w:t>Figura 12 – Exemplos de falso positivo de ambos os modelos — cenas sem resíduos classificadas erroneamente por YOLO e VLM (GT=0, Y=1, V=1)</w:t>
      </w:r>
    </w:p>
    <w:p>
      <w:pPr>
        <w:pStyle w:val="normal1"/>
        <w:spacing w:lineRule="auto" w:line="240"/>
        <w:ind w:hanging="0"/>
        <w:jc w:val="left"/>
        <w:rPr>
          <w:lang w:val="pt-BR"/>
        </w:rPr>
      </w:pPr>
      <w:r>
        <w:rPr>
          <w:rFonts w:eastAsia="Times New Roman" w:cs="Times New Roman"/>
          <w:sz w:val="20"/>
          <w:szCs w:val="20"/>
          <w:lang w:val="pt-BR"/>
        </w:rPr>
        <w:t>Fonte: elaborado pelo autor com base na análise qualitativa do experimento (2026). Imagens de vias públicas brasileiras.</w:t>
      </w:r>
    </w:p>
    <w:p>
      <w:pPr>
        <w:pStyle w:val="normal1"/>
        <w:spacing w:lineRule="auto" w:line="240"/>
        <w:ind w:hanging="0"/>
        <w:jc w:val="left"/>
        <w:rPr>
          <w:lang w:val="pt-BR"/>
        </w:rPr>
      </w:pPr>
      <w:r>
        <w:rPr/>
      </w:r>
    </w:p>
    <w:p>
      <w:pPr>
        <w:pStyle w:val="BodyText"/>
        <w:widowControl w:val="false"/>
        <w:suppressAutoHyphens w:val="true"/>
        <w:bidi w:val="0"/>
        <w:ind w:firstLine="709"/>
        <w:jc w:val="both"/>
        <w:rPr>
          <w:lang w:val="pt-BR"/>
        </w:rPr>
      </w:pPr>
      <w:r>
        <w:rPr>
          <w:lang w:val="pt-BR"/>
        </w:rPr>
        <w:t>A inspeção visual dos erros permitiu identificar padrões qualitativamente distintos entre os modelos. O YOLOv11m apresentou 79 falsos positivos e 85 falsos negativos, enquanto o Gemma 3 27B-IT registrou 45 falsos positivos e apenas um falso negativo. Essa distribuição indica que o detector especializado apresentou maior ocorrência de subdetecção, ao passo que o modelo visão-linguagem demonstrou maior sensibilidade, embora ainda sujeito à sobre-sinalização de elementos presentes em cenas negativas.</w:t>
      </w:r>
    </w:p>
    <w:p>
      <w:pPr>
        <w:pStyle w:val="BodyText"/>
        <w:rPr/>
      </w:pPr>
      <w:r>
        <w:rPr/>
        <w:t>Nos falsos negativos do YOLOv11m, foram observadas imagens contendo resíduos visíveis e, em alguns casos, em quantidade expressiva. Portanto, as omissões não pareceram limitar-se a objetos pequenos, distantes ou pouco destacados. Esse padrão sugere dificuldade de reconhecimento em determinadas condições visuais do conjunto de teste, possivelmente relacionada às diferenças entre as bases utilizadas no treinamento e as imagens reais de vias brasileiras. As cenas de teste apresentavam resíduos amassados, molhados, dispersos ou misturados ao pavimento, além de variações de iluminação, enquadramento e perspectiva.</w:t>
      </w:r>
    </w:p>
    <w:p>
      <w:pPr>
        <w:pStyle w:val="BodyText"/>
        <w:rPr/>
      </w:pPr>
      <w:r>
        <w:rPr/>
        <w:t xml:space="preserve">Essa interpretação deve ser considerada como uma hipótese explicativa, pois o experimento não comparou formalmente o desempenho do detector em diferentes domínios visuais. Ainda assim, o </w:t>
      </w:r>
      <w:r>
        <w:rPr>
          <w:rStyle w:val="Emphasis"/>
        </w:rPr>
        <w:t>recall</w:t>
      </w:r>
      <w:r>
        <w:rPr/>
        <w:t xml:space="preserve"> por instância próximo de 0,51 na validação interna indica que o modelo já apresentava sensibilidade limitada no conjunto de validação, comportamento que também se manifestou no teste externo.</w:t>
      </w:r>
    </w:p>
    <w:p>
      <w:pPr>
        <w:pStyle w:val="BodyText"/>
        <w:rPr/>
      </w:pPr>
      <w:r>
        <w:rPr/>
        <w:t>O perfil de erro do Gemma 3 27B-IT foi distinto. A inspeção dos 45 falsos positivos indicou que a maioria correspondia a cenas efetivamente sem resíduos, e não a objetos presentes, mas ausentes do gabarito de referência. Os erros ocorreram principalmente em cenas com vegetação, vias não pavimentadas, calçadas deterioradas e objetos legítimos do cotidiano urbano, como recipientes, lonas, pedras e mobiliário. Esse padrão sugere que o modelo utilizou elementos contextuais da cena para inferir a existência de descarte, produzindo classificações positivas mesmo sem resíduos claramente identificáveis. Esse tipo de resposta pode ser relacionado às limitações de interpretação visual e às alucinações discutidas na literatura sobre modelos visão-linguagem (Li et al., 2025).</w:t>
      </w:r>
    </w:p>
    <w:p>
      <w:pPr>
        <w:pStyle w:val="BodyText"/>
        <w:rPr/>
      </w:pPr>
      <w:r>
        <w:rPr/>
        <w:t>O único falso negativo do Gemma 3 27B-IT ocorreu em uma imagem com resíduos de poda. Embora um único caso não permita estabelecer um padrão generalizável, o resultado indica possível dificuldade na distinção entre vegetação integrada ao ambiente e material vegetal descartado.</w:t>
      </w:r>
    </w:p>
    <w:p>
      <w:pPr>
        <w:pStyle w:val="BodyText"/>
        <w:rPr/>
      </w:pPr>
      <w:r>
        <w:rPr/>
        <w:t>Em síntese, o YOLOv11m apresentou maior tendência à omissão de cenas positivas, enquanto o Gemma 3 27B-IT demonstrou maior tendência à interpretação contextual excessiva em parte das cenas negativas. Sob a perspectiva administrativa, os dois padrões produzem consequências distintas: falsos positivos podem gerar verificações ou acionamentos desnecessários, enquanto falsos negativos podem manter ocorrências de descarte fora do sistema de monitoramento. Dessa forma, a definição do ponto de operação deve considerar o custo administrativo atribuído a cada tipo de erro.</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4.8 Discussão dos resultados à luz do referencial teórico</w:t>
      </w:r>
    </w:p>
    <w:p>
      <w:pPr>
        <w:pStyle w:val="BodyText"/>
        <w:widowControl w:val="false"/>
        <w:suppressAutoHyphens w:val="true"/>
        <w:bidi w:val="0"/>
        <w:ind w:firstLine="709"/>
        <w:jc w:val="both"/>
        <w:rPr>
          <w:lang w:val="pt-BR"/>
        </w:rPr>
      </w:pPr>
      <w:r>
        <w:rPr>
          <w:lang w:val="pt-BR"/>
        </w:rPr>
        <w:t>Os resultados obtidos dialogam diretamente com a literatura apresentada no referencial teórico. Em primeiro lugar, confirmam a relevância da visão computacional e da detecção de objetos como ferramentas capazes de transformar imagens urbanas em dados úteis à tomada de decisão. A literatura de detecção de objetos destaca que essa tarefa procura responder quais objetos estão presentes e onde estão localizados na imagem, tendo como métricas centrais a acurácia e a velocidade (Zou et al., 2023).</w:t>
      </w:r>
    </w:p>
    <w:p>
      <w:pPr>
        <w:pStyle w:val="BodyText"/>
        <w:widowControl w:val="false"/>
        <w:suppressAutoHyphens w:val="true"/>
        <w:bidi w:val="0"/>
        <w:ind w:firstLine="709"/>
        <w:jc w:val="both"/>
        <w:rPr>
          <w:lang w:val="pt-BR"/>
        </w:rPr>
      </w:pPr>
      <w:r>
        <w:rPr>
          <w:lang w:val="pt-BR"/>
        </w:rPr>
        <w:t>O desempenho computacional do YOLOv11m confirma a vantagem histórica dessa família de modelos em velocidade. Redmon et al. (2016) propuseram o YOLO como uma abordagem unificada de detecção, capaz de processar imagens rapidamente ao tratar a detecção como um problema único de regressão para caixas delimitadoras e probabilidades de classe. No presente estudo, essa característica se manifestou de forma clara, pois o YOLO processou imagens em tempo muito inferior ao Gemma 3 27B-IT.</w:t>
      </w:r>
    </w:p>
    <w:p>
      <w:pPr>
        <w:pStyle w:val="BodyText"/>
        <w:widowControl w:val="false"/>
        <w:suppressAutoHyphens w:val="true"/>
        <w:bidi w:val="0"/>
        <w:ind w:firstLine="709"/>
        <w:jc w:val="both"/>
        <w:rPr>
          <w:lang w:val="pt-BR"/>
        </w:rPr>
      </w:pPr>
      <w:r>
        <w:rPr>
          <w:lang w:val="pt-BR"/>
        </w:rPr>
        <w:t>Por outro lado, o desempenho preditivo inferior do YOLOv11m mostra que velocidade não é suficiente para definir viabilidade administrativa. Em contexto de gestão pública, falsos positivos e falsos negativos possuem efeitos práticos. Falsos positivos podem gerar deslocamento indevido de equipes; falsos negativos podem deixar focos de descarte irregular fora do radar administrativo. Essa constatação se articula com os estudos sobre custos e gestão de resíduos sólidos urbanos, segundo os quais a forma de gestão e de manejo influencia diretamente os custos dos serviços municipais (Rodrigues; Magalhães Filho; Pereira, 2016).</w:t>
      </w:r>
    </w:p>
    <w:p>
      <w:pPr>
        <w:pStyle w:val="BodyText"/>
        <w:widowControl w:val="false"/>
        <w:suppressAutoHyphens w:val="true"/>
        <w:bidi w:val="0"/>
        <w:ind w:firstLine="709"/>
        <w:jc w:val="both"/>
        <w:rPr>
          <w:lang w:val="pt-BR"/>
        </w:rPr>
      </w:pPr>
      <w:r>
        <w:rPr>
          <w:lang w:val="pt-BR"/>
        </w:rPr>
        <w:t xml:space="preserve">Os resultados do Gemma 3 27B-IT se relacionam com a literatura sobre modelos visão-linguagem. Zhang et al. (2024) apontam que os VLMs aprendem correlações entre imagens e textos a partir de pares imagem-texto em larga escala, permitindo predições </w:t>
      </w:r>
      <w:r>
        <w:rPr>
          <w:i/>
          <w:iCs/>
          <w:lang w:val="pt-BR"/>
        </w:rPr>
        <w:t>zero-shot</w:t>
      </w:r>
      <w:r>
        <w:rPr>
          <w:lang w:val="pt-BR"/>
        </w:rPr>
        <w:t xml:space="preserve"> em tarefas visuais. Esse fundamento ajuda a explicar por que o Gemma 3 27B-IT, mesmo sem treinamento específico no conjunto de dados do projeto, conseguiu interpretar com alta sensibilidade cenas urbanas contendo resíduos.</w:t>
      </w:r>
    </w:p>
    <w:p>
      <w:pPr>
        <w:pStyle w:val="BodyText"/>
        <w:widowControl w:val="false"/>
        <w:suppressAutoHyphens w:val="true"/>
        <w:bidi w:val="0"/>
        <w:ind w:firstLine="709"/>
        <w:jc w:val="both"/>
        <w:rPr>
          <w:lang w:val="pt-BR"/>
        </w:rPr>
      </w:pPr>
      <w:r>
        <w:rPr>
          <w:lang w:val="pt-BR"/>
        </w:rPr>
        <w:t xml:space="preserve">O desempenho preditivo do Gemma 3 27B-IT evidencia o potencial dos modelos visão-linguagem para tarefas binárias em regime </w:t>
      </w:r>
      <w:r>
        <w:rPr>
          <w:rStyle w:val="Emphasis"/>
          <w:lang w:val="pt-BR"/>
        </w:rPr>
        <w:t>zero-shot</w:t>
      </w:r>
      <w:r>
        <w:rPr>
          <w:lang w:val="pt-BR"/>
        </w:rPr>
        <w:t>. Contudo, a literatura aponta desafios relacionados ao alinhamento, à avaliação, à segurança e à ocorrência de alucinações visuais nesses modelos (Li et al., 2025), aspectos que ajudam a contextualizar os falsos positivos identificados no experimento. Dessa forma, sua eventual aplicação na gestão pública deve estar associada a mecanismos de auditoria, validação humana, rastreabilidade e controle de erros.</w:t>
      </w:r>
    </w:p>
    <w:p>
      <w:pPr>
        <w:pStyle w:val="BodyText"/>
        <w:widowControl w:val="false"/>
        <w:suppressAutoHyphens w:val="true"/>
        <w:bidi w:val="0"/>
        <w:ind w:firstLine="709"/>
        <w:jc w:val="both"/>
        <w:rPr>
          <w:lang w:val="pt-BR"/>
        </w:rPr>
      </w:pPr>
      <w:r>
        <w:rPr>
          <w:lang w:val="pt-BR"/>
        </w:rPr>
        <w:t>A discussão também se conecta à literatura sobre IA no setor público. Zuiderwijk, Chen e Salem (2021) indicam que a adoção de IA em governança pública deve considerar oportunidades, riscos, desempenho, implementação e impactos. Mišić, van Est e Kool (2025) defendem que a boa governança da IA pública deve articular valores como efetividade, responsividade, justiça procedimental, resiliência, bem-estar e justiça social. No presente estudo, a escolha entre YOLO e Gemma não é apenas técnica, mas administrativa: envolve decidir se a prioridade é velocidade, cobertura, redução de falsos alarmes, rastreabilidade, custo de infraestrutura ou confiabilidade do alerta.</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4.9 Viabilidade para a gestão pública</w:t>
      </w:r>
    </w:p>
    <w:p>
      <w:pPr>
        <w:pStyle w:val="BodyText"/>
        <w:widowControl w:val="false"/>
        <w:suppressAutoHyphens w:val="true"/>
        <w:bidi w:val="0"/>
        <w:ind w:firstLine="709"/>
        <w:jc w:val="both"/>
        <w:rPr>
          <w:lang w:val="pt-BR"/>
        </w:rPr>
      </w:pPr>
      <w:r>
        <w:rPr>
          <w:lang w:val="pt-BR"/>
        </w:rPr>
        <w:t>A análise dos resultados demonstra que a resposta ao problema de pesquisa não pode ser formulada como uma simples vitória de um modelo sobre o outro. A viabilidade depende do regime de uso e dos critérios administrativos priorizados.</w:t>
      </w:r>
    </w:p>
    <w:p>
      <w:pPr>
        <w:pStyle w:val="normal1"/>
        <w:spacing w:lineRule="auto" w:line="240"/>
        <w:ind w:hanging="0"/>
        <w:jc w:val="center"/>
        <w:rPr>
          <w:sz w:val="24"/>
          <w:szCs w:val="24"/>
        </w:rPr>
      </w:pPr>
      <w:r>
        <w:rPr>
          <w:rFonts w:eastAsia="Times New Roman" w:cs="Times New Roman"/>
          <w:sz w:val="24"/>
          <w:szCs w:val="24"/>
          <w:lang w:val="pt-BR"/>
        </w:rPr>
        <w:t>Quadro 2 – Matriz de viabilidade dos modelos</w:t>
      </w:r>
    </w:p>
    <w:tbl>
      <w:tblPr>
        <w:tblStyle w:val="TableNormal"/>
        <w:tblW w:w="9072"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2268"/>
        <w:gridCol w:w="2268"/>
        <w:gridCol w:w="2268"/>
        <w:gridCol w:w="2267"/>
      </w:tblGrid>
      <w:tr>
        <w:trPr/>
        <w:tc>
          <w:tcPr>
            <w:tcW w:w="2268"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Critério de viabilidade</w:t>
            </w:r>
          </w:p>
        </w:tc>
        <w:tc>
          <w:tcPr>
            <w:tcW w:w="2268"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YOLOv11m</w:t>
            </w:r>
          </w:p>
        </w:tc>
        <w:tc>
          <w:tcPr>
            <w:tcW w:w="2268"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Gemma 3 27B-IT</w:t>
            </w:r>
          </w:p>
        </w:tc>
        <w:tc>
          <w:tcPr>
            <w:tcW w:w="2267"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b/>
                <w:bCs/>
                <w:kern w:val="0"/>
                <w:sz w:val="20"/>
                <w:szCs w:val="20"/>
                <w:lang w:val="pt-BR" w:eastAsia="zh-CN" w:bidi="hi-IN"/>
              </w:rPr>
              <w:t>Modelo com vantagem</w:t>
            </w:r>
          </w:p>
        </w:tc>
      </w:tr>
      <w:tr>
        <w:trPr/>
        <w:tc>
          <w:tcPr>
            <w:tcW w:w="2268"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Desempenho preditivo geral</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F1 = 0,7040</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F1 = 0,9238</w:t>
            </w:r>
          </w:p>
        </w:tc>
        <w:tc>
          <w:tcPr>
            <w:tcW w:w="2267"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Gemma 3 27B-IT</w:t>
            </w:r>
          </w:p>
        </w:tc>
      </w:tr>
      <w:tr>
        <w:trPr/>
        <w:tc>
          <w:tcPr>
            <w:tcW w:w="2268"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Velocidade de inferência</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8,4 ms</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1.191,9 ms</w:t>
            </w:r>
          </w:p>
        </w:tc>
        <w:tc>
          <w:tcPr>
            <w:tcW w:w="2267"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YOLOv11m</w:t>
            </w:r>
          </w:p>
        </w:tc>
      </w:tr>
      <w:tr>
        <w:trPr/>
        <w:tc>
          <w:tcPr>
            <w:tcW w:w="2268"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Controle de falsos positivos</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FPR = 0,2821</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FPR = 0,1607</w:t>
            </w:r>
          </w:p>
        </w:tc>
        <w:tc>
          <w:tcPr>
            <w:tcW w:w="2267"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Gemma 3 27B-IT</w:t>
            </w:r>
          </w:p>
        </w:tc>
      </w:tr>
      <w:tr>
        <w:trPr/>
        <w:tc>
          <w:tcPr>
            <w:tcW w:w="2268"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Recall/Sensibilidade</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0,6964</w:t>
            </w:r>
          </w:p>
        </w:tc>
        <w:tc>
          <w:tcPr>
            <w:tcW w:w="2268" w:type="dxa"/>
            <w:tcBorders/>
            <w:vAlign w:val="center"/>
          </w:tcPr>
          <w:p>
            <w:pPr>
              <w:pStyle w:val="normal1"/>
              <w:suppressAutoHyphens w:val="true"/>
              <w:spacing w:before="0" w:after="0"/>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0,9964</w:t>
            </w:r>
          </w:p>
        </w:tc>
        <w:tc>
          <w:tcPr>
            <w:tcW w:w="2267"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Gemma 3 27B-IT</w:t>
            </w:r>
          </w:p>
        </w:tc>
      </w:tr>
      <w:tr>
        <w:trPr/>
        <w:tc>
          <w:tcPr>
            <w:tcW w:w="2268"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Custo computacional estimado</w:t>
            </w:r>
          </w:p>
        </w:tc>
        <w:tc>
          <w:tcPr>
            <w:tcW w:w="2268"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Menor</w:t>
            </w:r>
          </w:p>
        </w:tc>
        <w:tc>
          <w:tcPr>
            <w:tcW w:w="2268"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Maior</w:t>
            </w:r>
          </w:p>
        </w:tc>
        <w:tc>
          <w:tcPr>
            <w:tcW w:w="2267"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YOLOv11m</w:t>
            </w:r>
          </w:p>
        </w:tc>
      </w:tr>
      <w:tr>
        <w:trPr/>
        <w:tc>
          <w:tcPr>
            <w:tcW w:w="2268"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Rastreabilidade visual</w:t>
            </w:r>
          </w:p>
        </w:tc>
        <w:tc>
          <w:tcPr>
            <w:tcW w:w="2268"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Caixas delimitadoras</w:t>
            </w:r>
          </w:p>
        </w:tc>
        <w:tc>
          <w:tcPr>
            <w:tcW w:w="2268"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Rótulo por imagem</w:t>
            </w:r>
          </w:p>
        </w:tc>
        <w:tc>
          <w:tcPr>
            <w:tcW w:w="2267"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YOLOv11m</w:t>
            </w:r>
          </w:p>
        </w:tc>
      </w:tr>
      <w:tr>
        <w:trPr/>
        <w:tc>
          <w:tcPr>
            <w:tcW w:w="2268"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Uso sem treinamento específico</w:t>
            </w:r>
          </w:p>
        </w:tc>
        <w:tc>
          <w:tcPr>
            <w:tcW w:w="2268"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Não</w:t>
            </w:r>
          </w:p>
        </w:tc>
        <w:tc>
          <w:tcPr>
            <w:tcW w:w="2268"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Sim</w:t>
            </w:r>
          </w:p>
        </w:tc>
        <w:tc>
          <w:tcPr>
            <w:tcW w:w="2267"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Gemma 3 27B-IT</w:t>
            </w:r>
          </w:p>
        </w:tc>
      </w:tr>
      <w:tr>
        <w:trPr/>
        <w:tc>
          <w:tcPr>
            <w:tcW w:w="2268"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Escalabilidade em tempo real</w:t>
            </w:r>
          </w:p>
        </w:tc>
        <w:tc>
          <w:tcPr>
            <w:tcW w:w="2268"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Alta</w:t>
            </w:r>
          </w:p>
        </w:tc>
        <w:tc>
          <w:tcPr>
            <w:tcW w:w="2268"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Baixa</w:t>
            </w:r>
          </w:p>
        </w:tc>
        <w:tc>
          <w:tcPr>
            <w:tcW w:w="2267"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YOLOv11m</w:t>
            </w:r>
          </w:p>
        </w:tc>
      </w:tr>
    </w:tbl>
    <w:p>
      <w:pPr>
        <w:pStyle w:val="normal1"/>
        <w:spacing w:lineRule="auto" w:line="240"/>
        <w:ind w:hanging="0"/>
        <w:jc w:val="left"/>
        <w:rPr>
          <w:lang w:val="pt-BR"/>
        </w:rPr>
      </w:pPr>
      <w:r>
        <w:rPr>
          <w:rFonts w:eastAsia="Times New Roman" w:cs="Times New Roman"/>
          <w:sz w:val="20"/>
          <w:szCs w:val="20"/>
          <w:lang w:val="pt-BR"/>
        </w:rPr>
        <w:t>Fonte: elaborado pelo autor com base nos resultados do experimento (2026).</w:t>
      </w:r>
    </w:p>
    <w:p>
      <w:pPr>
        <w:pStyle w:val="normal1"/>
        <w:spacing w:lineRule="auto" w:line="240"/>
        <w:ind w:hanging="0"/>
        <w:jc w:val="left"/>
        <w:rPr>
          <w:lang w:val="pt-BR"/>
        </w:rPr>
      </w:pPr>
      <w:r>
        <w:rPr/>
      </w:r>
    </w:p>
    <w:p>
      <w:pPr>
        <w:pStyle w:val="BodyText"/>
        <w:widowControl w:val="false"/>
        <w:suppressAutoHyphens w:val="true"/>
        <w:bidi w:val="0"/>
        <w:ind w:firstLine="709"/>
        <w:jc w:val="both"/>
        <w:rPr>
          <w:lang w:val="pt-BR"/>
        </w:rPr>
      </w:pPr>
      <w:r>
        <w:rPr>
          <w:lang w:val="pt-BR"/>
        </w:rPr>
        <w:t xml:space="preserve">Para monitoramento em rede, alto volume de imagens ou uso em tempo real, o YOLOv11m apresenta maior viabilidade operacional. Sua latência reduzida e seu alto </w:t>
      </w:r>
      <w:r>
        <w:rPr>
          <w:i/>
          <w:iCs/>
          <w:lang w:val="pt-BR"/>
        </w:rPr>
        <w:t>throughput</w:t>
      </w:r>
      <w:r>
        <w:rPr>
          <w:lang w:val="pt-BR"/>
        </w:rPr>
        <w:t xml:space="preserve"> tornam o modelo mais adequado para triagem contínua, especialmente em cenários com infraestrutura computacional limitada. Além disso, por fornecer caixas delimitadoras, o YOLO permite maior rastreabilidade visual do objeto detectado, o que pode ser útil para auditoria, validação humana e integração com sistemas georreferenciados.</w:t>
      </w:r>
    </w:p>
    <w:p>
      <w:pPr>
        <w:pStyle w:val="BodyText"/>
        <w:widowControl w:val="false"/>
        <w:suppressAutoHyphens w:val="true"/>
        <w:bidi w:val="0"/>
        <w:ind w:firstLine="709"/>
        <w:jc w:val="both"/>
        <w:rPr>
          <w:lang w:val="pt-BR"/>
        </w:rPr>
      </w:pPr>
      <w:r>
        <w:rPr>
          <w:lang w:val="pt-BR"/>
        </w:rPr>
        <w:t>Para análise pontual, imagens enviadas por cidadãos, inspeções periódicas, validação de denúncias ou avaliação de imagens coletadas por equipes municipais, o Gemma 3 27B-IT demonstrou maior viabilidade preditiva nas condições experimentais adotadas e para a tarefa binária em nível de imagem. Sua alta sensibilidade e sua menor taxa de falsos positivos indicam maior confiabilidade na classificação binária da presença ou ausência de resíduos. Entretanto, seu custo computacional e sua latência elevada dificultam o uso em larga escala ou em tempo real.</w:t>
      </w:r>
    </w:p>
    <w:p>
      <w:pPr>
        <w:pStyle w:val="BodyText"/>
        <w:widowControl w:val="false"/>
        <w:suppressAutoHyphens w:val="true"/>
        <w:bidi w:val="0"/>
        <w:ind w:firstLine="709"/>
        <w:jc w:val="both"/>
        <w:rPr>
          <w:lang w:val="pt-BR"/>
        </w:rPr>
      </w:pPr>
      <w:r>
        <w:rPr>
          <w:lang w:val="pt-BR"/>
        </w:rPr>
        <w:t>Entretanto, essa viabilidade preditiva deve ser ponderada pelos custos e requisitos de infraestrutura do Gemma 3 27B-IT. Por se tratar de um modelo visão-linguagem de grande porte, com 27 bilhões de parâmetros, sua execução tende a demandar hardware especializado, maior memória de GPU, maior consumo energético e equipe técnica capaz de manter servidores, dependências e fluxos de inferência. Em muitos municípios brasileiros, marcados por restrições orçamentárias, infraestrutura digital limitada e equipes reduzidas de tecnologia da informação, esses requisitos podem funcionar como impedimentos operacionais relevantes. Assim, o uso do Gemma 3 27B-IT mostra-se mais plausível em análises pontuais, centralizadas ou compartilhadas entre órgãos, enquanto o YOLOv11m apresenta maior aderência a cenários de implantação distribuída e processamento contínuo.</w:t>
      </w:r>
    </w:p>
    <w:p>
      <w:pPr>
        <w:pStyle w:val="BodyText"/>
        <w:widowControl w:val="false"/>
        <w:suppressAutoHyphens w:val="true"/>
        <w:bidi w:val="0"/>
        <w:ind w:firstLine="709"/>
        <w:jc w:val="both"/>
        <w:rPr>
          <w:lang w:val="pt-BR"/>
        </w:rPr>
      </w:pPr>
      <w:r>
        <w:rPr>
          <w:lang w:val="pt-BR"/>
        </w:rPr>
        <w:t>Uma possibilidade decorrente dos resultados é a adoção de arquitetura híbrida. O YOLO poderia realizar triagem rápida de um grande volume de imagens, selecionando cenas potencialmente relevantes. Em seguida, o Gemma 3 27B-IT poderia atuar como etapa de confirmação, analisando apenas os casos sinalizados ou ambíguos. Essa estratégia poderia combinar a velocidade do detector especializado com a capacidade semântica do modelo visão-linguagem, reduzindo o custo computacional total e melhorando a qualidade dos alertas. Essa proposta deve ser tratada como recomendação para pesquisas futuras, pois não foi testada diretamente neste experimento.</w:t>
      </w:r>
    </w:p>
    <w:p>
      <w:pPr>
        <w:pStyle w:val="BodyText"/>
        <w:widowControl w:val="false"/>
        <w:suppressAutoHyphens w:val="true"/>
        <w:bidi w:val="0"/>
        <w:ind w:firstLine="709"/>
        <w:jc w:val="both"/>
        <w:rPr>
          <w:lang w:val="pt-BR"/>
        </w:rPr>
      </w:pPr>
      <w:r>
        <w:rPr>
          <w:lang w:val="pt-BR"/>
        </w:rPr>
        <w:t>Sob a ótica da Administração Pública, os resultados indicam que a IA pode apoiar o monitoramento de resíduos urbanos, mas sua adoção deve ser planejada de acordo com a finalidade do serviço. A gestão de resíduos no Brasil ainda enfrenta fragilidades de infraestrutura, planejamento, recursos financeiros, recursos humanos e diagnósticos territoriais. Nesse contexto, sistemas automatizados podem contribuir para ampliar a capacidade de diagnóstico, mas não substituem planejamento, fiscalização, educação ambiental, equipes de limpeza e responsabilização institucional.</w:t>
      </w:r>
    </w:p>
    <w:p>
      <w:pPr>
        <w:pStyle w:val="normal1"/>
        <w:spacing w:lineRule="auto" w:line="240"/>
        <w:ind w:hanging="0"/>
        <w:jc w:val="center"/>
        <w:rPr>
          <w:sz w:val="24"/>
          <w:szCs w:val="24"/>
        </w:rPr>
      </w:pPr>
      <w:r>
        <w:rPr>
          <w:rFonts w:eastAsia="Times New Roman" w:cs="Times New Roman"/>
          <w:sz w:val="24"/>
          <w:szCs w:val="24"/>
          <w:lang w:val="pt-BR"/>
        </w:rPr>
        <w:t>Quadro 3 – Síntese gerencial dos cenários de uso</w:t>
      </w:r>
    </w:p>
    <w:tbl>
      <w:tblPr>
        <w:tblStyle w:val="TableNormal"/>
        <w:tblW w:w="9072"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3024"/>
        <w:gridCol w:w="3024"/>
        <w:gridCol w:w="3024"/>
      </w:tblGrid>
      <w:tr>
        <w:trPr/>
        <w:tc>
          <w:tcPr>
            <w:tcW w:w="3024" w:type="dxa"/>
            <w:tcBorders/>
            <w:vAlign w:val="center"/>
          </w:tcPr>
          <w:p>
            <w:pPr>
              <w:pStyle w:val="normal1"/>
              <w:suppressAutoHyphens w:val="true"/>
              <w:spacing w:lineRule="auto" w:line="240" w:before="0" w:after="0"/>
              <w:jc w:val="left"/>
              <w:rPr>
                <w:lang w:val="pt-BR"/>
              </w:rPr>
            </w:pPr>
            <w:r>
              <w:rPr>
                <w:rFonts w:eastAsia="Noto Serif CJK SC" w:cs="Noto Sans Devanagari"/>
                <w:b/>
                <w:bCs/>
                <w:kern w:val="0"/>
                <w:sz w:val="20"/>
                <w:szCs w:val="20"/>
                <w:lang w:val="pt-BR" w:eastAsia="zh-CN" w:bidi="hi-IN"/>
              </w:rPr>
              <w:t>Cenário de uso</w:t>
            </w:r>
          </w:p>
        </w:tc>
        <w:tc>
          <w:tcPr>
            <w:tcW w:w="3024"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b/>
                <w:bCs/>
                <w:kern w:val="0"/>
                <w:sz w:val="20"/>
                <w:szCs w:val="20"/>
                <w:lang w:val="pt-BR" w:eastAsia="zh-CN" w:bidi="hi-IN"/>
              </w:rPr>
              <w:t>Modelo mais indicado</w:t>
            </w:r>
          </w:p>
        </w:tc>
        <w:tc>
          <w:tcPr>
            <w:tcW w:w="3024" w:type="dxa"/>
            <w:tcBorders/>
            <w:vAlign w:val="center"/>
          </w:tcPr>
          <w:p>
            <w:pPr>
              <w:pStyle w:val="normal1"/>
              <w:suppressAutoHyphens w:val="true"/>
              <w:spacing w:lineRule="auto" w:line="240" w:before="0" w:after="0"/>
              <w:ind w:hanging="0"/>
              <w:jc w:val="center"/>
              <w:rPr>
                <w:lang w:val="pt-BR"/>
              </w:rPr>
            </w:pPr>
            <w:r>
              <w:rPr>
                <w:rFonts w:eastAsia="Noto Serif CJK SC" w:cs="Noto Sans Devanagari"/>
                <w:b/>
                <w:bCs/>
                <w:kern w:val="0"/>
                <w:sz w:val="20"/>
                <w:szCs w:val="20"/>
                <w:lang w:val="pt-BR" w:eastAsia="zh-CN" w:bidi="hi-IN"/>
              </w:rPr>
              <w:t>Justificativa</w:t>
            </w:r>
          </w:p>
        </w:tc>
      </w:tr>
      <w:tr>
        <w:trPr/>
        <w:tc>
          <w:tcPr>
            <w:tcW w:w="3024"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Monitoramento em tempo real ou alto volume</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YOLOv11m</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 xml:space="preserve">Apresentou latência muito baixa e </w:t>
            </w:r>
            <w:r>
              <w:rPr>
                <w:rFonts w:eastAsia="Noto Serif CJK SC" w:cs="Noto Sans Devanagari"/>
                <w:i/>
                <w:iCs/>
                <w:kern w:val="0"/>
                <w:sz w:val="20"/>
                <w:szCs w:val="20"/>
                <w:lang w:val="pt-BR" w:eastAsia="zh-CN" w:bidi="hi-IN"/>
              </w:rPr>
              <w:t>throughput</w:t>
            </w:r>
            <w:r>
              <w:rPr>
                <w:rFonts w:eastAsia="Noto Serif CJK SC" w:cs="Noto Sans Devanagari"/>
                <w:kern w:val="0"/>
                <w:sz w:val="20"/>
                <w:szCs w:val="20"/>
                <w:lang w:val="pt-BR" w:eastAsia="zh-CN" w:bidi="hi-IN"/>
              </w:rPr>
              <w:t xml:space="preserve"> elevado, embora exija controle dos falsos positivos.</w:t>
            </w:r>
          </w:p>
        </w:tc>
      </w:tr>
      <w:tr>
        <w:trPr/>
        <w:tc>
          <w:tcPr>
            <w:tcW w:w="3024"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Análise offline ou auditoria de imagens</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Gemma 3 27B-IT</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Apresentou maior desempenho preditivo, recall quase perfeito e menor taxa de falsos positivos.</w:t>
            </w:r>
          </w:p>
        </w:tc>
      </w:tr>
      <w:tr>
        <w:trPr/>
        <w:tc>
          <w:tcPr>
            <w:tcW w:w="3024"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Sistema de triagem com confirmação</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Abordagem híbrida</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O YOLO pode realizar triagem rápida e o Gemma pode confirmar casos positivos ou duvidosos.</w:t>
            </w:r>
          </w:p>
        </w:tc>
      </w:tr>
      <w:tr>
        <w:trPr>
          <w:trHeight w:val="757" w:hRule="atLeast"/>
        </w:trPr>
        <w:tc>
          <w:tcPr>
            <w:tcW w:w="3024" w:type="dxa"/>
            <w:tcBorders/>
            <w:vAlign w:val="center"/>
          </w:tcPr>
          <w:p>
            <w:pPr>
              <w:pStyle w:val="normal1"/>
              <w:suppressAutoHyphens w:val="true"/>
              <w:spacing w:lineRule="auto" w:line="240" w:before="0" w:after="0"/>
              <w:ind w:hanging="0"/>
              <w:jc w:val="left"/>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Implantação com restrição de infraestrutura</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YOLOv11m ou versão menor</w:t>
            </w:r>
          </w:p>
        </w:tc>
        <w:tc>
          <w:tcPr>
            <w:tcW w:w="3024" w:type="dxa"/>
            <w:tcBorders/>
            <w:vAlign w:val="center"/>
          </w:tcPr>
          <w:p>
            <w:pPr>
              <w:pStyle w:val="normal1"/>
              <w:suppressAutoHyphens w:val="true"/>
              <w:spacing w:lineRule="auto" w:line="240" w:before="0" w:after="0"/>
              <w:ind w:hanging="0"/>
              <w:jc w:val="center"/>
              <w:rPr>
                <w:rFonts w:ascii="Times New Roman" w:hAnsi="Times New Roman" w:eastAsia="Noto Serif CJK SC" w:cs="Noto Sans Devanagari"/>
                <w:kern w:val="0"/>
                <w:sz w:val="20"/>
                <w:szCs w:val="20"/>
                <w:lang w:val="en-US" w:eastAsia="zh-CN" w:bidi="hi-IN"/>
              </w:rPr>
            </w:pPr>
            <w:r>
              <w:rPr>
                <w:rFonts w:eastAsia="Noto Serif CJK SC" w:cs="Noto Sans Devanagari"/>
                <w:kern w:val="0"/>
                <w:sz w:val="20"/>
                <w:szCs w:val="20"/>
                <w:lang w:val="pt-BR" w:eastAsia="zh-CN" w:bidi="hi-IN"/>
              </w:rPr>
              <w:t>Tende a exigir menos recursos computacionais que um VLM de grande porte.</w:t>
            </w:r>
          </w:p>
        </w:tc>
      </w:tr>
    </w:tbl>
    <w:p>
      <w:pPr>
        <w:pStyle w:val="normal1"/>
        <w:spacing w:lineRule="auto" w:line="240"/>
        <w:ind w:hanging="0"/>
        <w:jc w:val="left"/>
        <w:rPr>
          <w:lang w:val="pt-BR"/>
        </w:rPr>
      </w:pPr>
      <w:r>
        <w:rPr>
          <w:rFonts w:eastAsia="Times New Roman" w:cs="Times New Roman"/>
          <w:sz w:val="20"/>
          <w:szCs w:val="20"/>
          <w:lang w:val="pt-BR"/>
        </w:rPr>
        <w:t>Fonte: elaborado pelo autor com base nos resultados do experimento (2026).</w:t>
      </w:r>
    </w:p>
    <w:p>
      <w:pPr>
        <w:pStyle w:val="normal1"/>
        <w:rPr>
          <w:lang w:val="pt-BR"/>
        </w:rPr>
      </w:pPr>
      <w:r>
        <w:rPr/>
      </w:r>
    </w:p>
    <w:p>
      <w:pPr>
        <w:pStyle w:val="normal1"/>
        <w:rPr>
          <w:lang w:val="pt-BR"/>
        </w:rPr>
      </w:pPr>
      <w:r>
        <w:rPr>
          <w:lang w:val="pt-BR"/>
        </w:rPr>
        <w:t xml:space="preserve">A análise de erros acrescenta uma dimensão relevante a essa avaliação de viabilidade, relacionada ao custo de implantação de cada abordagem. A lacuna de domínio identificada nos falsos negativos do YOLOv11m indica que o detector especializado, para operar de forma robusta em um contexto real de monitoramento urbano, dependeria de um ciclo adicional de coleta de imagens locais, anotação e novo treinamento, de modo a aproximar o domínio de treino do domínio de aplicação. Esse ciclo implica custo, tempo e disponibilidade de competência técnica especializada por parte do município. O Gemma 3 27B-IT, por sua vez, alcançou desempenho preditivo superior sem qualquer ajuste específico ao domínio, operando em regime </w:t>
      </w:r>
      <w:r>
        <w:rPr>
          <w:i/>
          <w:iCs/>
          <w:lang w:val="pt-BR"/>
        </w:rPr>
        <w:t>zero-shot</w:t>
      </w:r>
      <w:r>
        <w:rPr>
          <w:lang w:val="pt-BR"/>
        </w:rPr>
        <w:t>, o que sugere maior capacidade de generalização imediata para diferentes contextos visuais. Em termos administrativos, essa diferença é significativa: o detector especializado tende a oferecer menor custo computacional de operação, mas maior custo de adaptação inicial ao domínio; o modelo visão-linguagem tende a oferecer maior custo computacional por inferência, porém menor barreira de adaptação para entrar em operação. A escolha entre as abordagens, portanto, não se resume ao desempenho medido em um único experimento, mas envolve também o esforço de implantação e manutenção que cada solução exigiria da administração pública.</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4.10 Limitações dos resultados</w:t>
      </w:r>
    </w:p>
    <w:p>
      <w:pPr>
        <w:pStyle w:val="normal1"/>
        <w:rPr>
          <w:lang w:val="pt-BR"/>
        </w:rPr>
      </w:pPr>
      <w:r>
        <w:rPr>
          <w:lang w:val="pt-BR"/>
        </w:rPr>
        <w:t>Algumas limitações precisam ser consideradas para evitar generalizações indevidas. A primeira é o balanceamento artificial do conjunto de teste. As 560 imagens foram divididas igualmente entre positivas e negativas, o que favorece a comparação entre modelos, mas não representa necessariamente a proporção real de imagens com resíduos em vias públicas. Em um cenário real, a prevalência de imagens sem resíduos pode ser maior, alterando o impacto operacional dos falsos positivos.</w:t>
      </w:r>
    </w:p>
    <w:p>
      <w:pPr>
        <w:pStyle w:val="normal1"/>
        <w:rPr>
          <w:lang w:val="pt-BR"/>
        </w:rPr>
      </w:pPr>
      <w:r>
        <w:rPr>
          <w:lang w:val="pt-BR"/>
        </w:rPr>
        <w:t xml:space="preserve">A segunda limitação diz respeito à composição do conjunto de treinamento do YOLOv11m, que incluiu 15,6% de imagens de </w:t>
      </w:r>
      <w:r>
        <w:rPr>
          <w:rStyle w:val="Emphasis"/>
          <w:lang w:val="pt-BR"/>
        </w:rPr>
        <w:t>background</w:t>
      </w:r>
      <w:r>
        <w:rPr>
          <w:lang w:val="pt-BR"/>
        </w:rPr>
        <w:t xml:space="preserve">. Como o estudo não comparou sistematicamente diferentes proporções de exemplos negativos, não foi possível isolar o efeito dessa configuração sobre a sensibilidade, a especificidade e a ocorrência de falsos positivos. Estudos futuros poderão avaliar proporções alternativas de </w:t>
      </w:r>
      <w:r>
        <w:rPr>
          <w:rStyle w:val="Emphasis"/>
          <w:lang w:val="pt-BR"/>
        </w:rPr>
        <w:t>background</w:t>
      </w:r>
      <w:r>
        <w:rPr>
          <w:lang w:val="pt-BR"/>
        </w:rPr>
        <w:t xml:space="preserve"> e diferentes limiares de confiança, buscando identificar configurações mais adequadas ao equilíbrio entre alarmes indevidos e omissões de cenas com resíduos.</w:t>
      </w:r>
    </w:p>
    <w:p>
      <w:pPr>
        <w:pStyle w:val="normal1"/>
        <w:rPr>
          <w:lang w:val="pt-BR"/>
        </w:rPr>
      </w:pPr>
      <w:r>
        <w:rPr>
          <w:lang w:val="pt-BR"/>
        </w:rPr>
        <w:t xml:space="preserve">A terceira limitação diz respeito ao viés de anotação. Como algumas anotações foram feitas por região de descarte e podem ignorar resíduos muito pequenos, certos falsos positivos do Gemma podem corresponder a detecções corretas não representadas no </w:t>
      </w:r>
      <w:r>
        <w:rPr>
          <w:i/>
          <w:iCs/>
          <w:lang w:val="pt-BR"/>
        </w:rPr>
        <w:t>ground truth</w:t>
      </w:r>
      <w:r>
        <w:rPr>
          <w:lang w:val="pt-BR"/>
        </w:rPr>
        <w:t>. A inspeção visual dos 45 falsos positivos do modelo, realizada neste trabalho, indicou que a maior parte corresponde a cenas efetivamente sem resíduos, e não a resíduos pequenos não anotados, o que reduz o peso dessa limitação, ainda que não a elimine por completo, uma vez que a avaliação visual também envolve julgamento do observador.</w:t>
      </w:r>
    </w:p>
    <w:p>
      <w:pPr>
        <w:pStyle w:val="normal1"/>
        <w:rPr>
          <w:lang w:val="pt-BR"/>
        </w:rPr>
      </w:pPr>
      <w:r>
        <w:rPr>
          <w:lang w:val="pt-BR"/>
        </w:rPr>
        <w:t xml:space="preserve">A quarta limitação está na comparação assimétrica entre os modelos. O YOLOv11m foi treinado especificamente para a classe “lixo”, enquanto o Gemma 3 27B-IT foi usado em modo </w:t>
      </w:r>
      <w:r>
        <w:rPr>
          <w:i/>
          <w:iCs/>
          <w:lang w:val="pt-BR"/>
        </w:rPr>
        <w:t>zero-shot</w:t>
      </w:r>
      <w:r>
        <w:rPr>
          <w:lang w:val="pt-BR"/>
        </w:rPr>
        <w:t>. Essa assimetria não invalida a comparação, pois representa duas estratégias reais de adoção: treinar um detector especializado ou utilizar um modelo generalista sem treinamento adicional. No entanto, os resultados não devem ser interpretados como prova de superioridade arquitetural universal do Gemma sobre o YOLO. Associada a essa questão, há ainda a limitação decorrente da lacuna de domínio entre treino e teste. O YOLOv11m foi treinado majoritariamente com imagens de bases públicas globais, enquanto o teste utilizou imagens reais de vias brasileiras em perspectiva de nível de rua. A inspeção dos falsos negativos sugeriu que parte expressiva dos erros do detector decorre dessa diferença de domínio, e não de uma incapacidade intrínseca do modelo. Assim, o desempenho do YOLOv11m observado neste estudo deve ser interpretado como específico a essa condição de domínio, podendo ser distinto caso o detector fosse treinado com imagens do mesmo domínio das utilizadas no teste.</w:t>
      </w:r>
    </w:p>
    <w:p>
      <w:pPr>
        <w:pStyle w:val="normal1"/>
        <w:rPr>
          <w:lang w:val="pt-BR"/>
        </w:rPr>
      </w:pPr>
      <w:r>
        <w:rPr>
          <w:lang w:val="pt-BR"/>
        </w:rPr>
        <w:t>A quinta limitação refere-se ao hardware utilizado. A execução ocorreu em uma GPU RTX 5090, que não representa necessariamente a infraestrutura típica de uma prefeitura ou órgão municipal. Assim, a latência absoluta medida no experimento deve ser entendida como referência de comparação controlada, e não como previsão direta de desempenho em ambiente institucional.</w:t>
      </w:r>
    </w:p>
    <w:p>
      <w:pPr>
        <w:pStyle w:val="normal1"/>
        <w:rPr>
          <w:lang w:val="pt-BR"/>
        </w:rPr>
      </w:pPr>
      <w:r>
        <w:rPr>
          <w:lang w:val="pt-BR"/>
        </w:rPr>
        <w:t xml:space="preserve">Por fim, o domínio visual das imagens de treinamento e teste pode influenciar os resultados. Embora o teste tenha utilizado imagens reais de ruas brasileiras, parte relevante do treinamento veio de </w:t>
      </w:r>
      <w:r>
        <w:rPr>
          <w:i/>
          <w:iCs/>
          <w:lang w:val="pt-BR"/>
        </w:rPr>
        <w:t>datasets</w:t>
      </w:r>
      <w:r>
        <w:rPr>
          <w:lang w:val="pt-BR"/>
        </w:rPr>
        <w:t xml:space="preserve"> abertos com origem heterogênea. A ampliação de dados locais, especialmente de Fortaleza e de outras cidades brasileiras, pode melhorar a validade externa dos modelos e permitir avaliações mais próximas das condições reais de implantação.</w:t>
      </w:r>
    </w:p>
    <w:p>
      <w:pPr>
        <w:pStyle w:val="normal1"/>
        <w:spacing w:before="240" w:after="120"/>
        <w:jc w:val="left"/>
        <w:rPr>
          <w:rFonts w:eastAsia="Times New Roman" w:cs="Times New Roman"/>
          <w:b/>
          <w:bCs/>
          <w:color w:val="000000"/>
          <w:lang w:val="pt-BR"/>
        </w:rPr>
      </w:pPr>
      <w:r>
        <w:rPr>
          <w:rFonts w:eastAsia="Times New Roman" w:cs="Times New Roman"/>
          <w:b/>
          <w:bCs/>
          <w:color w:val="000000"/>
          <w:lang w:val="pt-BR"/>
        </w:rPr>
        <w:t>4.11 Síntese da discussão</w:t>
      </w:r>
    </w:p>
    <w:p>
      <w:pPr>
        <w:pStyle w:val="normal1"/>
        <w:rPr>
          <w:lang w:val="pt-BR"/>
        </w:rPr>
      </w:pPr>
      <w:r>
        <w:rPr>
          <w:lang w:val="pt-BR"/>
        </w:rPr>
        <w:t>Os resultados demonstram que os dois modelos avaliados são viáveis, mas para finalidades distintas. Nas condições experimentais adotadas e para a tarefa binária em nível de imagem, o Gemma 3 27B-IT apresentou melhor desempenho preditivo, com maior acurácia, maior F1-score, maior sensibilidade, maior especificidade e menor taxa de falsos positivos. A diferença foi estatisticamente significativa pelo teste de McNemar, o que reforça a robustez do achado dentro do recorte analisado.</w:t>
      </w:r>
    </w:p>
    <w:p>
      <w:pPr>
        <w:pStyle w:val="normal1"/>
        <w:rPr>
          <w:lang w:val="pt-BR"/>
        </w:rPr>
      </w:pPr>
      <w:r>
        <w:rPr>
          <w:lang w:val="pt-BR"/>
        </w:rPr>
        <w:t>O YOLOv11m, por sua vez, apresentou vantagem expressiva em eficiência computacional, com latência média aproximadamente 141,9 vezes menor que a registrada para o Gemma 3 27B-IT no fluxo de execução avaliado. Esse resultado indica maior adequação do detector especializado a cenários que demandem triagem em larga escala, monitoramento contínuo ou menor tempo de resposta. Além disso, a geração de caixas delimitadoras amplia a rastreabilidade visual das detecções, favorecendo procedimentos de auditoria, conferência e validação humana.</w:t>
      </w:r>
    </w:p>
    <w:p>
      <w:pPr>
        <w:pStyle w:val="normal1"/>
        <w:rPr>
          <w:lang w:val="pt-BR"/>
        </w:rPr>
      </w:pPr>
      <w:r>
        <w:rPr>
          <w:lang w:val="pt-BR"/>
        </w:rPr>
        <w:t>A hipótese da pesquisa foi parcialmente confirmada. Confirmou-se a superioridade do YOLOv11m em tempo de inferência, mas refutou-se a expectativa de melhor controle de falsos positivos. O modelo visão-linguagem generalista apresentou menor taxa de alarmes falsos em relação ao detector especializado. Assim, a resposta ao problema de pesquisa é que modelos de inteligência artificial são viáveis para apoiar o monitoramento de resíduos urbanos em vias públicas, desde que sua adoção considere o regime de uso, o custo computacional, a finalidade administrativa, a necessidade de rastreabilidade e o risco associado a falsos positivos e falsos negativos.</w:t>
      </w:r>
    </w:p>
    <w:p>
      <w:pPr>
        <w:pStyle w:val="normal1"/>
        <w:rPr>
          <w:lang w:val="pt-BR"/>
        </w:rPr>
      </w:pPr>
      <w:r>
        <w:rPr>
          <w:lang w:val="pt-BR"/>
        </w:rPr>
        <w:t>Em síntese, os achados deste capítulo indicam que a decisão sobre uso de IA no monitoramento de resíduos urbanos é multicritério. Nas condições experimentais adotadas, a confiabilidade preditiva favoreceu o Gemma 3 27B-IT, enquanto velocidade, escala de processamento e rastreabilidade visual favoreceram o YOLOv11m.</w:t>
      </w:r>
    </w:p>
    <w:p>
      <w:pPr>
        <w:pStyle w:val="normal1"/>
        <w:rPr>
          <w:lang w:val="pt-BR"/>
        </w:rPr>
      </w:pPr>
      <w:r>
        <w:rPr>
          <w:lang w:val="pt-BR"/>
        </w:rPr>
      </w:r>
      <w:r>
        <w:br w:type="page"/>
      </w:r>
    </w:p>
    <w:p>
      <w:pPr>
        <w:pStyle w:val="Heading1"/>
        <w:numPr>
          <w:ilvl w:val="0"/>
          <w:numId w:val="1"/>
        </w:numPr>
        <w:spacing w:before="0" w:after="240"/>
        <w:rPr>
          <w:lang w:val="pt-BR"/>
        </w:rPr>
      </w:pPr>
      <w:r>
        <w:rPr>
          <w:lang w:val="pt-BR"/>
        </w:rPr>
        <w:t>5 CONSIDERAÇÕES FINAIS</w:t>
      </w:r>
    </w:p>
    <w:p>
      <w:pPr>
        <w:pStyle w:val="normal1"/>
        <w:rPr>
          <w:lang w:val="pt-BR"/>
        </w:rPr>
      </w:pPr>
      <w:r>
        <w:rPr>
          <w:lang w:val="pt-BR"/>
        </w:rPr>
        <w:t xml:space="preserve">A presente pesquisa analisou a viabilidade do uso de inteligência artificial no monitoramento de resíduos urbanos em vias públicas, a partir da comparação entre dois paradigmas distintos: o YOLOv11m, utilizado como detector especializado após </w:t>
      </w:r>
      <w:r>
        <w:rPr>
          <w:i/>
          <w:iCs/>
          <w:lang w:val="pt-BR"/>
        </w:rPr>
        <w:t>fine-tuning</w:t>
      </w:r>
      <w:r>
        <w:rPr>
          <w:lang w:val="pt-BR"/>
        </w:rPr>
        <w:t xml:space="preserve"> para a classe única “lixo”, e o Gemma 3 27B-IT, utilizado como modelo visão-linguagem generalista em regime </w:t>
      </w:r>
      <w:r>
        <w:rPr>
          <w:i/>
          <w:iCs/>
          <w:lang w:val="pt-BR"/>
        </w:rPr>
        <w:t>zero-shot</w:t>
      </w:r>
      <w:r>
        <w:rPr>
          <w:lang w:val="pt-BR"/>
        </w:rPr>
        <w:t>. O estudo partiu da compreensão de que a gestão dos resíduos sólidos urbanos representa um desafio relevante para a Administração Pública, especialmente em razão de seus impactos ambientais, sanitários, operacionais e financeiros.</w:t>
      </w:r>
    </w:p>
    <w:p>
      <w:pPr>
        <w:pStyle w:val="normal1"/>
        <w:rPr>
          <w:lang w:val="pt-BR"/>
        </w:rPr>
      </w:pPr>
      <w:r>
        <w:rPr>
          <w:lang w:val="pt-BR"/>
        </w:rPr>
        <w:t>Ao longo do trabalho, discutiu-se que o monitoramento de resíduos em vias públicas depende não apenas da existência de serviços de limpeza urbana, mas também da capacidade de produzir informações úteis para planejamento, fiscalização e tomada de decisão. Nesse contexto, a inteligência artificial e a visão computacional foram analisadas como possíveis ferramentas de apoio à gestão pública urbana, desde que avaliadas com base em critérios técnicos e administrativos, como desempenho preditivo, eficiência computacional, controle de erros, rastreabilidade e viabilidade operacional.</w:t>
      </w:r>
    </w:p>
    <w:p>
      <w:pPr>
        <w:pStyle w:val="normal1"/>
        <w:rPr>
          <w:lang w:val="pt-BR"/>
        </w:rPr>
      </w:pPr>
      <w:r>
        <w:rPr>
          <w:lang w:val="pt-BR"/>
        </w:rPr>
        <w:t>O objetivo geral do estudo foi alcançado, uma vez que foi possível analisar a viabilidade do uso de inteligência artificial no monitoramento de resíduos urbanos em vias públicas por meio da comparação entre os modelos YOLOv11m e Gemma 3 27B-IT em imagens reais de ruas brasileiras. Os objetivos específicos também foram contemplados. O primeiro objetivo, de construir e validar um conjunto de teste de imagens reais de vias públicas brasileiras, foi atendido na preparação dos dados descrita no capítulo metodológico. O segundo objetivo, de mensurar e comparar o desempenho preditivo dos modelos por meio de métricas binárias e testes estatísticos para amostras pareadas, foi realizado no capítulo de resultados e discussão. O terceiro objetivo, de mensurar e comparar a eficiência computacional dos modelos, foi igualmente tratado no capítulo de resultados. O quarto objetivo, de caracterizar os padrões de erro de cada modelo e discutir suas implicações para a gestão pública, foi desenvolvido na análise qualitativa da seção 4.7 e na discussão subsequente.</w:t>
      </w:r>
    </w:p>
    <w:p>
      <w:pPr>
        <w:pStyle w:val="normal1"/>
        <w:rPr>
          <w:lang w:val="pt-BR"/>
        </w:rPr>
      </w:pPr>
      <w:r>
        <w:rPr>
          <w:lang w:val="pt-BR"/>
        </w:rPr>
        <w:t>O problema de pesquisa questionava em que medida modelos de inteligência artificial são viáveis para apoiar o monitoramento de resíduos urbanos em vias públicas, considerando desempenho preditivo e eficiência computacional. A resposta obtida indica que ambos os modelos são viáveis, mas em regimes administrativos distintos: o Gemma 3 27B-IT mostrou-se mais adequado a análises pontuais que demandam maior confiabilidade preditiva, enquanto o YOLOv11m mostrou-se mais compatível com triagem em larga escala, tempo real e situações em que a rastreabilidade visual por caixas delimitadoras seja relevante.</w:t>
      </w:r>
    </w:p>
    <w:p>
      <w:pPr>
        <w:pStyle w:val="normal1"/>
        <w:rPr>
          <w:lang w:val="pt-BR"/>
        </w:rPr>
      </w:pPr>
      <w:r>
        <w:rPr>
          <w:lang w:val="pt-BR"/>
        </w:rPr>
        <w:t xml:space="preserve">A hipótese provisória indicava que modelos especializados de detecção, como o YOLOv11m, tenderiam a apresentar maior viabilidade operacional do que modelos visão-linguagem generalistas em modo </w:t>
      </w:r>
      <w:r>
        <w:rPr>
          <w:rStyle w:val="Emphasis"/>
          <w:lang w:val="pt-BR"/>
        </w:rPr>
        <w:t>zero-shot</w:t>
      </w:r>
      <w:r>
        <w:rPr>
          <w:lang w:val="pt-BR"/>
        </w:rPr>
        <w:t>, especialmente quanto ao tempo de inferência e ao controle de falsos positivos. Os resultados permitiram corroborá-la apenas parcialmente. A expectativa foi sustentada em relação à eficiência computacional, pois o YOLOv11m apresentou latência média aproximadamente 141,9 vezes menor que a registrada para o Gemma 3 27B-IT no fluxo de execução avaliado. Contudo, a hipótese não foi corroborada quanto ao controle de falsos positivos, uma vez que o modelo visão-linguagem apresentou menor taxa de alarmes indevidos no conjunto de teste.</w:t>
      </w:r>
    </w:p>
    <w:p>
      <w:pPr>
        <w:pStyle w:val="normal1"/>
        <w:rPr>
          <w:lang w:val="pt-BR"/>
        </w:rPr>
      </w:pPr>
      <w:r>
        <w:rPr>
          <w:lang w:val="pt-BR"/>
        </w:rPr>
        <w:t>Nas condições experimentais adotadas e para a tarefa binária em nível de imagem, o Gemma 3 27B-IT apresentou melhor desempenho preditivo que o YOLOv11m. Essa diferença foi observada nas métricas de classificação e corroborada pelos testes estatísticos, restringindo-se, contudo, ao conjunto de dados, à tarefa e às configurações avaliadas.</w:t>
      </w:r>
    </w:p>
    <w:p>
      <w:pPr>
        <w:pStyle w:val="normal1"/>
        <w:rPr>
          <w:lang w:val="pt-BR"/>
        </w:rPr>
      </w:pPr>
      <w:r>
        <w:rPr>
          <w:lang w:val="pt-BR"/>
        </w:rPr>
        <w:t xml:space="preserve">Por outro lado, o YOLOv11m apresentou vantagem expressiva em eficiência computacional. Sua baixa latência e seu alto </w:t>
      </w:r>
      <w:r>
        <w:rPr>
          <w:i/>
          <w:iCs/>
          <w:lang w:val="pt-BR"/>
        </w:rPr>
        <w:t>throughput</w:t>
      </w:r>
      <w:r>
        <w:rPr>
          <w:lang w:val="pt-BR"/>
        </w:rPr>
        <w:t xml:space="preserve"> indicam maior adequação a cenários que exigem processamento rápido, como monitoramento em rede, análise contínua de imagens ou aplicações com grande volume de dados. Além disso, por se tratar de um detector de objetos, o YOLO oferece rastreabilidade visual por meio de caixas delimitadoras, o que pode ser útil para auditoria, validação humana e integração com sistemas de informação territorial.</w:t>
      </w:r>
    </w:p>
    <w:p>
      <w:pPr>
        <w:pStyle w:val="normal1"/>
        <w:rPr>
          <w:lang w:val="pt-BR"/>
        </w:rPr>
      </w:pPr>
      <w:r>
        <w:rPr>
          <w:rFonts w:eastAsia="Times New Roman" w:cs="Times New Roman"/>
          <w:lang w:val="pt-BR"/>
        </w:rPr>
        <w:t>A comparação entre os modelos revelou, portanto, que a viabilidade da inteligência artificial no monitoramento de resíduos urbanos não deve ser definida por uma única métrica. No contexto da Administração Pública, a escolha da tecnologia deve considerar a finalidade do serviço, o volume de imagens, a infraestrutura disponível, o custo operacional dos erros, a possibilidade de auditoria, o controle humano, a adequação institucional e a capacidade real de manutenção do sistema. Nesse ponto, o porte do Gemma 3 27B-IT representa uma restrição prática importante: ainda que o modelo tenha apresentado melhor desempenho preditivo, sua adoção em prefeituras com infraestrutura computacional limitada pode exigir centralização, contratação de capacidade externa ou uso apenas em etapas de confirmação, enquanto o YOLOv11m tende a ser mais viável para processamento contínuo e de menor custo relativo.</w:t>
      </w:r>
    </w:p>
    <w:p>
      <w:pPr>
        <w:pStyle w:val="normal1"/>
        <w:rPr>
          <w:lang w:val="pt-BR"/>
        </w:rPr>
      </w:pPr>
      <w:r>
        <w:rPr>
          <w:lang w:val="pt-BR"/>
        </w:rPr>
        <w:t>O estudo também indicou a possibilidade de uso complementar entre os modelos. Como houve discordâncias relevantes entre as predições, os resultados sugerem que uma arquitetura híbrida pode ser explorada em pesquisas futuras. Nessa configuração, o YOLOv11m poderia atuar como etapa inicial de triagem rápida, enquanto o Gemma 3 27B-IT poderia ser utilizado para confirmar casos positivos ou duvidosos. Essa possibilidade não foi testada diretamente neste trabalho, mas decorre da complementaridade observada nos padrões de erro dos modelos.</w:t>
      </w:r>
    </w:p>
    <w:p>
      <w:pPr>
        <w:pStyle w:val="normal1"/>
        <w:rPr>
          <w:lang w:val="pt-BR"/>
        </w:rPr>
      </w:pPr>
      <w:r>
        <w:rPr>
          <w:lang w:val="pt-BR"/>
        </w:rPr>
        <w:t>Como contribuição, esta pesquisa aproxima a discussão sobre inteligência artificial das necessidades práticas da Administração Pública urbana. O trabalho demonstra que a avaliação de tecnologias para gestão pública precisa ultrapassar a análise puramente técnica, incorporando finalidade do serviço, custo operacional, risco de falsos alarmes, possibilidade de auditoria, infraestrutura disponível, controle humano e adequação institucional. Além disso, o estudo contribui ao comparar um detector especializado e um modelo visão-linguagem em uma tarefa aplicada ao monitoramento de resíduos em ruas brasileiras, oferecendo evidências empíricas para orientar novas investigações.</w:t>
      </w:r>
    </w:p>
    <w:p>
      <w:pPr>
        <w:pStyle w:val="normal1"/>
        <w:rPr>
          <w:lang w:val="pt-BR"/>
        </w:rPr>
      </w:pPr>
      <w:r>
        <w:rPr>
          <w:lang w:val="pt-BR"/>
        </w:rPr>
        <w:t xml:space="preserve">Algumas limitações devem ser reconhecidas. O conjunto de teste foi balanceado artificialmente entre imagens com e sem resíduos, o que favorece a comparação entre modelos, mas não representa necessariamente a prevalência real de resíduos em vias públicas. A comparação também foi assimétrica por desenho metodológico, pois o YOLOv11m foi treinado especificamente para a classe “lixo”, enquanto o Gemma 3 27B-IT foi utilizado em modo </w:t>
      </w:r>
      <w:r>
        <w:rPr>
          <w:i/>
          <w:iCs/>
          <w:lang w:val="pt-BR"/>
        </w:rPr>
        <w:t>zero-shot</w:t>
      </w:r>
      <w:r>
        <w:rPr>
          <w:lang w:val="pt-BR"/>
        </w:rPr>
        <w:t>. Essa assimetria reflete alternativas reais de adoção tecnológica, mas impede afirmar superioridade arquitetural universal de um modelo sobre o outro.</w:t>
      </w:r>
    </w:p>
    <w:p>
      <w:pPr>
        <w:pStyle w:val="normal1"/>
        <w:rPr>
          <w:lang w:val="pt-BR"/>
        </w:rPr>
      </w:pPr>
      <w:r>
        <w:rPr>
          <w:lang w:val="pt-BR"/>
        </w:rPr>
        <w:t>Outra limitação refere-se à heterogeneidade das imagens utilizadas, provenientes de diferentes fontes, ângulos, resoluções e condições visuais. Embora essa diversidade aproxime o experimento de situações reais, também pode influenciar o desempenho dos modelos. Além disso, as medições de tempo de inferência foram realizadas em hardware de alto desempenho, o que significa que os valores absolutos de latência não devem ser automaticamente generalizados para a infraestrutura típica de órgãos municipais. Por fim, embora os falsos positivos e os falsos negativos do modelo visão-linguagem tenham sido inspecionados visualmente de forma sistemática, essa verificação foi conduzida por um único observador, de modo que a distinção entre erros interpretativos do modelo e resíduos não contemplados no ground truth permanece sujeita ao julgamento do anotador. Estudos futuros podem adotar anotação independente por múltiplos avaliadores, com medida de concordância entre eles, para fortalecer a confiabilidade dessa caracterização qualitativa.</w:t>
      </w:r>
    </w:p>
    <w:p>
      <w:pPr>
        <w:pStyle w:val="normal1"/>
        <w:rPr>
          <w:lang w:val="pt-BR"/>
        </w:rPr>
      </w:pPr>
      <w:r>
        <w:rPr>
          <w:lang w:val="pt-BR"/>
        </w:rPr>
        <w:t xml:space="preserve">Diante dessas limitações, recomenda-se que estudos futuros ampliem o conjunto de imagens brasileiras, especialmente com maior diversidade de cidades, bairros, condições climáticas e horários de coleta. Também seria relevante testar os modelos em cenários com prevalência mais próxima da realidade operacional, nos quais a maioria das imagens pode não conter resíduos visíveis. Outra possibilidade é realizar novo treinamento do YOLOv11m com maior variedade de cenas urbanas limpas e diferentes proporções de imagens negativas e limiares de confiança, a fim de avaliar o impacto dessas escolhas sobre a taxa de falsos positivos, a especificidade e o </w:t>
      </w:r>
      <w:r>
        <w:rPr>
          <w:i/>
          <w:iCs/>
          <w:lang w:val="pt-BR"/>
        </w:rPr>
        <w:t>recall.</w:t>
      </w:r>
    </w:p>
    <w:p>
      <w:pPr>
        <w:pStyle w:val="normal1"/>
        <w:rPr>
          <w:lang w:val="pt-BR"/>
        </w:rPr>
      </w:pPr>
      <w:r>
        <w:rPr>
          <w:lang w:val="pt-BR"/>
        </w:rPr>
        <w:t>A inspeção visual dos erros realizada neste trabalho indicou que os dois modelos falham por motivos distintos, o que sugere que pesquisas futuras possam aprofundar a caracterização desses padrões em conjuntos maiores e mais diversos, inclusive quantificando a frequência de cada tipo de erro. Recomenda-se também investigar o impacto do treinamento do detector com imagens do próprio domínio de aplicação, de modo a verificar em que medida a lacuna de domínio observada pode ser reduzida. Além disso, pesquisas futuras podem testar arquiteturas híbridas entre detectores especializados e modelos visão-linguagem, bem como avaliar versões menores dos modelos, diferentes hardwares e estratégias de implantação em contexto municipal. Esses caminhos podem contribuir para transformar a análise experimental em soluções mais próximas das condições reais de uso pela Administração Pública.</w:t>
      </w:r>
    </w:p>
    <w:p>
      <w:pPr>
        <w:pStyle w:val="normal1"/>
        <w:rPr>
          <w:lang w:val="pt-BR"/>
        </w:rPr>
      </w:pPr>
      <w:r>
        <w:rPr>
          <w:rFonts w:eastAsia="Times New Roman" w:cs="Times New Roman"/>
          <w:lang w:val="pt-BR"/>
        </w:rPr>
        <w:t>Conclui-se, portanto, que a inteligência artificial apresenta potencial para apoiar o monitoramento de resíduos urbanos em vias públicas, desde que sua adoção seja orientada por critérios técnicos, administrativos, financeiros e éticos. A viabilidade da IA no contexto estudado não está na escolha absoluta de um único modelo, mas na adequação entre tecnologia, finalidade pública, infraestrutura disponível, risco aceitável de erro, custo de implantação e forma de uso pretendida. Nesse sentido, o Gemma 3 27B-IT demonstrou maior confiabilidade preditiva no experimento, mas seu porte computacional limita a adoção direta em muitos contextos municipais; o YOLOv11m, por sua vez, mostrou-se menos robusto preditivamente, porém mais compatível com cenários de maior escala, menor latência e maior necessidade de rastreabilidade visual.</w:t>
      </w:r>
    </w:p>
    <w:p>
      <w:pPr>
        <w:pStyle w:val="normal1"/>
        <w:rPr>
          <w:lang w:val="pt-BR"/>
        </w:rPr>
      </w:pPr>
      <w:r>
        <w:rPr>
          <w:lang w:val="pt-BR"/>
        </w:rPr>
      </w:r>
      <w:r>
        <w:br w:type="page"/>
      </w:r>
    </w:p>
    <w:p>
      <w:pPr>
        <w:pStyle w:val="normal1"/>
        <w:spacing w:before="0" w:after="0"/>
        <w:ind w:hanging="0"/>
        <w:jc w:val="center"/>
        <w:rPr>
          <w:lang w:val="pt-BR"/>
        </w:rPr>
      </w:pPr>
      <w:r>
        <w:rPr>
          <w:rFonts w:eastAsia="Times New Roman" w:cs="Times New Roman"/>
          <w:b/>
          <w:bCs/>
          <w:lang w:val="pt-BR"/>
        </w:rPr>
        <w:t>REFERÊNCIAS</w:t>
      </w:r>
    </w:p>
    <w:p>
      <w:pPr>
        <w:pStyle w:val="normal1"/>
        <w:rPr>
          <w:lang w:val="pt-BR"/>
        </w:rPr>
      </w:pPr>
      <w:r>
        <w:rPr/>
      </w:r>
    </w:p>
    <w:p>
      <w:pPr>
        <w:pStyle w:val="BodyText"/>
        <w:rPr/>
      </w:pPr>
      <w:r>
        <w:rPr/>
        <w:t xml:space="preserve">ABDU, Haruna; MOHD NOOR, Mohd Halim. A survey on waste detection and classification using deep learning. </w:t>
      </w:r>
      <w:r>
        <w:rPr>
          <w:rStyle w:val="Strong"/>
        </w:rPr>
        <w:t>IEEE Access</w:t>
      </w:r>
      <w:r>
        <w:rPr/>
        <w:t>, v. 10, p. 128151-128165, 2022. DOI: https://doi.org/10.1109/ACCESS.2022.3226682.</w:t>
      </w:r>
    </w:p>
    <w:p>
      <w:pPr>
        <w:pStyle w:val="BodyText"/>
        <w:rPr/>
      </w:pPr>
      <w:r>
        <w:rPr/>
        <w:t xml:space="preserve">ASSOCIAÇÃO BRASILEIRA DE NORMAS TÉCNICAS. </w:t>
      </w:r>
      <w:r>
        <w:rPr>
          <w:rStyle w:val="Strong"/>
        </w:rPr>
        <w:t>NBR 10004: resíduos sólidos: classificação</w:t>
      </w:r>
      <w:r>
        <w:rPr/>
        <w:t>. Rio de Janeiro: ABNT, 2004.</w:t>
      </w:r>
    </w:p>
    <w:p>
      <w:pPr>
        <w:pStyle w:val="BodyText"/>
        <w:rPr/>
      </w:pPr>
      <w:r>
        <w:rPr/>
        <w:t xml:space="preserve">BRASIL. </w:t>
      </w:r>
      <w:r>
        <w:rPr>
          <w:rStyle w:val="Strong"/>
        </w:rPr>
        <w:t>Lei nº 12.305, de 2 de agosto de 2010</w:t>
      </w:r>
      <w:r>
        <w:rPr/>
        <w:t xml:space="preserve">. Institui a Política Nacional de Resíduos Sólidos. Brasília, DF: Presidência da República, 2010. Disponível em: </w:t>
      </w:r>
      <w:hyperlink r:id="rId23" w:tgtFrame="_new">
        <w:r>
          <w:rPr>
            <w:rStyle w:val="Hyperlink"/>
          </w:rPr>
          <w:t>https://www.planalto.gov.br/ccivil_03/_ato2007-2010/2010/lei/l12305.htm</w:t>
        </w:r>
      </w:hyperlink>
      <w:r>
        <w:rPr/>
        <w:t>. Acesso em: 8 jun. 2026.</w:t>
      </w:r>
    </w:p>
    <w:p>
      <w:pPr>
        <w:pStyle w:val="BodyText"/>
        <w:rPr/>
      </w:pPr>
      <w:r>
        <w:rPr/>
        <w:t xml:space="preserve">CARDOSO, F. C. A. I.; CARDOSO, J. C. O problema do lixo e algumas perspectivas para redução de impactos. </w:t>
      </w:r>
      <w:r>
        <w:rPr>
          <w:rStyle w:val="Strong"/>
        </w:rPr>
        <w:t>Ciência e Cultura</w:t>
      </w:r>
      <w:r>
        <w:rPr/>
        <w:t>, São Paulo, v. 68, n. 4, p. 25-29, 2016.</w:t>
      </w:r>
    </w:p>
    <w:p>
      <w:pPr>
        <w:pStyle w:val="BodyText"/>
        <w:rPr/>
      </w:pPr>
      <w:r>
        <w:rPr/>
        <w:t xml:space="preserve">CÓRDOVA, M.; PINTO, A.; HELLEVIK, C. C.; ALALIYAT, S. A.-A.; HAMEED, I. A.; PEDRINI, H.; TORRES, R. S. Litter detection with deep learning: a comparative study. </w:t>
      </w:r>
      <w:r>
        <w:rPr>
          <w:rStyle w:val="Strong"/>
        </w:rPr>
        <w:t>Sensors</w:t>
      </w:r>
      <w:r>
        <w:rPr/>
        <w:t xml:space="preserve">, Basel, v. 22, n. 2, artigo 548, 2022. DOI: </w:t>
      </w:r>
      <w:hyperlink r:id="rId24" w:tgtFrame="_new">
        <w:r>
          <w:rPr>
            <w:rStyle w:val="Hyperlink"/>
          </w:rPr>
          <w:t>https://doi.org/10.3390/s22020548</w:t>
        </w:r>
      </w:hyperlink>
      <w:r>
        <w:rPr/>
        <w:t>.</w:t>
      </w:r>
    </w:p>
    <w:p>
      <w:pPr>
        <w:pStyle w:val="BodyText"/>
        <w:rPr/>
      </w:pPr>
      <w:r>
        <w:rPr/>
        <w:t xml:space="preserve">FERREIRA, Ana Carla; BARROS, Raphael Tobias Vasconcelos. Panorama dos gastos públicos municipais com os serviços de limpeza urbana e manejo de resíduos sólidos: uma análise da Região Metropolitana de Belo Horizonte (MG). </w:t>
      </w:r>
      <w:r>
        <w:rPr>
          <w:rStyle w:val="Strong"/>
        </w:rPr>
        <w:t>Engenharia Sanitária e Ambiental</w:t>
      </w:r>
      <w:r>
        <w:rPr/>
        <w:t xml:space="preserve">, v. 26, n. 4, p. 659-668, jul./ago. 2021. DOI: https://doi.org/10.1590/S1413-415220200022. Disponível em: </w:t>
      </w:r>
      <w:hyperlink r:id="rId25" w:tgtFrame="_new">
        <w:r>
          <w:rPr>
            <w:rStyle w:val="Hyperlink"/>
          </w:rPr>
          <w:t>https://www.scielo.br/j/esa/a/9CmBjrLMQpCRBZWttpDLtcJ/</w:t>
        </w:r>
      </w:hyperlink>
      <w:r>
        <w:rPr/>
        <w:t>. Acesso em: 12 jun. 2026.</w:t>
      </w:r>
    </w:p>
    <w:p>
      <w:pPr>
        <w:pStyle w:val="BodyText"/>
        <w:rPr/>
      </w:pPr>
      <w:r>
        <w:rPr/>
        <w:t xml:space="preserve">FORTALEZA. </w:t>
      </w:r>
      <w:r>
        <w:rPr>
          <w:rStyle w:val="Strong"/>
        </w:rPr>
        <w:t>Plano Municipal de Gestão Integrada de Resíduos Sólidos de Fortaleza: estado do Ceará</w:t>
      </w:r>
      <w:r>
        <w:rPr/>
        <w:t xml:space="preserve">. Fortaleza: Prefeitura Municipal de Fortaleza, 2012. Disponível em: </w:t>
      </w:r>
      <w:hyperlink r:id="rId26" w:tgtFrame="_new">
        <w:r>
          <w:rPr>
            <w:rStyle w:val="Hyperlink"/>
          </w:rPr>
          <w:t>https://www.progere.ufc.br/wp-content/uploads/2015/08/Plano-Municipal-de-Gest%C3%A3o-Integrada-de-Res%C3%ADduos-S%C3%B3lidos-de-Fortaleza.pdf</w:t>
        </w:r>
      </w:hyperlink>
      <w:r>
        <w:rPr/>
        <w:t>. Acesso em: 12 jun. 2026.</w:t>
      </w:r>
    </w:p>
    <w:p>
      <w:pPr>
        <w:pStyle w:val="BodyText"/>
        <w:rPr/>
      </w:pPr>
      <w:r>
        <w:rPr/>
        <w:t xml:space="preserve">FOTOVVATIKHAH, Farnaz et al. A systematic review of AI-based techniques for automated waste classification. </w:t>
      </w:r>
      <w:r>
        <w:rPr>
          <w:rStyle w:val="Strong"/>
        </w:rPr>
        <w:t>Sensors</w:t>
      </w:r>
      <w:r>
        <w:rPr/>
        <w:t xml:space="preserve">, v. 25, n. 10, artigo 3181, 2025. DOI: </w:t>
      </w:r>
      <w:hyperlink r:id="rId27" w:tgtFrame="_new">
        <w:r>
          <w:rPr>
            <w:rStyle w:val="Hyperlink"/>
          </w:rPr>
          <w:t>https://doi.org/10.3390/s25103181</w:t>
        </w:r>
      </w:hyperlink>
      <w:r>
        <w:rPr/>
        <w:t>.</w:t>
      </w:r>
    </w:p>
    <w:p>
      <w:pPr>
        <w:pStyle w:val="BodyText"/>
        <w:rPr/>
      </w:pPr>
      <w:r>
        <w:rPr/>
        <w:t xml:space="preserve">FREITAS, M. F.; PIRES, M. M.; BENINCÁ, D. Fragilidades e potencialidades na gestão dos resíduos sólidos urbanos no Brasil. </w:t>
      </w:r>
      <w:r>
        <w:rPr>
          <w:rStyle w:val="Strong"/>
        </w:rPr>
        <w:t>urbe. Revista Brasileira de Gestão Urbana</w:t>
      </w:r>
      <w:r>
        <w:rPr/>
        <w:t xml:space="preserve">, Curitiba, v. 16, e20230271, 2024. DOI: </w:t>
      </w:r>
      <w:hyperlink r:id="rId28" w:tgtFrame="_new">
        <w:r>
          <w:rPr>
            <w:rStyle w:val="Hyperlink"/>
          </w:rPr>
          <w:t>https://doi.org/10.1590/2175-3369.016.e20230271</w:t>
        </w:r>
      </w:hyperlink>
      <w:r>
        <w:rPr/>
        <w:t>.</w:t>
      </w:r>
    </w:p>
    <w:p>
      <w:pPr>
        <w:pStyle w:val="BodyText"/>
        <w:rPr/>
      </w:pPr>
      <w:r>
        <w:rPr/>
        <w:t xml:space="preserve">FUNK, Jonas et al. A comparative evaluation of vision language models for waste classification in few-shot settings. In: WORLD CONGRESS ON ELECTRICAL ENGINEERING AND COMPUTER SYSTEMS AND SCIENCE, 11., 2025. </w:t>
      </w:r>
      <w:r>
        <w:rPr>
          <w:rStyle w:val="Strong"/>
        </w:rPr>
        <w:t>Proceedings [...]</w:t>
      </w:r>
      <w:r>
        <w:rPr/>
        <w:t xml:space="preserve">. [S. l.]: EECSS, 2025. DOI: </w:t>
      </w:r>
      <w:hyperlink r:id="rId29" w:tgtFrame="_new">
        <w:r>
          <w:rPr>
            <w:rStyle w:val="Hyperlink"/>
          </w:rPr>
          <w:t>https://doi.org/10.11159/mvml25.113</w:t>
        </w:r>
      </w:hyperlink>
      <w:r>
        <w:rPr/>
        <w:t xml:space="preserve">. Disponível em: </w:t>
      </w:r>
      <w:hyperlink r:id="rId30" w:tgtFrame="_new">
        <w:r>
          <w:rPr>
            <w:rStyle w:val="Hyperlink"/>
          </w:rPr>
          <w:t>https://doi.org/10.11159/mvml25.113</w:t>
        </w:r>
      </w:hyperlink>
      <w:r>
        <w:rPr/>
        <w:t>. Acesso em: 12 jun. 2026.</w:t>
      </w:r>
    </w:p>
    <w:p>
      <w:pPr>
        <w:pStyle w:val="BodyText"/>
        <w:rPr/>
      </w:pPr>
      <w:r>
        <w:rPr/>
        <w:t xml:space="preserve">GARCIA, Hozana Raquel de Medeiros. </w:t>
      </w:r>
      <w:r>
        <w:rPr>
          <w:rStyle w:val="Strong"/>
        </w:rPr>
        <w:t>Avaliação da sustentabilidade da gestão de resíduos sólidos domiciliares/comerciais do Município de Fortaleza-CE, Brasil</w:t>
      </w:r>
      <w:r>
        <w:rPr/>
        <w:t xml:space="preserve">. 2021. 235 f. Tese (Doutorado em Engenharia Civil: Saneamento Ambiental) – Centro de Tecnologia, Universidade Federal do Ceará, Fortaleza, 2021. Disponível em: </w:t>
      </w:r>
      <w:hyperlink r:id="rId31" w:tgtFrame="_new">
        <w:r>
          <w:rPr>
            <w:rStyle w:val="Hyperlink"/>
          </w:rPr>
          <w:t>https://repositorio.ufc.br/handle/riufc/60224</w:t>
        </w:r>
      </w:hyperlink>
      <w:r>
        <w:rPr/>
        <w:t>. Acesso em: 1 jun. 2026.</w:t>
      </w:r>
    </w:p>
    <w:p>
      <w:pPr>
        <w:pStyle w:val="BodyText"/>
        <w:rPr/>
      </w:pPr>
      <w:r>
        <w:rPr/>
        <w:t xml:space="preserve">GIL, A. C. </w:t>
      </w:r>
      <w:r>
        <w:rPr>
          <w:rStyle w:val="Strong"/>
        </w:rPr>
        <w:t>Como elaborar projetos de pesquisa</w:t>
      </w:r>
      <w:r>
        <w:rPr/>
        <w:t>. 5. ed. São Paulo: Atlas, 2010.</w:t>
      </w:r>
    </w:p>
    <w:p>
      <w:pPr>
        <w:pStyle w:val="BodyText"/>
        <w:rPr/>
      </w:pPr>
      <w:r>
        <w:rPr/>
        <w:t xml:space="preserve">GOODFELLOW, I.; BENGIO, Y.; COURVILLE, A. </w:t>
      </w:r>
      <w:r>
        <w:rPr>
          <w:rStyle w:val="Strong"/>
        </w:rPr>
        <w:t>Deep learning</w:t>
      </w:r>
      <w:r>
        <w:rPr/>
        <w:t>. Cambridge: MIT Press, 2016.</w:t>
      </w:r>
    </w:p>
    <w:p>
      <w:pPr>
        <w:pStyle w:val="BodyText"/>
        <w:rPr/>
      </w:pPr>
      <w:r>
        <w:rPr/>
        <w:t xml:space="preserve">GOOGLE. </w:t>
      </w:r>
      <w:r>
        <w:rPr>
          <w:rStyle w:val="Strong"/>
        </w:rPr>
        <w:t>Google-contributed Street View imagery policy</w:t>
      </w:r>
      <w:r>
        <w:rPr/>
        <w:t xml:space="preserve">. [S. l.]: Google, [s. d.]. Disponível em: </w:t>
      </w:r>
      <w:hyperlink r:id="rId32" w:tgtFrame="_new">
        <w:r>
          <w:rPr>
            <w:rStyle w:val="Hyperlink"/>
          </w:rPr>
          <w:t>https://www.google.com/streetview/policy/</w:t>
        </w:r>
      </w:hyperlink>
      <w:r>
        <w:rPr/>
        <w:t>. Acesso em: 8 jun. 2026.</w:t>
      </w:r>
    </w:p>
    <w:p>
      <w:pPr>
        <w:pStyle w:val="BodyText"/>
        <w:rPr/>
      </w:pPr>
      <w:r>
        <w:rPr/>
        <w:t xml:space="preserve">JIAO, L.; ZHANG, F.; LIU, F.; YANG, S.; LI, L.; FENG, Z.; QU, R. A survey of deep learning-based object detection. </w:t>
      </w:r>
      <w:r>
        <w:rPr>
          <w:rStyle w:val="Strong"/>
        </w:rPr>
        <w:t>IEEE Access</w:t>
      </w:r>
      <w:r>
        <w:rPr/>
        <w:t xml:space="preserve">, [S. l.], v. 7, p. 128837-128868, 2019. DOI: </w:t>
      </w:r>
      <w:hyperlink r:id="rId33" w:tgtFrame="_new">
        <w:r>
          <w:rPr>
            <w:rStyle w:val="Hyperlink"/>
          </w:rPr>
          <w:t>https://doi.org/10.1109/ACCESS.2019.2939201</w:t>
        </w:r>
      </w:hyperlink>
      <w:r>
        <w:rPr/>
        <w:t>.</w:t>
      </w:r>
    </w:p>
    <w:p>
      <w:pPr>
        <w:pStyle w:val="BodyText"/>
        <w:rPr/>
      </w:pPr>
      <w:r>
        <w:rPr/>
        <w:t xml:space="preserve">KAUR, R.; SINGH, S. A comprehensive review of object detection with deep learning. </w:t>
      </w:r>
      <w:r>
        <w:rPr>
          <w:rStyle w:val="Strong"/>
        </w:rPr>
        <w:t>Digital Signal Processing</w:t>
      </w:r>
      <w:r>
        <w:rPr/>
        <w:t xml:space="preserve">, [S. l.], v. 132, artigo 103812, 2023. DOI: </w:t>
      </w:r>
      <w:hyperlink r:id="rId34" w:tgtFrame="_new">
        <w:r>
          <w:rPr>
            <w:rStyle w:val="Hyperlink"/>
          </w:rPr>
          <w:t>https://doi.org/10.1016/j.dsp.2022.103812</w:t>
        </w:r>
      </w:hyperlink>
      <w:r>
        <w:rPr/>
        <w:t>.</w:t>
      </w:r>
    </w:p>
    <w:p>
      <w:pPr>
        <w:pStyle w:val="BodyText"/>
        <w:rPr/>
      </w:pPr>
      <w:r>
        <w:rPr/>
        <w:t xml:space="preserve">LECUN, Y.; BENGIO, Y.; HINTON, G. Deep learning. </w:t>
      </w:r>
      <w:r>
        <w:rPr>
          <w:rStyle w:val="Strong"/>
        </w:rPr>
        <w:t>Nature</w:t>
      </w:r>
      <w:r>
        <w:rPr/>
        <w:t xml:space="preserve">, London, v. 521, n. 7553, p. 436-444, 2015. DOI: </w:t>
      </w:r>
      <w:hyperlink r:id="rId35" w:tgtFrame="_new">
        <w:r>
          <w:rPr>
            <w:rStyle w:val="Hyperlink"/>
          </w:rPr>
          <w:t>https://doi.org/10.1038/nature14539</w:t>
        </w:r>
      </w:hyperlink>
      <w:r>
        <w:rPr/>
        <w:t>.</w:t>
      </w:r>
    </w:p>
    <w:p>
      <w:pPr>
        <w:pStyle w:val="BodyText"/>
        <w:rPr/>
      </w:pPr>
      <w:r>
        <w:rPr/>
        <w:t xml:space="preserve">LI, Junnan et al. BLIP-2: bootstrapping language-image pre-training with frozen image encoders and large language models. In: INTERNATIONAL CONFERENCE ON MACHINE LEARNING, 40., 2023. </w:t>
      </w:r>
      <w:r>
        <w:rPr>
          <w:rStyle w:val="Strong"/>
        </w:rPr>
        <w:t>Proceedings [...]</w:t>
      </w:r>
      <w:r>
        <w:rPr/>
        <w:t xml:space="preserve">. [S. l.]: PMLR, 2023. p. 19730-19742. Disponível em: </w:t>
      </w:r>
      <w:hyperlink r:id="rId36" w:tgtFrame="_new">
        <w:r>
          <w:rPr>
            <w:rStyle w:val="Hyperlink"/>
          </w:rPr>
          <w:t>https://proceedings.mlr.press/v202/li23q.html</w:t>
        </w:r>
      </w:hyperlink>
      <w:r>
        <w:rPr/>
        <w:t>. Acesso em: 12 jun. 2026.</w:t>
      </w:r>
    </w:p>
    <w:p>
      <w:pPr>
        <w:pStyle w:val="BodyText"/>
        <w:rPr/>
      </w:pPr>
      <w:r>
        <w:rPr/>
        <w:t xml:space="preserve">LI, Z.; WU, X.; DU, H.; LIU, F.; NGHIEM, H.; SHI, G. A survey of state of the art large vision language models: alignment, benchmark, evaluations and challenges. </w:t>
      </w:r>
      <w:r>
        <w:rPr>
          <w:rStyle w:val="Strong"/>
        </w:rPr>
        <w:t>arXiv</w:t>
      </w:r>
      <w:r>
        <w:rPr/>
        <w:t xml:space="preserve">, 2025. Disponível em: </w:t>
      </w:r>
      <w:hyperlink r:id="rId37" w:tgtFrame="_new">
        <w:r>
          <w:rPr>
            <w:rStyle w:val="Hyperlink"/>
          </w:rPr>
          <w:t>https://arxiv.org/abs/2501.02189</w:t>
        </w:r>
      </w:hyperlink>
      <w:r>
        <w:rPr/>
        <w:t>. Acesso em: 8 jun. 2026.</w:t>
      </w:r>
    </w:p>
    <w:p>
      <w:pPr>
        <w:pStyle w:val="BodyText"/>
        <w:rPr/>
      </w:pPr>
      <w:r>
        <w:rPr/>
        <w:t xml:space="preserve">LIU, L.; OUYANG, W.; WANG, X.; FIEGUTH, P.; CHEN, J.; LIU, X.; PIETIKÄINEN, M. Deep learning for generic object detection: a survey. </w:t>
      </w:r>
      <w:r>
        <w:rPr>
          <w:rStyle w:val="Strong"/>
        </w:rPr>
        <w:t>International Journal of Computer Vision</w:t>
      </w:r>
      <w:r>
        <w:rPr/>
        <w:t xml:space="preserve">, New York, v. 128, n. 2, p. 261-318, 2020. DOI: </w:t>
      </w:r>
      <w:hyperlink r:id="rId38" w:tgtFrame="_new">
        <w:r>
          <w:rPr>
            <w:rStyle w:val="Hyperlink"/>
          </w:rPr>
          <w:t>https://doi.org/10.1007/s11263-019-01247-4</w:t>
        </w:r>
      </w:hyperlink>
      <w:r>
        <w:rPr/>
        <w:t>.</w:t>
      </w:r>
    </w:p>
    <w:p>
      <w:pPr>
        <w:pStyle w:val="BodyText"/>
        <w:rPr/>
      </w:pPr>
      <w:r>
        <w:rPr/>
        <w:t xml:space="preserve">LU, W. Big data analytics to identify illegal construction waste dumping: a Hong Kong study. </w:t>
      </w:r>
      <w:r>
        <w:rPr>
          <w:rStyle w:val="Strong"/>
        </w:rPr>
        <w:t>Resources, Conservation and Recycling</w:t>
      </w:r>
      <w:r>
        <w:rPr/>
        <w:t xml:space="preserve">, Amsterdam, v. 141, p. 264-272, 2019. DOI: </w:t>
      </w:r>
      <w:hyperlink r:id="rId39" w:tgtFrame="_new">
        <w:r>
          <w:rPr>
            <w:rStyle w:val="Hyperlink"/>
          </w:rPr>
          <w:t>https://doi.org/10.1016/j.resconrec.2018.10.039</w:t>
        </w:r>
      </w:hyperlink>
      <w:r>
        <w:rPr/>
        <w:t>.</w:t>
      </w:r>
    </w:p>
    <w:p>
      <w:pPr>
        <w:pStyle w:val="BodyText"/>
        <w:rPr/>
      </w:pPr>
      <w:r>
        <w:rPr/>
        <w:t xml:space="preserve">MADAN, R.; ASHOK, M. Making sense of AI benefits: a mixed-method study in Canadian public administration. </w:t>
      </w:r>
      <w:r>
        <w:rPr>
          <w:rStyle w:val="Strong"/>
        </w:rPr>
        <w:t>Information Systems Frontiers</w:t>
      </w:r>
      <w:r>
        <w:rPr/>
        <w:t xml:space="preserve">, New York, v. 27, p. 889-923, 2025. DOI: </w:t>
      </w:r>
      <w:hyperlink r:id="rId40" w:tgtFrame="_new">
        <w:r>
          <w:rPr>
            <w:rStyle w:val="Hyperlink"/>
          </w:rPr>
          <w:t>https://doi.org/10.1007/s10796-024-10475-0</w:t>
        </w:r>
      </w:hyperlink>
      <w:r>
        <w:rPr/>
        <w:t>.</w:t>
      </w:r>
    </w:p>
    <w:p>
      <w:pPr>
        <w:pStyle w:val="BodyText"/>
        <w:rPr/>
      </w:pPr>
      <w:r>
        <w:rPr/>
        <w:t xml:space="preserve">MAJCHROWSKA, S.; MIKOŁAJCZYK, A.; FERLIN, M.; KLAWIKOWSKA, Z.; PLANTYKOW, M. A.; KWASIGROCH, A.; MAJEK, K. Deep learning-based waste detection in natural and urban environments. </w:t>
      </w:r>
      <w:r>
        <w:rPr>
          <w:rStyle w:val="Strong"/>
        </w:rPr>
        <w:t>Waste Management</w:t>
      </w:r>
      <w:r>
        <w:rPr/>
        <w:t>, Oxford, v. 138, p. 274-284, 2022.</w:t>
      </w:r>
    </w:p>
    <w:p>
      <w:pPr>
        <w:pStyle w:val="BodyText"/>
        <w:rPr/>
      </w:pPr>
      <w:r>
        <w:rPr/>
        <w:t xml:space="preserve">MALLA, Hiranya Jeet; BAZLI, Milad; ARASHPOUR, Mehrdad. Prompt-stable knowledge distillation of vision-language models for efficient waste classification in material recovery facilities. </w:t>
      </w:r>
      <w:r>
        <w:rPr>
          <w:rStyle w:val="Strong"/>
        </w:rPr>
        <w:t>Resources, Conservation and Recycling</w:t>
      </w:r>
      <w:r>
        <w:rPr/>
        <w:t xml:space="preserve">, v. 230, artigo 108885, p. 1-13, 2026. DOI: </w:t>
      </w:r>
      <w:hyperlink r:id="rId41" w:tgtFrame="_new">
        <w:r>
          <w:rPr>
            <w:rStyle w:val="Hyperlink"/>
          </w:rPr>
          <w:t>https://doi.org/10.1016/j.resconrec.2026.108885</w:t>
        </w:r>
      </w:hyperlink>
      <w:r>
        <w:rPr/>
        <w:t xml:space="preserve">. Disponível em: </w:t>
      </w:r>
      <w:hyperlink r:id="rId42" w:tgtFrame="_new">
        <w:r>
          <w:rPr>
            <w:rStyle w:val="Hyperlink"/>
          </w:rPr>
          <w:t>https://doi.org/10.1016/j.resconrec.2026.108885</w:t>
        </w:r>
      </w:hyperlink>
      <w:r>
        <w:rPr/>
        <w:t>. Acesso em: 12 jun. 2026.</w:t>
      </w:r>
    </w:p>
    <w:p>
      <w:pPr>
        <w:pStyle w:val="BodyText"/>
        <w:rPr/>
      </w:pPr>
      <w:r>
        <w:rPr/>
        <w:t xml:space="preserve">MARCONI, M. A.; LAKATOS, E. M. </w:t>
      </w:r>
      <w:r>
        <w:rPr>
          <w:rStyle w:val="Strong"/>
        </w:rPr>
        <w:t>Metodologia científica</w:t>
      </w:r>
      <w:r>
        <w:rPr/>
        <w:t>. 6. ed. São Paulo: Atlas, 2011.</w:t>
      </w:r>
    </w:p>
    <w:p>
      <w:pPr>
        <w:pStyle w:val="BodyText"/>
        <w:rPr/>
      </w:pPr>
      <w:r>
        <w:rPr/>
        <w:t xml:space="preserve">MIŠIĆ, J.; VAN EST, R.; KOOL, L. Good governance of public sector AI: a combined value framework for good order and a good society. </w:t>
      </w:r>
      <w:r>
        <w:rPr>
          <w:rStyle w:val="Strong"/>
        </w:rPr>
        <w:t>AI and Ethics</w:t>
      </w:r>
      <w:r>
        <w:rPr/>
        <w:t xml:space="preserve">, Cham, v. 5, p. 4875-4889, 2025. DOI: </w:t>
      </w:r>
      <w:hyperlink r:id="rId43" w:tgtFrame="_new">
        <w:r>
          <w:rPr>
            <w:rStyle w:val="Hyperlink"/>
          </w:rPr>
          <w:t>https://doi.org/10.1007/s43681-025-00751-3</w:t>
        </w:r>
      </w:hyperlink>
      <w:r>
        <w:rPr/>
        <w:t>.</w:t>
      </w:r>
    </w:p>
    <w:p>
      <w:pPr>
        <w:pStyle w:val="BodyText"/>
        <w:rPr/>
      </w:pPr>
      <w:r>
        <w:rPr/>
        <w:t xml:space="preserve">MUCELIN, C. A.; BELLINI, M. Lixo e impactos ambientais perceptíveis no ecossistema urbano. </w:t>
      </w:r>
      <w:r>
        <w:rPr>
          <w:rStyle w:val="Strong"/>
        </w:rPr>
        <w:t>Sociedade &amp; Natureza</w:t>
      </w:r>
      <w:r>
        <w:rPr/>
        <w:t>, Uberlândia, v. 20, n. 1, p. 111-124, 2008.</w:t>
      </w:r>
    </w:p>
    <w:p>
      <w:pPr>
        <w:pStyle w:val="BodyText"/>
        <w:rPr/>
      </w:pPr>
      <w:r>
        <w:rPr/>
        <w:t xml:space="preserve">NASCIMENTO, V. F.; SOBRAL, A. C.; ANDRADE, P. R.; OMETTO, J. P. H. B. Evolução e desafios no gerenciamento dos resíduos sólidos urbanos no Brasil. </w:t>
      </w:r>
      <w:r>
        <w:rPr>
          <w:rStyle w:val="Strong"/>
        </w:rPr>
        <w:t>Revista Ambiente &amp; Água</w:t>
      </w:r>
      <w:r>
        <w:rPr/>
        <w:t xml:space="preserve">, Taubaté, v. 10, n. 4, p. 889-902, 2015. DOI: </w:t>
      </w:r>
      <w:hyperlink r:id="rId44" w:tgtFrame="_new">
        <w:r>
          <w:rPr>
            <w:rStyle w:val="Hyperlink"/>
          </w:rPr>
          <w:t>https://doi.org/10.4136/ambi-agua.1635</w:t>
        </w:r>
      </w:hyperlink>
      <w:r>
        <w:rPr/>
        <w:t>.</w:t>
      </w:r>
    </w:p>
    <w:p>
      <w:pPr>
        <w:pStyle w:val="BodyText"/>
        <w:rPr/>
      </w:pPr>
      <w:r>
        <w:rPr/>
        <w:t xml:space="preserve">PACHECO, Renata Cristina Vasconcelos. </w:t>
      </w:r>
      <w:r>
        <w:rPr>
          <w:rStyle w:val="Strong"/>
        </w:rPr>
        <w:t>Os principais desafios para a implementação da transformação digital na administração pública: uma revisão sistemática da literatura</w:t>
      </w:r>
      <w:r>
        <w:rPr/>
        <w:t>. 2025. 65 f. Dissertação (Mestrado Profissional em Administração Pública) – Escola Brasileira de Administração Pública e de Empresas, Fundação Getulio Vargas, Rio de Janeiro, 2025.</w:t>
      </w:r>
    </w:p>
    <w:p>
      <w:pPr>
        <w:pStyle w:val="BodyText"/>
        <w:rPr/>
      </w:pPr>
      <w:r>
        <w:rPr/>
        <w:t xml:space="preserve">PROENÇA, P. F.; SIMÕES, P. TACO: Trash Annotations in Context for Litter Detection. </w:t>
      </w:r>
      <w:r>
        <w:rPr>
          <w:rStyle w:val="Strong"/>
        </w:rPr>
        <w:t>arXiv</w:t>
      </w:r>
      <w:r>
        <w:rPr/>
        <w:t xml:space="preserve">, 2020. Disponível em: </w:t>
      </w:r>
      <w:hyperlink r:id="rId45" w:tgtFrame="_new">
        <w:r>
          <w:rPr>
            <w:rStyle w:val="Hyperlink"/>
          </w:rPr>
          <w:t>https://arxiv.org/abs/2003.06975</w:t>
        </w:r>
      </w:hyperlink>
      <w:r>
        <w:rPr/>
        <w:t>. Acesso em: 8 jun. 2026.</w:t>
      </w:r>
    </w:p>
    <w:p>
      <w:pPr>
        <w:pStyle w:val="BodyText"/>
        <w:rPr/>
      </w:pPr>
      <w:r>
        <w:rPr/>
        <w:t xml:space="preserve">RADFORD, A.; KIM, J. W.; HALLACY, C.; RAMESH, A.; GOH, G.; AGARWAL, S.; SASTRY, G.; ASKELL, A.; MISHKIN, P.; CLARK, J.; KRUEGER, G.; SUTSKEVER, I. Learning transferable visual models from natural language supervision. In: INTERNATIONAL CONFERENCE ON MACHINE LEARNING, 38., 2021. </w:t>
      </w:r>
      <w:r>
        <w:rPr>
          <w:rStyle w:val="Strong"/>
        </w:rPr>
        <w:t>Proceedings [...]</w:t>
      </w:r>
      <w:r>
        <w:rPr/>
        <w:t>. [S. l.]: PMLR, 2021. p. 8748-8763. (Proceedings of Machine Learning Research, v. 139).</w:t>
      </w:r>
    </w:p>
    <w:p>
      <w:pPr>
        <w:pStyle w:val="BodyText"/>
        <w:rPr/>
      </w:pPr>
      <w:r>
        <w:rPr/>
        <w:t xml:space="preserve">RAJABI, Navid; KOSECKA, Jana. Towards grounded visual spatial reasoning in multi-modal vision language models. </w:t>
      </w:r>
      <w:r>
        <w:rPr>
          <w:rStyle w:val="Strong"/>
        </w:rPr>
        <w:t>arXiv</w:t>
      </w:r>
      <w:r>
        <w:rPr/>
        <w:t xml:space="preserve">, 2023. DOI: https://doi.org/10.48550/arXiv.2308.09778. Disponível em: </w:t>
      </w:r>
      <w:hyperlink r:id="rId46" w:tgtFrame="_new">
        <w:r>
          <w:rPr>
            <w:rStyle w:val="Hyperlink"/>
          </w:rPr>
          <w:t>https://arxiv.org/abs/2308.09778</w:t>
        </w:r>
      </w:hyperlink>
      <w:r>
        <w:rPr/>
        <w:t>. Acesso em: 12 jun. 2026.</w:t>
      </w:r>
    </w:p>
    <w:p>
      <w:pPr>
        <w:pStyle w:val="BodyText"/>
        <w:rPr/>
      </w:pPr>
      <w:r>
        <w:rPr/>
        <w:t xml:space="preserve">REDMON, J.; DIVVALA, S.; GIRSHICK, R.; FARHADI, A. You only look once: unified, real-time object detection. In: IEEE CONFERENCE ON COMPUTER VISION AND PATTERN RECOGNITION, 2016, Las Vegas. </w:t>
      </w:r>
      <w:r>
        <w:rPr>
          <w:rStyle w:val="Strong"/>
        </w:rPr>
        <w:t>Proceedings [...]</w:t>
      </w:r>
      <w:r>
        <w:rPr/>
        <w:t>. Las Vegas: IEEE, 2016. p. 779-788.</w:t>
      </w:r>
    </w:p>
    <w:p>
      <w:pPr>
        <w:pStyle w:val="BodyText"/>
        <w:rPr/>
      </w:pPr>
      <w:r>
        <w:rPr/>
        <w:t xml:space="preserve">REIS, J.; ESPÍRITO SANTO, P.; MELÃO, N. Artificial intelligence in government services: a systematic literature review. In: ROCHA, Á. et al. (org.). </w:t>
      </w:r>
      <w:r>
        <w:rPr>
          <w:rStyle w:val="Strong"/>
        </w:rPr>
        <w:t>New knowledge in information systems and technologies</w:t>
      </w:r>
      <w:r>
        <w:rPr/>
        <w:t xml:space="preserve">. Cham: Springer, 2019. p. 241-252. DOI: </w:t>
      </w:r>
      <w:hyperlink r:id="rId47" w:tgtFrame="_new">
        <w:r>
          <w:rPr>
            <w:rStyle w:val="Hyperlink"/>
          </w:rPr>
          <w:t>https://doi.org/10.1007/978-3-030-16181-1_23</w:t>
        </w:r>
      </w:hyperlink>
      <w:r>
        <w:rPr/>
        <w:t>.</w:t>
      </w:r>
    </w:p>
    <w:p>
      <w:pPr>
        <w:pStyle w:val="BodyText"/>
        <w:rPr/>
      </w:pPr>
      <w:r>
        <w:rPr/>
        <w:t xml:space="preserve">REN, Y.; LI, Y.; GAO, X. An MRS-YOLO model for high-precision waste detection and classification. </w:t>
      </w:r>
      <w:r>
        <w:rPr>
          <w:rStyle w:val="Strong"/>
        </w:rPr>
        <w:t>Sensors</w:t>
      </w:r>
      <w:r>
        <w:rPr/>
        <w:t xml:space="preserve">, Basel, v. 24, n. 13, artigo 4339, 2024. DOI: </w:t>
      </w:r>
      <w:hyperlink r:id="rId48" w:tgtFrame="_new">
        <w:r>
          <w:rPr>
            <w:rStyle w:val="Hyperlink"/>
          </w:rPr>
          <w:t>https://doi.org/10.3390/s24134339</w:t>
        </w:r>
      </w:hyperlink>
      <w:r>
        <w:rPr/>
        <w:t>.</w:t>
      </w:r>
    </w:p>
    <w:p>
      <w:pPr>
        <w:pStyle w:val="BodyText"/>
        <w:rPr/>
      </w:pPr>
      <w:r>
        <w:rPr/>
        <w:t xml:space="preserve">RODRIGUES, W.; MAGALHÃES FILHO, L. N. L.; PEREIRA, R. S. Análise dos determinantes dos custos de resíduos sólidos urbanos nas capitais estaduais brasileiras. </w:t>
      </w:r>
      <w:r>
        <w:rPr>
          <w:rStyle w:val="Strong"/>
        </w:rPr>
        <w:t>urbe. Revista Brasileira de Gestão Urbana</w:t>
      </w:r>
      <w:r>
        <w:rPr/>
        <w:t xml:space="preserve">, Curitiba, v. 8, n. 1, p. 130-141, 2016. DOI: </w:t>
      </w:r>
      <w:hyperlink r:id="rId49" w:tgtFrame="_new">
        <w:r>
          <w:rPr>
            <w:rStyle w:val="Hyperlink"/>
          </w:rPr>
          <w:t>https://doi.org/10.1590/2175-3369.008.001.AO02</w:t>
        </w:r>
      </w:hyperlink>
      <w:r>
        <w:rPr/>
        <w:t>.</w:t>
      </w:r>
    </w:p>
    <w:p>
      <w:pPr>
        <w:pStyle w:val="BodyText"/>
        <w:rPr/>
      </w:pPr>
      <w:r>
        <w:rPr/>
        <w:t xml:space="preserve">SIDEWALK. </w:t>
      </w:r>
      <w:r>
        <w:rPr>
          <w:rStyle w:val="Strong"/>
        </w:rPr>
        <w:t>Sidewalk Segmentation Dataset</w:t>
      </w:r>
      <w:r>
        <w:rPr/>
        <w:t xml:space="preserve">. Roboflow Universe, dez. 2022. Disponível em: </w:t>
      </w:r>
      <w:hyperlink r:id="rId50" w:tgtFrame="_new">
        <w:r>
          <w:rPr>
            <w:rStyle w:val="Hyperlink"/>
          </w:rPr>
          <w:t>https://universe.roboflow.com/sidewalk/sidewalk-segmentation</w:t>
        </w:r>
      </w:hyperlink>
      <w:r>
        <w:rPr/>
        <w:t>. Acesso em: 8 jun. 2026.</w:t>
      </w:r>
    </w:p>
    <w:p>
      <w:pPr>
        <w:pStyle w:val="BodyText"/>
        <w:rPr/>
      </w:pPr>
      <w:r>
        <w:rPr/>
        <w:t xml:space="preserve">SZELISKI, R. </w:t>
      </w:r>
      <w:r>
        <w:rPr>
          <w:rStyle w:val="Strong"/>
        </w:rPr>
        <w:t>Computer vision: algorithms and applications</w:t>
      </w:r>
      <w:r>
        <w:rPr/>
        <w:t>. 2. ed. Cham: Springer, 2022.</w:t>
      </w:r>
    </w:p>
    <w:p>
      <w:pPr>
        <w:pStyle w:val="BodyText"/>
        <w:rPr/>
      </w:pPr>
      <w:r>
        <w:rPr/>
        <w:t xml:space="preserve">TERVEN, J.; CÓRDOVA-ESPARZA, D. M.; ROMERO-GONZÁLEZ, J. A. A comprehensive review of YOLO architectures in computer vision: from YOLOv1 to YOLOv8 and YOLO-NAS. </w:t>
      </w:r>
      <w:r>
        <w:rPr>
          <w:rStyle w:val="Strong"/>
        </w:rPr>
        <w:t>Machine Learning and Knowledge Extraction</w:t>
      </w:r>
      <w:r>
        <w:rPr/>
        <w:t xml:space="preserve">, Basel, v. 5, n. 4, p. 1680-1716, 2023. DOI: </w:t>
      </w:r>
      <w:hyperlink r:id="rId51" w:tgtFrame="_new">
        <w:r>
          <w:rPr>
            <w:rStyle w:val="Hyperlink"/>
          </w:rPr>
          <w:t>https://doi.org/10.3390/make5040083</w:t>
        </w:r>
      </w:hyperlink>
      <w:r>
        <w:rPr/>
        <w:t>.</w:t>
      </w:r>
    </w:p>
    <w:p>
      <w:pPr>
        <w:pStyle w:val="BodyText"/>
        <w:rPr/>
      </w:pPr>
      <w:r>
        <w:rPr/>
        <w:t xml:space="preserve">TORNEIRO, André; MONTEIRO, Diogo; NOVAIS, Paulo; HENRIQUES, Pedro Rangel; RODRIGUES, Nuno F. Towards general urban monitoring with vision-language models: a review, evaluation, and a research agenda. </w:t>
      </w:r>
      <w:r>
        <w:rPr>
          <w:rStyle w:val="Strong"/>
        </w:rPr>
        <w:t>arXiv</w:t>
      </w:r>
      <w:r>
        <w:rPr/>
        <w:t xml:space="preserve">, 2025. DOI: https://doi.org/10.48550/arXiv.2510.12400. Disponível em: </w:t>
      </w:r>
      <w:hyperlink r:id="rId52" w:tgtFrame="_new">
        <w:r>
          <w:rPr>
            <w:rStyle w:val="Hyperlink"/>
          </w:rPr>
          <w:t>https://arxiv.org/abs/2510.12400</w:t>
        </w:r>
      </w:hyperlink>
      <w:r>
        <w:rPr/>
        <w:t>. Acesso em: 12 jun. 2026.</w:t>
      </w:r>
    </w:p>
    <w:p>
      <w:pPr>
        <w:pStyle w:val="BodyText"/>
        <w:rPr/>
      </w:pPr>
      <w:r>
        <w:rPr/>
        <w:t xml:space="preserve">TRASH DATASET FOR ORIENTED BOUNDED BOX. </w:t>
      </w:r>
      <w:r>
        <w:rPr>
          <w:rStyle w:val="Strong"/>
        </w:rPr>
        <w:t>Trash Detection Dataset</w:t>
      </w:r>
      <w:r>
        <w:rPr/>
        <w:t xml:space="preserve">. Roboflow Universe, jan. 2026. Disponível em: </w:t>
      </w:r>
      <w:hyperlink r:id="rId53" w:tgtFrame="_new">
        <w:r>
          <w:rPr>
            <w:rStyle w:val="Hyperlink"/>
          </w:rPr>
          <w:t>https://universe.roboflow.com/trash-dataset-for-oriented-bounded-box/trash-detection-1fjjc</w:t>
        </w:r>
      </w:hyperlink>
      <w:r>
        <w:rPr/>
        <w:t>. Acesso em: 8 jun. 2026.</w:t>
      </w:r>
    </w:p>
    <w:p>
      <w:pPr>
        <w:pStyle w:val="BodyText"/>
        <w:rPr/>
      </w:pPr>
      <w:r>
        <w:rPr/>
        <w:t xml:space="preserve">ULTRALYTICS. </w:t>
      </w:r>
      <w:r>
        <w:rPr>
          <w:rStyle w:val="Strong"/>
        </w:rPr>
        <w:t>Ultralytics YOLO Docs: tips for best training results</w:t>
      </w:r>
      <w:r>
        <w:rPr/>
        <w:t xml:space="preserve">. [S. l.]: Ultralytics, 2024. Disponível em: </w:t>
      </w:r>
      <w:hyperlink r:id="rId54" w:tgtFrame="_new">
        <w:r>
          <w:rPr>
            <w:rStyle w:val="Hyperlink"/>
          </w:rPr>
          <w:t>https://docs.ultralytics.com/guides/model-training-tips/</w:t>
        </w:r>
      </w:hyperlink>
      <w:r>
        <w:rPr/>
        <w:t>. Acesso em: 8 jun. 2026.</w:t>
      </w:r>
    </w:p>
    <w:p>
      <w:pPr>
        <w:pStyle w:val="BodyText"/>
        <w:rPr/>
      </w:pPr>
      <w:r>
        <w:rPr/>
        <w:t xml:space="preserve">WAN, David; CHO, Jaemin; STENGEL-ESKIN, Elias; BANSAL, Mohit. Contrastive region guidance: improving grounding in vision-language models without training. In: EUROPEAN CONFERENCE ON COMPUTER VISION, 2024. </w:t>
      </w:r>
      <w:r>
        <w:rPr>
          <w:rStyle w:val="Strong"/>
        </w:rPr>
        <w:t>Proceedings [...]</w:t>
      </w:r>
      <w:r>
        <w:rPr/>
        <w:t xml:space="preserve">. [S. l.]: Springer, 2024. Disponível em: </w:t>
      </w:r>
      <w:hyperlink r:id="rId55" w:tgtFrame="_new">
        <w:r>
          <w:rPr>
            <w:rStyle w:val="Hyperlink"/>
          </w:rPr>
          <w:t>https://www.ecva.net/papers/eccv_2024/papers_ECCV/papers/10172.pdf</w:t>
        </w:r>
      </w:hyperlink>
      <w:r>
        <w:rPr/>
        <w:t>. Acesso em: 12 jun. 2026.</w:t>
      </w:r>
    </w:p>
    <w:p>
      <w:pPr>
        <w:pStyle w:val="BodyText"/>
        <w:rPr/>
      </w:pPr>
      <w:r>
        <w:rPr/>
        <w:t xml:space="preserve">XIAN, Yongqin; LAMPERT, Christoph H.; SCHIELE, Bernt; AKATA, Zeynep. Zero-shot learning: a comprehensive evaluation of the good, the bad and the ugly. </w:t>
      </w:r>
      <w:r>
        <w:rPr>
          <w:rStyle w:val="Strong"/>
        </w:rPr>
        <w:t>IEEE Transactions on Pattern Analysis and Machine Intelligence</w:t>
      </w:r>
      <w:r>
        <w:rPr/>
        <w:t xml:space="preserve">, v. 41, n. 9, p. 2251-2265, 2019. DOI: </w:t>
      </w:r>
      <w:hyperlink r:id="rId56" w:tgtFrame="_new">
        <w:r>
          <w:rPr>
            <w:rStyle w:val="Hyperlink"/>
          </w:rPr>
          <w:t>https://doi.org/10.1109/TPAMI.2018.2857768</w:t>
        </w:r>
      </w:hyperlink>
      <w:r>
        <w:rPr/>
        <w:t xml:space="preserve">. Disponível em: </w:t>
      </w:r>
      <w:hyperlink r:id="rId57" w:tgtFrame="_new">
        <w:r>
          <w:rPr>
            <w:rStyle w:val="Hyperlink"/>
          </w:rPr>
          <w:t>https://doi.org/10.1109/TPAMI.2018.2857768</w:t>
        </w:r>
      </w:hyperlink>
      <w:r>
        <w:rPr/>
        <w:t>. Acesso em: 12 jun. 2026.</w:t>
      </w:r>
    </w:p>
    <w:p>
      <w:pPr>
        <w:pStyle w:val="BodyText"/>
        <w:rPr/>
      </w:pPr>
      <w:r>
        <w:rPr/>
        <w:t xml:space="preserve">ZAILAN, N. A.; AZIZAN, M. M.; HASIKIN, K.; MOHD KHAIRUDDIN, A. S.; KHAIRUDDIN, U. An automated solid waste detection using the optimized YOLO model for riverine management. </w:t>
      </w:r>
      <w:r>
        <w:rPr>
          <w:rStyle w:val="Strong"/>
        </w:rPr>
        <w:t>Frontiers in Public Health</w:t>
      </w:r>
      <w:r>
        <w:rPr/>
        <w:t xml:space="preserve">, Lausanne, v. 10, artigo 907280, 2022. DOI: </w:t>
      </w:r>
      <w:hyperlink r:id="rId58" w:tgtFrame="_new">
        <w:r>
          <w:rPr>
            <w:rStyle w:val="Hyperlink"/>
          </w:rPr>
          <w:t>https://doi.org/10.3389/fpubh.2022.907280</w:t>
        </w:r>
      </w:hyperlink>
      <w:r>
        <w:rPr/>
        <w:t>.</w:t>
      </w:r>
    </w:p>
    <w:p>
      <w:pPr>
        <w:pStyle w:val="BodyText"/>
        <w:rPr/>
      </w:pPr>
      <w:r>
        <w:rPr/>
        <w:t xml:space="preserve">ZHANG, J.; HUANG, J.; JIN, S.; LU, S. Vision-language models for vision tasks: a survey. </w:t>
      </w:r>
      <w:r>
        <w:rPr>
          <w:rStyle w:val="Strong"/>
        </w:rPr>
        <w:t>arXiv</w:t>
      </w:r>
      <w:r>
        <w:rPr/>
        <w:t xml:space="preserve">, 2024. Disponível em: </w:t>
      </w:r>
      <w:hyperlink r:id="rId59" w:tgtFrame="_new">
        <w:r>
          <w:rPr>
            <w:rStyle w:val="Hyperlink"/>
          </w:rPr>
          <w:t>https://arxiv.org/abs/2304.00685</w:t>
        </w:r>
      </w:hyperlink>
      <w:r>
        <w:rPr/>
        <w:t>. Acesso em: 8 jun. 2026.</w:t>
      </w:r>
    </w:p>
    <w:p>
      <w:pPr>
        <w:pStyle w:val="BodyText"/>
        <w:rPr/>
      </w:pPr>
      <w:r>
        <w:rPr/>
        <w:t xml:space="preserve">ZOU, Z.; CHEN, K.; SHI, Z.; GUO, Y.; YE, J. Object detection in 20 years: a survey. </w:t>
      </w:r>
      <w:r>
        <w:rPr>
          <w:rStyle w:val="Strong"/>
        </w:rPr>
        <w:t>Proceedings of the IEEE</w:t>
      </w:r>
      <w:r>
        <w:rPr/>
        <w:t xml:space="preserve">, New York, v. 111, n. 3, p. 257-276, 2023. DOI: </w:t>
      </w:r>
      <w:hyperlink r:id="rId60" w:tgtFrame="_new">
        <w:r>
          <w:rPr>
            <w:rStyle w:val="Hyperlink"/>
          </w:rPr>
          <w:t>https://doi.org/10.1109/JPROC.2023.3238524</w:t>
        </w:r>
      </w:hyperlink>
      <w:r>
        <w:rPr/>
        <w:t>.</w:t>
      </w:r>
    </w:p>
    <w:p>
      <w:pPr>
        <w:pStyle w:val="BodyText"/>
        <w:rPr/>
      </w:pPr>
      <w:r>
        <w:rPr/>
        <w:t xml:space="preserve">ZUIDERWIJK, A.; CHEN, Y.-C.; SALEM, F. Implications of the use of artificial intelligence in public governance: a systematic literature review and a research agenda. </w:t>
      </w:r>
      <w:r>
        <w:rPr>
          <w:rStyle w:val="Strong"/>
        </w:rPr>
        <w:t>Government Information Quarterly</w:t>
      </w:r>
      <w:r>
        <w:rPr/>
        <w:t xml:space="preserve">, Amsterdam, v. 38, n. 3, artigo 101577, 2021. DOI: </w:t>
      </w:r>
      <w:hyperlink r:id="rId61" w:tgtFrame="_new">
        <w:r>
          <w:rPr>
            <w:rStyle w:val="Hyperlink"/>
          </w:rPr>
          <w:t>https://doi.org/10.1016/j.giq.2021.101577</w:t>
        </w:r>
      </w:hyperlink>
      <w:r>
        <w:rPr/>
        <w:t>.</w:t>
      </w:r>
    </w:p>
    <w:p>
      <w:pPr>
        <w:pStyle w:val="normal1"/>
        <w:spacing w:lineRule="auto" w:line="240" w:before="0" w:after="120"/>
        <w:ind w:hanging="0"/>
        <w:jc w:val="left"/>
        <w:rPr>
          <w:rFonts w:eastAsia="Times New Roman" w:cs="Times New Roman"/>
          <w:lang w:val="pt-BR"/>
        </w:rPr>
      </w:pPr>
      <w:r>
        <w:rPr/>
      </w:r>
    </w:p>
    <w:p>
      <w:pPr>
        <w:pStyle w:val="normal1"/>
        <w:spacing w:lineRule="auto" w:line="240" w:before="0" w:after="120"/>
        <w:ind w:hanging="0"/>
        <w:jc w:val="left"/>
        <w:rPr>
          <w:lang w:val="pt-BR"/>
        </w:rPr>
      </w:pPr>
      <w:r>
        <w:rPr>
          <w:lang w:val="pt-BR"/>
        </w:rPr>
      </w:r>
    </w:p>
    <w:p>
      <w:pPr>
        <w:pStyle w:val="normal1"/>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ind w:hanging="0"/>
        <w:rPr>
          <w:lang w:val="pt-BR"/>
        </w:rPr>
      </w:pPr>
      <w:r>
        <w:rPr>
          <w:lang w:val="pt-BR"/>
        </w:rPr>
      </w:r>
    </w:p>
    <w:p>
      <w:pPr>
        <w:pStyle w:val="normal1"/>
        <w:rPr>
          <w:lang w:val="pt-BR"/>
        </w:rPr>
      </w:pPr>
      <w:r>
        <w:rPr>
          <w:lang w:val="pt-BR"/>
        </w:rPr>
      </w:r>
      <w:r>
        <w:br w:type="page"/>
      </w:r>
    </w:p>
    <w:p>
      <w:pPr>
        <w:pStyle w:val="normal1"/>
        <w:spacing w:before="0" w:after="0"/>
        <w:ind w:hanging="0"/>
        <w:jc w:val="center"/>
        <w:rPr>
          <w:lang w:val="pt-BR"/>
        </w:rPr>
      </w:pPr>
      <w:r>
        <w:rPr>
          <w:rFonts w:eastAsia="Times New Roman" w:cs="Times New Roman"/>
          <w:b/>
          <w:bCs/>
          <w:lang w:val="pt-BR"/>
        </w:rPr>
        <w:t>APÊNDICE A – MATERIAIS PARA REPRODUTIBILIDADE DO EXPERIMENTO</w:t>
      </w:r>
    </w:p>
    <w:p>
      <w:pPr>
        <w:pStyle w:val="normal1"/>
        <w:spacing w:before="0" w:after="120"/>
        <w:rPr>
          <w:lang w:val="pt-BR"/>
        </w:rPr>
      </w:pPr>
      <w:r>
        <w:rPr/>
      </w:r>
    </w:p>
    <w:p>
      <w:pPr>
        <w:pStyle w:val="normal1"/>
        <w:spacing w:before="0" w:after="120"/>
        <w:rPr>
          <w:lang w:val="pt-BR"/>
        </w:rPr>
      </w:pPr>
      <w:r>
        <w:rPr>
          <w:lang w:val="pt-BR"/>
        </w:rPr>
        <w:t>Este apêndice reúne os elementos necessários à auditoria e à reprodução do experimento computacional descrito no Capítulo 3, em conformidade com o compromisso de reprodutibilidade assumido na seção 3.7. São disponibilizados os artefatos de configuração, os hiperparâmetros de treinamento, o prompt de inferência e as instruções de acesso ao código e aos dados.</w:t>
      </w:r>
    </w:p>
    <w:p>
      <w:pPr>
        <w:pStyle w:val="normal1"/>
        <w:spacing w:before="0" w:after="120"/>
        <w:rPr>
          <w:lang w:val="pt-BR"/>
        </w:rPr>
      </w:pPr>
      <w:r>
        <w:rPr>
          <w:lang w:val="pt-BR"/>
        </w:rPr>
        <w:t>O experimento foi executado em ambiente com GPU NVIDIA GeForce RTX 5090 (32 GB de VRAM GDDR7, CUDA 1</w:t>
      </w:r>
      <w:r>
        <w:rPr>
          <w:lang w:val="pt-BR"/>
        </w:rPr>
        <w:t>3</w:t>
      </w:r>
      <w:r>
        <w:rPr>
          <w:lang w:val="pt-BR"/>
        </w:rPr>
        <w:t>, arquitetura Blackwell). O treinamento do YOLOv11m partiu dos pesos pré-treinados yolo11m.pt e adotou os seguintes hiperparâmetros: 100 épocas; batch size de 12; resolução de entrada de 640×640 pixels; otimizador AdamW com taxa de aprendizado inicial de 0,001; paciência de parada antecipada de 20 épocas; augmentation de mosaico (mosaic=1,0) e espelhamento horizontal (fliplr=0,5). O checkpoint de melhor desempenho na validação (best.pt) foi preservado para a etapa de inferência.</w:t>
      </w:r>
    </w:p>
    <w:p>
      <w:pPr>
        <w:pStyle w:val="normal1"/>
        <w:spacing w:before="0" w:after="120"/>
        <w:rPr>
          <w:lang w:val="pt-BR"/>
        </w:rPr>
      </w:pPr>
      <w:r>
        <w:rPr>
          <w:lang w:val="pt-BR"/>
        </w:rPr>
        <w:t>A inferência com o Gemma 3 27B-IT foi realizada via LM Studio, em regime zero-shot, com temperatura igual a 0, seed igual a 42 e saída estruturada em formato JSON. O prompt padronizado, o controle por cache, o registro do hash SHA-256 do prompt e o nível de quantização empregado encontram-se descritos na seção 3.8 e reproduzidos nos arquivos de configuração do repositório.</w:t>
      </w:r>
    </w:p>
    <w:p>
      <w:pPr>
        <w:pStyle w:val="normal1"/>
        <w:spacing w:before="0" w:after="120"/>
        <w:rPr/>
      </w:pPr>
      <w:r>
        <w:rPr>
          <w:lang w:val="pt-BR"/>
        </w:rPr>
        <w:t>Os scripts de preparação dos dados, treinamento, inferência e cálculo das métricas, bem como os arquivos de configuração, os pesos finais, os registros de execução e as instruções de obtenção das bases de imagens, estão disponíveis no repositório do projeto: https://github.com/jaimejrs/residuos_yolov11m_gemma3. As bases públicas de terceiros (TACO, Trash Detection e Sidewalk Segmentation) devem ser obtidas diretamente em suas fontes originais, conforme as referências e as respectivas licenças. O conjunto de teste brasileiro, por envolver imagens de fontes diversas, é disponibilizado de acordo com as condições de uso e os critérios éticos descritos nas seções 3.4 e 3.5.</w:t>
      </w:r>
    </w:p>
    <w:p>
      <w:pPr>
        <w:pStyle w:val="normal1"/>
        <w:spacing w:before="0" w:after="120"/>
        <w:rPr/>
      </w:pPr>
      <w:r>
        <w:rPr/>
        <w:t>Prompt utilizado “</w:t>
      </w:r>
      <w:r>
        <w:rPr/>
        <w:t>Você é um analista de monitoramento de vias públicas. Sua tarefa é responder uma única pergunta: há lixo ou resíduos descartados nesta imagem de rua? Considere como lixo sacos de lixo, garrafas, latas, papelão, embalagens, plásticos, vidros ou qualquer resíduo descartado em via pública ou calçada. Não considere como lixo lixeiras ou contêineres fechados em uso normal, veículos, pessoas, vegetação, mobiliário urbano em bom estado ou pavimentação normal. Responda estritamente em JSON válido, sem markdown e sem texto fora do JSON: {"tem_lixo": true, "descricao_breve": "...", "confianca": 0.0}. Caso não haja lixo visível, retorne "tem_lixo": false.”</w:t>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p>
      <w:pPr>
        <w:pStyle w:val="normal1"/>
        <w:spacing w:before="0" w:after="120"/>
        <w:rPr/>
      </w:pPr>
      <w:r>
        <w:rPr/>
      </w:r>
    </w:p>
    <w:sectPr>
      <w:headerReference w:type="default" r:id="rId62"/>
      <w:headerReference w:type="first" r:id="rId63"/>
      <w:footerReference w:type="default" r:id="rId64"/>
      <w:footerReference w:type="first" r:id="rId65"/>
      <w:type w:val="nextPage"/>
      <w:pgSz w:w="11906" w:h="16838"/>
      <w:pgMar w:left="1701" w:right="1134" w:gutter="0" w:header="709" w:top="1701" w:footer="709" w:bottom="1134"/>
      <w:pgNumType w:start="14"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Mono">
    <w:altName w:val="Courier New"/>
    <w:charset w:val="01"/>
    <w:family w:val="modern"/>
    <w:pitch w:val="fixed"/>
    <w:embedRegular r:id="rId13" w:fontKey="{0D014A78-CABC-4EF0-12AC-5CD89AEFDE0D}"/>
    <w:embedBold r:id="rId14" w:fontKey="{0E014A78-CABC-4EF0-12AC-5CD89AEFDE0E}"/>
    <w:embedItalic r:id="rId15" w:fontKey="{0F014A78-CABC-4EF0-12AC-5CD89AEFDE0F}"/>
    <w:embedBoldItalic r:id="rId16" w:fontKey="{10014A78-CABC-4EF0-12AC-5CD89AEFDE10}"/>
  </w:font>
  <w:font w:name="Liberation Sans">
    <w:altName w:val="Arial"/>
    <w:charset w:val="01"/>
    <w:family w:val="swiss"/>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Georgia">
    <w:charset w:val="01"/>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rFonts w:eastAsia="Times New Roman" w:cs="Times New Roman"/>
        <w:color w:val="000000"/>
        <w:lang w:val="pt-BR"/>
      </w:rPr>
    </w:pPr>
    <w:r>
      <w:rPr>
        <w:rFonts w:eastAsia="Times New Roman" w:cs="Times New Roman"/>
        <w:color w:val="000000"/>
        <w:lang w:val="pt-B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rFonts w:eastAsia="Times New Roman" w:cs="Times New Roman"/>
        <w:color w:val="000000"/>
        <w:lang w:val="pt-BR"/>
      </w:rPr>
    </w:pPr>
    <w:r>
      <w:rPr>
        <w:rFonts w:eastAsia="Times New Roman" w:cs="Times New Roman"/>
        <w:color w:val="000000"/>
        <w:lang w:val="pt-B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rFonts w:eastAsia="Times New Roman" w:cs="Times New Roman"/>
        <w:color w:val="000000"/>
        <w:lang w:val="pt-BR"/>
      </w:rPr>
    </w:pPr>
    <w:r>
      <w:rPr>
        <w:rFonts w:eastAsia="Times New Roman" w:cs="Times New Roman"/>
        <w:color w:val="000000"/>
        <w:lang w:val="pt-B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535" w:leader="none"/>
        <w:tab w:val="right" w:pos="9071" w:leader="none"/>
      </w:tabs>
      <w:jc w:val="right"/>
      <w:rPr>
        <w:rFonts w:eastAsia="Times New Roman" w:cs="Times New Roman"/>
        <w:color w:val="000000"/>
        <w:sz w:val="22"/>
        <w:szCs w:val="22"/>
        <w:lang w:val="pt-BR"/>
      </w:rPr>
    </w:pPr>
    <w:r>
      <w:rPr>
        <w:rFonts w:eastAsia="Times New Roman" w:cs="Times New Roman"/>
        <w:color w:val="000000"/>
        <w:sz w:val="22"/>
        <w:szCs w:val="22"/>
        <w:lang w:val="pt-BR"/>
      </w:rPr>
    </w:r>
  </w:p>
  <w:p>
    <w:pPr>
      <w:pStyle w:val="normal1"/>
      <w:tabs>
        <w:tab w:val="clear" w:pos="720"/>
        <w:tab w:val="center" w:pos="4535" w:leader="none"/>
        <w:tab w:val="right" w:pos="9071" w:leader="none"/>
      </w:tabs>
      <w:jc w:val="right"/>
      <w:rPr>
        <w:rFonts w:eastAsia="Times New Roman" w:cs="Times New Roman"/>
        <w:color w:val="000000"/>
        <w:sz w:val="20"/>
        <w:szCs w:val="20"/>
        <w:lang w:val="pt-BR"/>
      </w:rPr>
    </w:pPr>
    <w:r>
      <w:rPr>
        <w:rFonts w:eastAsia="Times New Roman" w:cs="Times New Roman"/>
        <w:color w:val="000000"/>
        <w:sz w:val="20"/>
        <w:szCs w:val="20"/>
        <w:lang w:val="pt-B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535" w:leader="none"/>
        <w:tab w:val="right" w:pos="9071" w:leader="none"/>
      </w:tabs>
      <w:jc w:val="right"/>
      <w:rPr>
        <w:rFonts w:eastAsia="Times New Roman" w:cs="Times New Roman"/>
        <w:color w:val="000000"/>
        <w:sz w:val="22"/>
        <w:szCs w:val="22"/>
        <w:lang w:val="pt-BR"/>
      </w:rPr>
    </w:pPr>
    <w:r>
      <w:rPr>
        <w:rFonts w:eastAsia="Times New Roman" w:cs="Times New Roman"/>
        <w:color w:val="000000"/>
        <w:sz w:val="22"/>
        <w:szCs w:val="22"/>
        <w:lang w:val="pt-BR"/>
      </w:rPr>
    </w:r>
  </w:p>
  <w:p>
    <w:pPr>
      <w:pStyle w:val="normal1"/>
      <w:tabs>
        <w:tab w:val="clear" w:pos="720"/>
        <w:tab w:val="center" w:pos="4535" w:leader="none"/>
        <w:tab w:val="right" w:pos="9071" w:leader="none"/>
      </w:tabs>
      <w:jc w:val="right"/>
      <w:rPr>
        <w:rFonts w:eastAsia="Times New Roman" w:cs="Times New Roman"/>
        <w:color w:val="000000"/>
        <w:sz w:val="20"/>
        <w:szCs w:val="20"/>
        <w:lang w:val="pt-BR"/>
      </w:rPr>
    </w:pPr>
    <w:r>
      <w:rPr>
        <w:rFonts w:eastAsia="Times New Roman" w:cs="Times New Roman"/>
        <w:color w:val="000000"/>
        <w:sz w:val="20"/>
        <w:szCs w:val="20"/>
        <w:lang w:val="pt-B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535" w:leader="none"/>
        <w:tab w:val="right" w:pos="9071" w:leader="none"/>
      </w:tabs>
      <w:jc w:val="right"/>
      <w:rPr>
        <w:rFonts w:eastAsia="Times New Roman" w:cs="Times New Roman"/>
        <w:color w:val="000000"/>
        <w:lang w:val="pt-BR"/>
      </w:rPr>
    </w:pPr>
    <w:r>
      <w:rPr>
        <w:lang w:val="pt-BR"/>
      </w:rPr>
      <w:fldChar w:fldCharType="begin"/>
    </w:r>
    <w:r>
      <w:rPr>
        <w:lang w:val="pt-BR"/>
      </w:rPr>
      <w:instrText xml:space="preserve"> PAGE </w:instrText>
    </w:r>
    <w:r>
      <w:rPr>
        <w:lang w:val="pt-BR"/>
      </w:rPr>
      <w:fldChar w:fldCharType="separate"/>
    </w:r>
    <w:r>
      <w:rPr>
        <w:lang w:val="pt-BR"/>
      </w:rPr>
      <w:t>64</w:t>
    </w:r>
    <w:r>
      <w:rPr>
        <w:lang w:val="pt-B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w:lvlJc w:val="left"/>
      <w:pPr>
        <w:tabs>
          <w:tab w:val="num" w:pos="0"/>
        </w:tabs>
        <w:ind w:left="0" w:hanging="0"/>
      </w:pPr>
      <w:rPr/>
    </w:lvl>
    <w:lvl w:ilvl="1">
      <w:start w:val="1"/>
      <w:numFmt w:val="decimal"/>
      <w:lvlText w:val=""/>
      <w:lvlJc w:val="left"/>
      <w:pPr>
        <w:tabs>
          <w:tab w:val="num" w:pos="0"/>
        </w:tabs>
        <w:ind w:left="0" w:hanging="0"/>
      </w:pPr>
      <w:rPr/>
    </w:lvl>
    <w:lvl w:ilvl="2">
      <w:start w:val="1"/>
      <w:numFmt w:val="decimal"/>
      <w:lvlText w:val=""/>
      <w:lvlJc w:val="left"/>
      <w:pPr>
        <w:tabs>
          <w:tab w:val="num" w:pos="0"/>
        </w:tabs>
        <w:ind w:left="0" w:hanging="0"/>
      </w:pPr>
      <w:rPr/>
    </w:lvl>
    <w:lvl w:ilvl="3">
      <w:start w:val="1"/>
      <w:numFmt w:val="decimal"/>
      <w:lvlText w:val=""/>
      <w:lvlJc w:val="left"/>
      <w:pPr>
        <w:tabs>
          <w:tab w:val="num" w:pos="0"/>
        </w:tabs>
        <w:ind w:left="0" w:hanging="0"/>
      </w:pPr>
      <w:rPr/>
    </w:lvl>
    <w:lvl w:ilvl="4">
      <w:start w:val="1"/>
      <w:numFmt w:val="decimal"/>
      <w:lvlText w:val=""/>
      <w:lvlJc w:val="left"/>
      <w:pPr>
        <w:tabs>
          <w:tab w:val="num" w:pos="0"/>
        </w:tabs>
        <w:ind w:left="0" w:hanging="0"/>
      </w:pPr>
      <w:rPr/>
    </w:lvl>
    <w:lvl w:ilvl="5">
      <w:start w:val="1"/>
      <w:numFmt w:val="decimal"/>
      <w:lvlText w:val=""/>
      <w:lvlJc w:val="left"/>
      <w:pPr>
        <w:tabs>
          <w:tab w:val="num" w:pos="0"/>
        </w:tabs>
        <w:ind w:left="0" w:hanging="0"/>
      </w:pPr>
      <w:rPr/>
    </w:lvl>
    <w:lvl w:ilvl="6">
      <w:start w:val="1"/>
      <w:numFmt w:val="decimal"/>
      <w:lvlText w:val=""/>
      <w:lvlJc w:val="left"/>
      <w:pPr>
        <w:tabs>
          <w:tab w:val="num" w:pos="0"/>
        </w:tabs>
        <w:ind w:left="0" w:hanging="0"/>
      </w:pPr>
      <w:rPr/>
    </w:lvl>
    <w:lvl w:ilvl="7">
      <w:start w:val="1"/>
      <w:numFmt w:val="decimal"/>
      <w:lvlText w:val=""/>
      <w:lvlJc w:val="left"/>
      <w:pPr>
        <w:tabs>
          <w:tab w:val="num" w:pos="0"/>
        </w:tabs>
        <w:ind w:left="0" w:hanging="0"/>
      </w:pPr>
      <w:rPr/>
    </w:lvl>
    <w:lvl w:ilvl="8">
      <w:start w:val="1"/>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embedTrueTypeFonts/>
  <w:defaultTabStop w:val="720"/>
  <w:autoHyphenation w:val="true"/>
  <w:hyphenationZone w:val="425"/>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lineRule="auto" w:line="360" w:before="0" w:after="0"/>
      <w:ind w:firstLine="709"/>
      <w:jc w:val="both"/>
    </w:pPr>
    <w:rPr>
      <w:rFonts w:ascii="Times New Roman" w:hAnsi="Times New Roman" w:eastAsia="Noto Serif CJK SC" w:cs="Noto Sans Devanagari"/>
      <w:color w:val="auto"/>
      <w:kern w:val="0"/>
      <w:sz w:val="24"/>
      <w:szCs w:val="24"/>
      <w:lang w:val="pt-BR" w:eastAsia="zh-CN" w:bidi="hi-IN"/>
    </w:rPr>
  </w:style>
  <w:style w:type="paragraph" w:styleId="Heading1">
    <w:name w:val="Heading 1"/>
    <w:basedOn w:val="normal1"/>
    <w:next w:val="normal1"/>
    <w:uiPriority w:val="9"/>
    <w:qFormat/>
    <w:pPr>
      <w:keepNext w:val="true"/>
      <w:spacing w:lineRule="auto" w:line="240" w:before="240" w:after="240"/>
      <w:ind w:hanging="0"/>
      <w:jc w:val="left"/>
      <w:outlineLvl w:val="0"/>
    </w:pPr>
    <w:rPr>
      <w:rFonts w:eastAsia="Times New Roman" w:cs="Times New Roman"/>
      <w:b/>
      <w:bCs/>
    </w:rPr>
  </w:style>
  <w:style w:type="paragraph" w:styleId="Heading2">
    <w:name w:val="Heading 2"/>
    <w:basedOn w:val="normal1"/>
    <w:next w:val="normal1"/>
    <w:uiPriority w:val="9"/>
    <w:semiHidden/>
    <w:unhideWhenUsed/>
    <w:qFormat/>
    <w:pPr>
      <w:keepNext w:val="true"/>
      <w:keepLines/>
      <w:spacing w:lineRule="auto" w:line="240" w:before="360" w:after="80"/>
      <w:outlineLvl w:val="1"/>
    </w:pPr>
    <w:rPr>
      <w:b/>
      <w:bCs/>
      <w:sz w:val="36"/>
      <w:szCs w:val="36"/>
    </w:rPr>
  </w:style>
  <w:style w:type="paragraph" w:styleId="Heading3">
    <w:name w:val="Heading 3"/>
    <w:basedOn w:val="normal1"/>
    <w:next w:val="normal1"/>
    <w:uiPriority w:val="9"/>
    <w:semiHidden/>
    <w:unhideWhenUsed/>
    <w:qFormat/>
    <w:pPr>
      <w:keepNext w:val="true"/>
      <w:keepLines/>
      <w:spacing w:lineRule="auto" w:line="240" w:before="280" w:after="80"/>
      <w:outlineLvl w:val="2"/>
    </w:pPr>
    <w:rPr>
      <w:b/>
      <w:bCs/>
      <w:sz w:val="28"/>
      <w:szCs w:val="28"/>
    </w:rPr>
  </w:style>
  <w:style w:type="paragraph" w:styleId="Heading4">
    <w:name w:val="Heading 4"/>
    <w:basedOn w:val="normal1"/>
    <w:next w:val="normal1"/>
    <w:uiPriority w:val="9"/>
    <w:semiHidden/>
    <w:unhideWhenUsed/>
    <w:qFormat/>
    <w:pPr>
      <w:keepNext w:val="true"/>
      <w:keepLines/>
      <w:spacing w:lineRule="auto" w:line="240" w:before="240" w:after="40"/>
      <w:outlineLvl w:val="3"/>
    </w:pPr>
    <w:rPr>
      <w:b/>
      <w:bCs/>
    </w:rPr>
  </w:style>
  <w:style w:type="paragraph" w:styleId="Heading5">
    <w:name w:val="Heading 5"/>
    <w:basedOn w:val="normal1"/>
    <w:next w:val="normal1"/>
    <w:uiPriority w:val="9"/>
    <w:semiHidden/>
    <w:unhideWhenUsed/>
    <w:qFormat/>
    <w:pPr>
      <w:keepNext w:val="true"/>
      <w:keepLines/>
      <w:spacing w:lineRule="auto" w:line="240" w:before="220" w:after="40"/>
      <w:outlineLvl w:val="4"/>
    </w:pPr>
    <w:rPr>
      <w:b/>
      <w:bCs/>
      <w:sz w:val="22"/>
      <w:szCs w:val="22"/>
    </w:rPr>
  </w:style>
  <w:style w:type="paragraph" w:styleId="Heading6">
    <w:name w:val="Heading 6"/>
    <w:basedOn w:val="normal1"/>
    <w:next w:val="normal1"/>
    <w:uiPriority w:val="9"/>
    <w:semiHidden/>
    <w:unhideWhenUsed/>
    <w:qFormat/>
    <w:pPr>
      <w:keepNext w:val="true"/>
      <w:keepLines/>
      <w:spacing w:lineRule="auto" w:line="240" w:before="200" w:after="40"/>
      <w:outlineLvl w:val="5"/>
    </w:pPr>
    <w:rPr>
      <w:b/>
      <w:bCs/>
      <w:sz w:val="20"/>
      <w:szCs w:val="20"/>
    </w:rPr>
  </w:style>
  <w:style w:type="character" w:styleId="DefaultParagraphFont" w:default="1">
    <w:name w:val="Default Paragraph Font"/>
    <w:uiPriority w:val="1"/>
    <w:unhideWhenUsed/>
    <w:qFormat/>
    <w:rPr/>
  </w:style>
  <w:style w:type="character" w:styleId="Hyperlink">
    <w:name w:val="Hyperlink"/>
    <w:rPr>
      <w:color w:val="000080"/>
      <w:u w:val="single"/>
    </w:rPr>
  </w:style>
  <w:style w:type="character" w:styleId="Emphasis">
    <w:name w:val="Emphasis"/>
    <w:uiPriority w:val="20"/>
    <w:qFormat/>
    <w:rPr>
      <w:i/>
      <w:iCs/>
    </w:rPr>
  </w:style>
  <w:style w:type="character" w:styleId="Strong">
    <w:name w:val="Strong"/>
    <w:uiPriority w:val="22"/>
    <w:qFormat/>
    <w:rPr>
      <w:b/>
      <w:bCs/>
    </w:rPr>
  </w:style>
  <w:style w:type="character" w:styleId="UnresolvedMention">
    <w:name w:val="Unresolved Mention"/>
    <w:basedOn w:val="DefaultParagraphFont"/>
    <w:uiPriority w:val="99"/>
    <w:semiHidden/>
    <w:unhideWhenUsed/>
    <w:qFormat/>
    <w:rsid w:val="00ef4f90"/>
    <w:rPr>
      <w:color w:val="605E5C"/>
      <w:shd w:fill="E1DFDD" w:val="clear"/>
    </w:rPr>
  </w:style>
  <w:style w:type="character" w:styleId="Cdigo-fonte">
    <w:name w:val="Código-fonte"/>
    <w:qFormat/>
    <w:rPr>
      <w:rFonts w:ascii="Liberation Mono" w:hAnsi="Liberation Mono" w:eastAsia="Noto Sans Mono CJK SC"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customStyle="1">
    <w:name w:val="Índice"/>
    <w:basedOn w:val="Normal"/>
    <w:qFormat/>
    <w:pPr>
      <w:suppressLineNumbers/>
    </w:pPr>
    <w:rPr/>
  </w:style>
  <w:style w:type="paragraph" w:styleId="Title">
    <w:name w:val="Title"/>
    <w:basedOn w:val="normal1"/>
    <w:next w:val="BodyText"/>
    <w:uiPriority w:val="10"/>
    <w:qFormat/>
    <w:pPr>
      <w:keepNext w:val="true"/>
      <w:keepLines/>
      <w:spacing w:lineRule="auto" w:line="240" w:before="480" w:after="120"/>
    </w:pPr>
    <w:rPr>
      <w:b/>
      <w:bCs/>
      <w:sz w:val="72"/>
      <w:szCs w:val="72"/>
    </w:rPr>
  </w:style>
  <w:style w:type="paragraph" w:styleId="normal1" w:customStyle="1">
    <w:name w:val="normal1"/>
    <w:qFormat/>
    <w:pPr>
      <w:widowControl w:val="false"/>
      <w:suppressAutoHyphens w:val="true"/>
      <w:bidi w:val="0"/>
      <w:spacing w:lineRule="auto" w:line="360" w:before="0" w:after="0"/>
      <w:ind w:firstLine="709"/>
      <w:jc w:val="both"/>
    </w:pPr>
    <w:rPr>
      <w:rFonts w:ascii="Times New Roman" w:hAnsi="Times New Roman" w:eastAsia="Noto Serif CJK SC" w:cs="Noto Sans Devanagari"/>
      <w:color w:val="auto"/>
      <w:kern w:val="0"/>
      <w:sz w:val="24"/>
      <w:szCs w:val="24"/>
      <w:lang w:val="en-US" w:eastAsia="zh-CN" w:bidi="hi-IN"/>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iCs/>
      <w:color w:val="666666"/>
      <w:sz w:val="48"/>
      <w:szCs w:val="48"/>
    </w:rPr>
  </w:style>
  <w:style w:type="paragraph" w:styleId="Cabealhoerodap" w:customStyle="1">
    <w:name w:val="Cabeçalho e rodapé"/>
    <w:basedOn w:val="Normal"/>
    <w:qFormat/>
    <w:pPr/>
    <w:rPr/>
  </w:style>
  <w:style w:type="paragraph" w:styleId="Header">
    <w:name w:val="Header"/>
    <w:basedOn w:val="Cabealhoerodap"/>
    <w:pPr/>
    <w:rPr/>
  </w:style>
  <w:style w:type="paragraph" w:styleId="Footer">
    <w:name w:val="Footer"/>
    <w:basedOn w:val="Cabealhoerodap"/>
    <w:pPr/>
    <w:rPr/>
  </w:style>
  <w:style w:type="paragraph" w:styleId="Contedodatabela" w:customStyle="1">
    <w:name w:val="Conteúdo da tabela"/>
    <w:basedOn w:val="Normal"/>
    <w:qFormat/>
    <w:pPr>
      <w:suppressLineNumbers/>
    </w:pPr>
    <w:rPr/>
  </w:style>
  <w:style w:type="paragraph" w:styleId="Ttulodetabela" w:customStyle="1">
    <w:name w:val="Título de tabela"/>
    <w:basedOn w:val="Contedodatabela"/>
    <w:qFormat/>
    <w:pPr>
      <w:jc w:val="center"/>
    </w:pPr>
    <w:rPr>
      <w:b/>
      <w:bCs/>
    </w:rPr>
  </w:style>
  <w:style w:type="paragraph" w:styleId="Anotao">
    <w:name w:val="Anotação"/>
    <w:basedOn w:val="Normal"/>
    <w:qFormat/>
    <w:pPr/>
    <w:rPr>
      <w:sz w:val="20"/>
      <w:szCs w:val="20"/>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biblioteca.ufc.br/servicos-e-produtos/1137-elaboracao-de-ficha-catalografica" TargetMode="External"/><Relationship Id="rId4" Type="http://schemas.openxmlformats.org/officeDocument/2006/relationships/hyperlink" Target="http://www.fichacatalografica.ufc.br/"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hyperlink" Target="https://www.planalto.gov.br/ccivil_03/_ato2007-2010/2010/lei/l12305.htm" TargetMode="External"/><Relationship Id="rId24" Type="http://schemas.openxmlformats.org/officeDocument/2006/relationships/hyperlink" Target="https://doi.org/10.3390/s22020548" TargetMode="External"/><Relationship Id="rId25" Type="http://schemas.openxmlformats.org/officeDocument/2006/relationships/hyperlink" Target="https://www.scielo.br/j/esa/a/9CmBjrLMQpCRBZWttpDLtcJ/" TargetMode="External"/><Relationship Id="rId26" Type="http://schemas.openxmlformats.org/officeDocument/2006/relationships/hyperlink" Target="https://www.progere.ufc.br/wp-content/uploads/2015/08/Plano-Municipal-de-Gest&#227;o-Integrada-de-Res&#237;duos-S&#243;lidos-de-Fortaleza.pdf" TargetMode="External"/><Relationship Id="rId27" Type="http://schemas.openxmlformats.org/officeDocument/2006/relationships/hyperlink" Target="https://doi.org/10.3390/s25103181" TargetMode="External"/><Relationship Id="rId28" Type="http://schemas.openxmlformats.org/officeDocument/2006/relationships/hyperlink" Target="https://doi.org/10.1590/2175-3369.016.e20230271" TargetMode="External"/><Relationship Id="rId29" Type="http://schemas.openxmlformats.org/officeDocument/2006/relationships/hyperlink" Target="https://doi.org/10.11159/mvml25.113" TargetMode="External"/><Relationship Id="rId30" Type="http://schemas.openxmlformats.org/officeDocument/2006/relationships/hyperlink" Target="https://doi.org/10.11159/mvml25.113" TargetMode="External"/><Relationship Id="rId31" Type="http://schemas.openxmlformats.org/officeDocument/2006/relationships/hyperlink" Target="https://repositorio.ufc.br/handle/riufc/60224" TargetMode="External"/><Relationship Id="rId32" Type="http://schemas.openxmlformats.org/officeDocument/2006/relationships/hyperlink" Target="https://www.google.com/streetview/policy/?utm_source=chatgpt.com" TargetMode="External"/><Relationship Id="rId33" Type="http://schemas.openxmlformats.org/officeDocument/2006/relationships/hyperlink" Target="https://doi.org/10.1109/ACCESS.2019.2939201" TargetMode="External"/><Relationship Id="rId34" Type="http://schemas.openxmlformats.org/officeDocument/2006/relationships/hyperlink" Target="https://doi.org/10.1016/j.dsp.2022.103812" TargetMode="External"/><Relationship Id="rId35" Type="http://schemas.openxmlformats.org/officeDocument/2006/relationships/hyperlink" Target="https://doi.org/10.1038/nature14539" TargetMode="External"/><Relationship Id="rId36" Type="http://schemas.openxmlformats.org/officeDocument/2006/relationships/hyperlink" Target="https://proceedings.mlr.press/v202/li23q.html" TargetMode="External"/><Relationship Id="rId37" Type="http://schemas.openxmlformats.org/officeDocument/2006/relationships/hyperlink" Target="https://arxiv.org/abs/2501.02189" TargetMode="External"/><Relationship Id="rId38" Type="http://schemas.openxmlformats.org/officeDocument/2006/relationships/hyperlink" Target="https://doi.org/10.1007/s11263-019-01247-4" TargetMode="External"/><Relationship Id="rId39" Type="http://schemas.openxmlformats.org/officeDocument/2006/relationships/hyperlink" Target="https://doi.org/10.1016/j.resconrec.2018.10.039" TargetMode="External"/><Relationship Id="rId40" Type="http://schemas.openxmlformats.org/officeDocument/2006/relationships/hyperlink" Target="https://doi.org/10.1007/s10796-024-10475-0" TargetMode="External"/><Relationship Id="rId41" Type="http://schemas.openxmlformats.org/officeDocument/2006/relationships/hyperlink" Target="https://doi.org/10.1016/j.resconrec.2026.108885" TargetMode="External"/><Relationship Id="rId42" Type="http://schemas.openxmlformats.org/officeDocument/2006/relationships/hyperlink" Target="https://doi.org/10.1016/j.resconrec.2026.108885" TargetMode="External"/><Relationship Id="rId43" Type="http://schemas.openxmlformats.org/officeDocument/2006/relationships/hyperlink" Target="https://doi.org/10.1007/s43681-025-00751-3" TargetMode="External"/><Relationship Id="rId44" Type="http://schemas.openxmlformats.org/officeDocument/2006/relationships/hyperlink" Target="https://doi.org/10.4136/ambi-agua.1635" TargetMode="External"/><Relationship Id="rId45" Type="http://schemas.openxmlformats.org/officeDocument/2006/relationships/hyperlink" Target="https://arxiv.org/abs/2003.06975" TargetMode="External"/><Relationship Id="rId46" Type="http://schemas.openxmlformats.org/officeDocument/2006/relationships/hyperlink" Target="https://arxiv.org/abs/2308.09778" TargetMode="External"/><Relationship Id="rId47" Type="http://schemas.openxmlformats.org/officeDocument/2006/relationships/hyperlink" Target="https://doi.org/10.1007/978-3-030-16181-1_23" TargetMode="External"/><Relationship Id="rId48" Type="http://schemas.openxmlformats.org/officeDocument/2006/relationships/hyperlink" Target="https://doi.org/10.3390/s24134339" TargetMode="External"/><Relationship Id="rId49" Type="http://schemas.openxmlformats.org/officeDocument/2006/relationships/hyperlink" Target="https://doi.org/10.1590/2175-3369.008.001.AO02" TargetMode="External"/><Relationship Id="rId50" Type="http://schemas.openxmlformats.org/officeDocument/2006/relationships/hyperlink" Target="https://universe.roboflow.com/sidewalk/sidewalk-segmentation" TargetMode="External"/><Relationship Id="rId51" Type="http://schemas.openxmlformats.org/officeDocument/2006/relationships/hyperlink" Target="https://doi.org/10.3390/make5040083" TargetMode="External"/><Relationship Id="rId52" Type="http://schemas.openxmlformats.org/officeDocument/2006/relationships/hyperlink" Target="https://arxiv.org/abs/2510.12400" TargetMode="External"/><Relationship Id="rId53" Type="http://schemas.openxmlformats.org/officeDocument/2006/relationships/hyperlink" Target="https://universe.roboflow.com/trash-dataset-for-oriented-bounded-box/trash-detection-1fjjc" TargetMode="External"/><Relationship Id="rId54" Type="http://schemas.openxmlformats.org/officeDocument/2006/relationships/hyperlink" Target="https://docs.ultralytics.com/guides/model-training-tips/" TargetMode="External"/><Relationship Id="rId55" Type="http://schemas.openxmlformats.org/officeDocument/2006/relationships/hyperlink" Target="https://www.ecva.net/papers/eccv_2024/papers_ECCV/papers/10172.pdf" TargetMode="External"/><Relationship Id="rId56" Type="http://schemas.openxmlformats.org/officeDocument/2006/relationships/hyperlink" Target="https://doi.org/10.1109/TPAMI.2018.2857768" TargetMode="External"/><Relationship Id="rId57" Type="http://schemas.openxmlformats.org/officeDocument/2006/relationships/hyperlink" Target="https://doi.org/10.1109/TPAMI.2018.2857768" TargetMode="External"/><Relationship Id="rId58" Type="http://schemas.openxmlformats.org/officeDocument/2006/relationships/hyperlink" Target="https://doi.org/10.3389/fpubh.2022.907280" TargetMode="External"/><Relationship Id="rId59" Type="http://schemas.openxmlformats.org/officeDocument/2006/relationships/hyperlink" Target="https://arxiv.org/abs/2304.00685" TargetMode="External"/><Relationship Id="rId60" Type="http://schemas.openxmlformats.org/officeDocument/2006/relationships/hyperlink" Target="https://doi.org/10.1109/JPROC.2023.3238524" TargetMode="External"/><Relationship Id="rId61" Type="http://schemas.openxmlformats.org/officeDocument/2006/relationships/hyperlink" Target="https://doi.org/10.1016/j.giq.2021.101577" TargetMode="External"/><Relationship Id="rId62" Type="http://schemas.openxmlformats.org/officeDocument/2006/relationships/header" Target="header4.xml"/><Relationship Id="rId63" Type="http://schemas.openxmlformats.org/officeDocument/2006/relationships/header" Target="header5.xml"/><Relationship Id="rId64" Type="http://schemas.openxmlformats.org/officeDocument/2006/relationships/footer" Target="footer4.xml"/><Relationship Id="rId65" Type="http://schemas.openxmlformats.org/officeDocument/2006/relationships/footer" Target="footer5.xml"/><Relationship Id="rId66" Type="http://schemas.openxmlformats.org/officeDocument/2006/relationships/numbering" Target="numbering.xml"/><Relationship Id="rId67" Type="http://schemas.openxmlformats.org/officeDocument/2006/relationships/fontTable" Target="fontTable.xml"/><Relationship Id="rId68" Type="http://schemas.openxmlformats.org/officeDocument/2006/relationships/settings" Target="settings.xml"/><Relationship Id="rId6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822</TotalTime>
  <Application>LibreOffice/24.2.7.2$Linux_X86_64 LibreOffice_project/420$Build-2</Application>
  <AppVersion>15.0000</AppVersion>
  <Pages>63</Pages>
  <Words>18871</Words>
  <Characters>115180</Characters>
  <CharactersWithSpaces>133440</CharactersWithSpaces>
  <Paragraphs>734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2026-06-11T13:07:00Z</dcterms:created>
  <dc:creator/>
  <dc:description/>
  <dc:language>pt-BR</dc:language>
  <cp:lastModifiedBy/>
  <dcterms:modified xsi:type="dcterms:W3CDTF">2026-06-13T17:55:58Z</dcterms:modified>
  <cp:revision>125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