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24.odttf" ContentType="application/vnd.openxmlformats-officedocument.obfuscatedFont"/>
  <Override PartName="/word/fonts/font3.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spacing w:lineRule="auto" w:line="240"/>
        <w:ind w:hanging="0"/>
        <w:jc w:val="center"/>
        <w:rPr>
          <w:lang w:val="pt-BR"/>
        </w:rPr>
      </w:pPr>
      <w:r>
        <w:rPr/>
        <w:drawing>
          <wp:inline distT="0" distB="0" distL="0" distR="0">
            <wp:extent cx="685800" cy="103314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85800" cy="1033145"/>
                    </a:xfrm>
                    <a:prstGeom prst="rect">
                      <a:avLst/>
                    </a:prstGeom>
                  </pic:spPr>
                </pic:pic>
              </a:graphicData>
            </a:graphic>
          </wp:inline>
        </w:drawing>
      </w:r>
    </w:p>
    <w:p>
      <w:pPr>
        <w:pStyle w:val="normal1"/>
        <w:widowControl/>
        <w:ind w:hanging="0"/>
        <w:jc w:val="center"/>
        <w:rPr>
          <w:lang w:val="pt-BR"/>
        </w:rPr>
      </w:pPr>
      <w:r>
        <w:rPr>
          <w:b/>
          <w:bCs/>
          <w:lang w:val="pt-BR"/>
        </w:rPr>
        <w:t xml:space="preserve"> </w:t>
      </w:r>
      <w:r>
        <w:rPr>
          <w:b/>
          <w:bCs/>
          <w:lang w:val="pt-BR"/>
        </w:rPr>
        <w:t>UNIVERSIDADE FEDERAL DO CEARÁ</w:t>
      </w:r>
    </w:p>
    <w:p>
      <w:pPr>
        <w:pStyle w:val="normal1"/>
        <w:widowControl/>
        <w:ind w:hanging="0"/>
        <w:jc w:val="center"/>
        <w:rPr>
          <w:lang w:val="pt-BR"/>
        </w:rPr>
      </w:pPr>
      <w:r>
        <w:rPr>
          <w:b/>
          <w:bCs/>
          <w:lang w:val="pt-BR"/>
        </w:rPr>
        <w:t>FACULDADE DE ECONOMIA, ADMINISTRAÇÃO, ATUÁRIA E CONTABILIDADE</w:t>
      </w:r>
    </w:p>
    <w:p>
      <w:pPr>
        <w:pStyle w:val="normal1"/>
        <w:widowControl/>
        <w:ind w:hanging="0"/>
        <w:jc w:val="center"/>
        <w:rPr>
          <w:lang w:val="pt-BR"/>
        </w:rPr>
      </w:pPr>
      <w:r>
        <w:rPr>
          <w:b/>
          <w:bCs/>
          <w:lang w:val="pt-BR"/>
        </w:rPr>
        <w:t>DEPARTAMENTO DE ADMINISTRAÇÃO</w:t>
      </w:r>
    </w:p>
    <w:p>
      <w:pPr>
        <w:pStyle w:val="normal1"/>
        <w:widowControl/>
        <w:ind w:hanging="0"/>
        <w:jc w:val="center"/>
        <w:rPr>
          <w:lang w:val="pt-BR"/>
        </w:rPr>
      </w:pPr>
      <w:r>
        <w:rPr>
          <w:b/>
          <w:bCs/>
          <w:lang w:val="pt-BR"/>
        </w:rPr>
        <w:t>CURSO DE ADMINISTRAÇÃO</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ind w:hanging="0"/>
        <w:rPr>
          <w:lang w:val="pt-BR"/>
        </w:rPr>
      </w:pPr>
      <w:r>
        <w:rPr>
          <w:lang w:val="pt-BR"/>
        </w:rPr>
      </w:r>
      <w:bookmarkStart w:id="0" w:name="_cb96basbvott"/>
      <w:bookmarkStart w:id="1" w:name="_cb96basbvott"/>
      <w:bookmarkEnd w:id="1"/>
    </w:p>
    <w:p>
      <w:pPr>
        <w:pStyle w:val="normal1"/>
        <w:ind w:hanging="0"/>
        <w:jc w:val="center"/>
        <w:rPr>
          <w:lang w:val="pt-BR"/>
        </w:rPr>
      </w:pPr>
      <w:r>
        <w:rPr>
          <w:b/>
          <w:bCs/>
          <w:lang w:val="pt-BR"/>
        </w:rPr>
        <w:t>JAIME TEIXEIRA DE ARAÚJO JÚNIOR</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bookmarkStart w:id="2" w:name="_jw0fgduhsaew"/>
      <w:bookmarkStart w:id="3" w:name="_jw0fgduhsaew"/>
      <w:bookmarkEnd w:id="3"/>
    </w:p>
    <w:p>
      <w:pPr>
        <w:pStyle w:val="normal1"/>
        <w:ind w:hanging="0"/>
        <w:jc w:val="center"/>
        <w:rPr>
          <w:lang w:val="pt-BR"/>
        </w:rPr>
      </w:pPr>
      <w:r>
        <w:rPr>
          <w:b/>
          <w:bCs/>
          <w:lang w:val="pt-BR"/>
        </w:rPr>
        <w:t>VIABILIDADE DA INTELIGÊNCIA ARTIFICIAL NO MONITORAMENTO DE RESÍDUOS URBANOS EM VIAS PÚBLICAS: COMPARAÇÃO ENTRE YOLOV11M E GEMMA 3 27B-IT</w:t>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ind w:hanging="0"/>
        <w:jc w:val="center"/>
        <w:rPr>
          <w:lang w:val="pt-BR"/>
        </w:rPr>
      </w:pPr>
      <w:r>
        <w:rPr>
          <w:b/>
          <w:bCs/>
          <w:lang w:val="pt-BR"/>
        </w:rPr>
        <w:t>FORTALEZA</w:t>
      </w:r>
    </w:p>
    <w:p>
      <w:pPr>
        <w:pStyle w:val="normal1"/>
        <w:widowControl/>
        <w:spacing w:lineRule="auto" w:line="240"/>
        <w:ind w:hanging="0"/>
        <w:jc w:val="center"/>
        <w:rPr>
          <w:lang w:val="pt-BR"/>
        </w:rPr>
      </w:pPr>
      <w:bookmarkStart w:id="4" w:name="_uhjrzothi7pa"/>
      <w:bookmarkEnd w:id="4"/>
      <w:r>
        <w:rPr>
          <w:b/>
          <w:bCs/>
          <w:lang w:val="pt-BR"/>
        </w:rPr>
        <w:t>2026</w:t>
      </w:r>
    </w:p>
    <w:p>
      <w:pPr>
        <w:pStyle w:val="normal1"/>
        <w:widowControl/>
        <w:spacing w:lineRule="auto" w:line="240"/>
        <w:ind w:hanging="0"/>
        <w:jc w:val="center"/>
        <w:rPr>
          <w:b/>
          <w:bCs/>
          <w:lang w:val="pt-BR"/>
        </w:rPr>
      </w:pPr>
      <w:r>
        <w:rPr>
          <w:b/>
          <w:bCs/>
          <w:lang w:val="pt-BR"/>
        </w:rPr>
      </w:r>
    </w:p>
    <w:p>
      <w:pPr>
        <w:pStyle w:val="normal1"/>
        <w:widowControl/>
        <w:spacing w:lineRule="auto" w:line="240"/>
        <w:ind w:hanging="0"/>
        <w:jc w:val="center"/>
        <w:rPr>
          <w:lang w:val="pt-BR"/>
        </w:rPr>
      </w:pPr>
      <w:bookmarkStart w:id="5" w:name="_l2bv9k5n7hzb"/>
      <w:bookmarkEnd w:id="5"/>
      <w:r>
        <w:rPr>
          <w:lang w:val="pt-BR"/>
        </w:rPr>
        <w:t>JAIME TEIXEIRA DE ARAÚJO JÚNIO</w:t>
      </w:r>
      <w:bookmarkStart w:id="6" w:name="_ejvh8egvipo0"/>
      <w:bookmarkEnd w:id="6"/>
      <w:r>
        <w:rPr>
          <w:lang w:val="pt-BR"/>
        </w:rPr>
        <w:t>R</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spacing w:lineRule="auto" w:line="240"/>
        <w:ind w:hanging="0" w:left="4535"/>
        <w:rPr>
          <w:lang w:val="pt-BR"/>
        </w:rPr>
      </w:pPr>
      <w:r>
        <w:rPr>
          <w:lang w:val="pt-BR"/>
        </w:rPr>
      </w:r>
    </w:p>
    <w:p>
      <w:pPr>
        <w:pStyle w:val="normal1"/>
        <w:spacing w:lineRule="auto" w:line="240"/>
        <w:ind w:hanging="0" w:left="4535"/>
        <w:rPr>
          <w:lang w:val="pt-BR"/>
        </w:rPr>
      </w:pPr>
      <w:r>
        <w:rPr>
          <w:lang w:val="pt-BR"/>
        </w:rPr>
        <w:t>Orientador: Prof. Dr. Carlos de Oliveira Caminha Neto.</w:t>
      </w:r>
    </w:p>
    <w:p>
      <w:pPr>
        <w:pStyle w:val="normal1"/>
        <w:rPr>
          <w:lang w:val="pt-BR"/>
        </w:rPr>
      </w:pPr>
      <w:r>
        <w:rPr>
          <w:lang w:val="pt-BR"/>
        </w:rPr>
      </w:r>
    </w:p>
    <w:p>
      <w:pPr>
        <w:pStyle w:val="normal1"/>
        <w:ind w:hanging="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jc w:val="center"/>
        <w:rPr>
          <w:lang w:val="pt-BR"/>
        </w:rPr>
      </w:pPr>
      <w:r>
        <w:rPr>
          <w:lang w:val="pt-BR"/>
        </w:rPr>
        <w:t>FORTALEZA</w:t>
      </w:r>
    </w:p>
    <w:p>
      <w:pPr>
        <w:pStyle w:val="normal1"/>
        <w:jc w:val="center"/>
        <w:rPr>
          <w:lang w:val="pt-BR"/>
        </w:rPr>
      </w:pPr>
      <w:r>
        <w:rPr>
          <w:lang w:val="pt-BR"/>
        </w:rPr>
        <w:t>2026</w:t>
      </w:r>
    </w:p>
    <w:p>
      <w:pPr>
        <w:pStyle w:val="normal1"/>
        <w:rPr>
          <w:lang w:val="pt-BR"/>
        </w:rPr>
      </w:pPr>
      <w:r>
        <w:rPr>
          <w:lang w:val="pt-BR"/>
        </w:rPr>
      </w:r>
      <w:r>
        <w:br w:type="page"/>
      </w:r>
    </w:p>
    <w:p>
      <w:pPr>
        <w:pStyle w:val="normal1"/>
        <w:spacing w:before="0" w:after="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r>
    </w:p>
    <w:p>
      <w:pPr>
        <w:pStyle w:val="normal1"/>
        <w:widowControl/>
        <w:ind w:hanging="0"/>
        <w:jc w:val="center"/>
        <w:rPr>
          <w:lang w:val="pt-BR"/>
        </w:rPr>
      </w:pPr>
      <w:r>
        <w:rPr>
          <w:lang w:val="pt-BR"/>
        </w:rPr>
        <w:t>Página reservada para ficha catalográfica.</w:t>
      </w:r>
    </w:p>
    <w:p>
      <w:pPr>
        <w:pStyle w:val="normal1"/>
        <w:widowControl/>
        <w:ind w:hanging="0"/>
        <w:jc w:val="center"/>
        <w:rPr>
          <w:color w:val="000000"/>
          <w:shd w:fill="F9F9F9" w:val="clear"/>
          <w:lang w:val="pt-BR"/>
        </w:rPr>
      </w:pPr>
      <w:r>
        <w:rPr>
          <w:shd w:fill="F9F9F9" w:val="clear"/>
          <w:lang w:val="pt-BR"/>
        </w:rPr>
        <w:t>Utilize a ferramenta </w:t>
      </w:r>
      <w:r>
        <w:rPr>
          <w:i/>
          <w:iCs/>
          <w:shd w:fill="F9F9F9" w:val="clear"/>
          <w:lang w:val="pt-BR"/>
        </w:rPr>
        <w:t>online</w:t>
      </w:r>
      <w:r>
        <w:rPr>
          <w:color w:val="000000"/>
          <w:shd w:fill="F9F9F9" w:val="clear"/>
          <w:lang w:val="pt-BR"/>
        </w:rPr>
        <w:t> </w:t>
      </w:r>
      <w:hyperlink r:id="rId3">
        <w:r>
          <w:rPr>
            <w:rStyle w:val="ListLabel19"/>
            <w:color w:val="000000"/>
            <w:u w:val="single"/>
            <w:shd w:fill="F9F9F9" w:val="clear"/>
            <w:lang w:val="pt-BR"/>
          </w:rPr>
          <w:t>Catalog!</w:t>
        </w:r>
      </w:hyperlink>
      <w:r>
        <w:rPr>
          <w:color w:val="000000"/>
          <w:shd w:fill="F9F9F9" w:val="clear"/>
          <w:lang w:val="pt-BR"/>
        </w:rPr>
        <w:t> </w:t>
      </w:r>
      <w:r>
        <w:rPr>
          <w:shd w:fill="F9F9F9" w:val="clear"/>
          <w:lang w:val="pt-BR"/>
        </w:rPr>
        <w:t>para elaborar a ficha catalográfica de seu trabalho acadêmico, gerando-a em arquivo PDF, disponível para download e/ou impressão. (</w:t>
      </w:r>
      <w:hyperlink r:id="rId4">
        <w:r>
          <w:rPr>
            <w:rStyle w:val="ListLabel19"/>
            <w:color w:val="000000"/>
            <w:u w:val="single"/>
            <w:shd w:fill="F9F9F9" w:val="clear"/>
            <w:lang w:val="pt-BR"/>
          </w:rPr>
          <w:t>http://www.fichacatalografica.ufc.br/</w:t>
        </w:r>
      </w:hyperlink>
      <w:r>
        <w:rPr>
          <w:shd w:fill="F9F9F9" w:val="clear"/>
          <w:lang w:val="pt-BR"/>
        </w:rPr>
        <w:t>)</w:t>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jc w:val="center"/>
        <w:rPr>
          <w:sz w:val="20"/>
          <w:szCs w:val="20"/>
          <w:lang w:val="pt-BR"/>
        </w:rPr>
      </w:pPr>
      <w:r>
        <w:rPr>
          <w:sz w:val="20"/>
          <w:szCs w:val="20"/>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center"/>
        <w:rPr>
          <w:lang w:val="pt-BR"/>
        </w:rPr>
      </w:pPr>
      <w:r>
        <w:rPr>
          <w:lang w:val="pt-BR"/>
        </w:rPr>
        <w:t>JAIME TEIXEIRA DE ARAÚJO JÚNIOR</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widowControl/>
        <w:spacing w:lineRule="auto" w:line="240"/>
        <w:ind w:hanging="0" w:left="4515"/>
        <w:rPr>
          <w:lang w:val="pt-BR"/>
        </w:rPr>
      </w:pPr>
      <w:r>
        <w:rPr>
          <w:lang w:val="pt-BR"/>
        </w:rPr>
      </w:r>
    </w:p>
    <w:p>
      <w:pPr>
        <w:pStyle w:val="normal1"/>
        <w:widowControl/>
        <w:spacing w:lineRule="auto" w:line="288"/>
        <w:ind w:hanging="0" w:left="4515"/>
        <w:rPr>
          <w:lang w:val="pt-BR"/>
        </w:rPr>
      </w:pPr>
      <w:r>
        <w:rPr>
          <w:lang w:val="pt-BR"/>
        </w:rPr>
      </w:r>
    </w:p>
    <w:p>
      <w:pPr>
        <w:pStyle w:val="normal1"/>
        <w:widowControl/>
        <w:spacing w:lineRule="auto" w:line="288"/>
        <w:ind w:hanging="0"/>
        <w:jc w:val="left"/>
        <w:rPr>
          <w:lang w:val="pt-BR"/>
        </w:rPr>
      </w:pPr>
      <w:r>
        <w:rPr>
          <w:lang w:val="pt-BR"/>
        </w:rPr>
        <w:t>Aprovada em: xx/xx/xxxx.</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t>BANCA EXAMINADORA</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w:t>
      </w:r>
    </w:p>
    <w:p>
      <w:pPr>
        <w:pStyle w:val="normal1"/>
        <w:widowControl/>
        <w:spacing w:lineRule="auto" w:line="240"/>
        <w:ind w:hanging="0"/>
        <w:jc w:val="center"/>
        <w:rPr>
          <w:lang w:val="pt-BR"/>
        </w:rPr>
      </w:pPr>
      <w:r>
        <w:rPr>
          <w:lang w:val="pt-BR"/>
        </w:rPr>
        <w:t>Prof. Dr. Carlos de Oliveira Caminha Neto. (Orientador)</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Estadual do Ceará (UECE)</w:t>
      </w:r>
    </w:p>
    <w:p>
      <w:pPr>
        <w:pStyle w:val="normal1"/>
        <w:widowControl/>
        <w:spacing w:lineRule="auto" w:line="288"/>
        <w:ind w:hanging="0"/>
        <w:jc w:val="left"/>
        <w:rPr>
          <w:lang w:val="pt-BR"/>
        </w:rPr>
      </w:pPr>
      <w:r>
        <w:rPr>
          <w:lang w:val="pt-BR"/>
        </w:rPr>
      </w:r>
    </w:p>
    <w:p>
      <w:pPr>
        <w:pStyle w:val="normal1"/>
        <w:jc w:val="center"/>
        <w:rPr>
          <w:b/>
          <w:bCs/>
          <w:lang w:val="pt-BR"/>
        </w:rPr>
      </w:pPr>
      <w:r>
        <w:rPr>
          <w:b/>
          <w:bCs/>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RESUMO</w:t>
      </w:r>
    </w:p>
    <w:p>
      <w:pPr>
        <w:pStyle w:val="normal1"/>
        <w:ind w:hanging="0"/>
        <w:rPr>
          <w:lang w:val="pt-BR"/>
        </w:rPr>
      </w:pPr>
      <w:r>
        <w:rPr>
          <w:rFonts w:eastAsia="Times New Roman" w:cs="Times New Roman"/>
          <w:lang w:val="pt-BR"/>
        </w:rPr>
        <w:t xml:space="preserve">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por meio da comparação entre o modelo YOLOv11m, empregado como detector especializado de objetos, e o modelo Gemma 3 27B-IT, utilizado como modelo visão-linguagem em regime zero-shot.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imagens com e sem resíduos visíveis. O YOLOv11m foi treinado por </w:t>
      </w:r>
      <w:r>
        <w:rPr>
          <w:rFonts w:eastAsia="Times New Roman" w:cs="Times New Roman"/>
          <w:i/>
          <w:iCs/>
          <w:lang w:val="pt-BR"/>
        </w:rPr>
        <w:t>fine-tuning</w:t>
      </w:r>
      <w:r>
        <w:rPr>
          <w:rFonts w:eastAsia="Times New Roman" w:cs="Times New Roman"/>
          <w:lang w:val="pt-BR"/>
        </w:rPr>
        <w:t xml:space="preserve"> para a classe única “lixo”, enquanto o Gemma 3 27B-IT foi avaliado sem treinamento específico na base do projeto. A comparação considerou métricas binárias, como acurácia, precisão, sensibilidade, especificidade, F1-score, taxa de falsos positivos, matriz de confusão, tempo de inferência e throughput. Nas condições experimentais adotadas e para a tarefa binária em nível de imagem, os resultados indicaram que o Gemma 3 27B-IT apresentou melhor desempenho preditivo, com maior acurácia, maior sensibilidade, maior especificidade, maior F1-score e menor taxa de falsos positivos. Em contrapartida, o YOLOv11m demonstrou maior eficiência computacional, processando imagens aproximadamente 141 vezes mais rápido. Concluiu-se que ambos apresentaram viabilidade técnico-experimental inicial, nas condições avaliadas para apoiar o monitoramento de resíduos urbanos, porém em regimes de uso distintos: o Gemma 3 27B-IT mostrou-se mais adequado para análises pontuais de maior confiabilidade, enquanto o YOLOv11m mostrou-se mais indicado para triagem em larga escala, tempo real e cenários que exigem rastreabilidade visual.</w:t>
      </w:r>
    </w:p>
    <w:p>
      <w:pPr>
        <w:pStyle w:val="normal1"/>
        <w:ind w:hanging="0"/>
        <w:rPr>
          <w:rFonts w:eastAsia="Times New Roman" w:cs="Times New Roman"/>
          <w:lang w:val="pt-BR"/>
        </w:rPr>
      </w:pPr>
      <w:r>
        <w:rPr>
          <w:rFonts w:eastAsia="Times New Roman" w:cs="Times New Roman"/>
          <w:lang w:val="pt-BR"/>
        </w:rPr>
      </w:r>
    </w:p>
    <w:p>
      <w:pPr>
        <w:pStyle w:val="normal1"/>
        <w:ind w:hanging="0"/>
        <w:rPr>
          <w:lang w:val="pt-BR"/>
        </w:rPr>
      </w:pPr>
      <w:r>
        <w:rPr>
          <w:rFonts w:eastAsia="Times New Roman" w:cs="Times New Roman"/>
          <w:lang w:val="pt-BR"/>
        </w:rPr>
        <w:t>Palavras-chave: inteligência artificial; gestão pública; resíduos urbanos; visão computacional; modelos visão-linguagem.</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ABSTRACT</w:t>
      </w:r>
    </w:p>
    <w:p>
      <w:pPr>
        <w:pStyle w:val="normal1"/>
        <w:ind w:hanging="0"/>
        <w:rPr>
          <w:color w:val="C9211E"/>
          <w:lang w:val="pt-BR"/>
        </w:rPr>
      </w:pPr>
      <w:r>
        <w:rPr>
          <w:rFonts w:eastAsia="Times New Roman" w:cs="Times New Roman"/>
          <w:color w:val="C9211E"/>
          <w:lang w:val="pt-BR"/>
        </w:rPr>
        <w:t>Urban waste management on public roads is a relevant challenge for Public Administration because it involves environmental, sanitary, operational and financial impacts. In this context, this study aimed to analyze the feasibility of using artificial intelligence to monitor urban waste in real images of Brazilian streets by comparing the YOLOv11m model, used as a specialized object detector, and the Gemma 3 27B-IT model, used as a vision-language model in a zero-shot setting. The research was characterized as applied, descriptive and exploratory, with a quantitative approach, guided by the hypothetical-deductive method and developed through an experimental-computational procedure. The experiment was carried out with 560 real images of Brazilian public roads, evenly distributed between images with and without visible waste. YOLOv11m was fine-tuned for the single class “waste”, while Gemma 3 27B-IT was evaluated without task-specific training on the project dataset. The comparison considered binary metrics, such as accuracy, precision, sensitivity, specificity, F1-score, false positive rate, confusion matrix, inference time and throughput. Under the adopted experimental conditions and for the binary image-level task, the results indicated that Gemma 3 27B-IT achieved better predictive performance, with higher accuracy, sensitivity, specificity and F1-score, as well as a lower false positive rate. Conversely, YOLOv11m showed greater computational efficiency, processing images approximately 141 times faster. It was concluded that both models are feasible for supporting urban waste monitoring, although under different usage regimes: Gemma 3 27B-IT was more suitable for punctual analyses requiring higher reliability, whereas YOLOv11m was more suitable for large-scale screening, real-time use and scenarios that require visual traceability.</w:t>
      </w:r>
    </w:p>
    <w:p>
      <w:pPr>
        <w:pStyle w:val="normal1"/>
        <w:ind w:hanging="0"/>
        <w:rPr>
          <w:color w:val="C9211E"/>
          <w:lang w:val="pt-BR"/>
        </w:rPr>
      </w:pPr>
      <w:r>
        <w:rPr>
          <w:rFonts w:eastAsia="Times New Roman" w:cs="Times New Roman"/>
          <w:color w:val="C9211E"/>
          <w:lang w:val="pt-BR"/>
        </w:rPr>
        <w:t>Keywords: artificial intelligence; public administration; urban waste; computer vision; vision-language models.</w:t>
      </w:r>
      <w:r>
        <w:br w:type="page"/>
      </w:r>
    </w:p>
    <w:p>
      <w:pPr>
        <w:pStyle w:val="normal1"/>
        <w:spacing w:before="0" w:after="0"/>
        <w:ind w:hanging="0"/>
        <w:jc w:val="center"/>
        <w:rPr>
          <w:lang w:val="pt-BR"/>
        </w:rPr>
      </w:pPr>
      <w:r>
        <w:rPr>
          <w:rFonts w:eastAsia="Times New Roman" w:cs="Times New Roman"/>
          <w:b/>
          <w:bCs/>
          <w:lang w:val="pt-BR"/>
        </w:rPr>
        <w:t>LISTA DE FIGURAS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Figura 1 – Curvas de treinamento do YOLOv11m — funções de perda e precisão de validação ao longo das 100 épocas</w:t>
      </w:r>
      <w:r>
        <w:rPr>
          <w:lang w:val="pt-BR"/>
        </w:rPr>
        <w:t>………………………………………………………………………</w:t>
      </w:r>
      <w:r>
        <w:rPr>
          <w:rFonts w:eastAsia="Times New Roman" w:cs="Times New Roman"/>
          <w:lang w:val="pt-BR"/>
        </w:rPr>
        <w:t>41</w:t>
      </w:r>
    </w:p>
    <w:p>
      <w:pPr>
        <w:pStyle w:val="normal1"/>
        <w:ind w:hanging="0"/>
        <w:jc w:val="left"/>
        <w:rPr>
          <w:lang w:val="pt-BR"/>
        </w:rPr>
      </w:pPr>
      <w:r>
        <w:rPr>
          <w:rFonts w:eastAsia="Times New Roman" w:cs="Times New Roman"/>
          <w:lang w:val="pt-BR"/>
        </w:rPr>
        <w:t>Figura 2 – Composição do conjunto de teste e distribuição de bounding boxes por imagem positiva</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3 – Amostras do conjunto de teste — linha superior: imagens com resíduos; linha inferior: imagens sem resíduos</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4 – Comparação de métricas preditivas entre YOLOv11m e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 xml:space="preserve">Figura 5 – Matrizes de confusão — classificação binária por imagem </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Figura 6 – Exemplos de acerto conjunto — imagens com resíduos detectadas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7 – Exemplos de acerto conjunto — imagens sem resíduos classificadas corretamente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8 – Exemplos de erro exclusivo do YOLOv11m — imagens com resíduos identificadas pelo VLM mas não pelo detector.……………………………….</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9 – Exemplo de erro exclusivo do VLM — imagem com resíduos detectada pelo YOLO mas não identificada pelo Gemma………………………………..</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10 – Exemplos de falso positivo exclusivo do YOLOv11m — cenas sem resíduos classificadas erroneamente pelo detector……………………</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11 – Exemplos de falso positivo exclusivo do Gemma 3 27B-IT — cenas sem resíduos classificadas erroneamente pelo VLM……………………</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12 – Exemplos de falso positivo de ambos os modelos — cenas sem resíduos classificadas erroneamente por YOLO e VLM……………………</w:t>
      </w:r>
      <w:r>
        <w:rPr>
          <w:lang w:val="pt-BR"/>
        </w:rPr>
        <w:t>.........................................</w:t>
      </w:r>
      <w:r>
        <w:rPr>
          <w:rFonts w:eastAsia="Times New Roman" w:cs="Times New Roman"/>
          <w:lang w:val="pt-BR"/>
        </w:rPr>
        <w:t>52</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QUADROS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Quadro 1 – Métricas e estatísticas utilizadas na avaliação</w:t>
      </w:r>
      <w:r>
        <w:rPr>
          <w:lang w:val="pt-BR"/>
        </w:rPr>
        <w:t>………………………………...…</w:t>
      </w:r>
      <w:r>
        <w:rPr>
          <w:rFonts w:eastAsia="Times New Roman" w:cs="Times New Roman"/>
          <w:lang w:val="pt-BR"/>
        </w:rPr>
        <w:t>36</w:t>
      </w:r>
    </w:p>
    <w:p>
      <w:pPr>
        <w:pStyle w:val="normal1"/>
        <w:ind w:hanging="0"/>
        <w:jc w:val="left"/>
        <w:rPr>
          <w:lang w:val="pt-BR"/>
        </w:rPr>
      </w:pPr>
      <w:r>
        <w:rPr>
          <w:rFonts w:eastAsia="Times New Roman" w:cs="Times New Roman"/>
          <w:lang w:val="pt-BR"/>
        </w:rPr>
        <w:t>Quadro 2 – Matriz de viabilidade dos modelos</w:t>
      </w:r>
      <w:r>
        <w:rPr>
          <w:lang w:val="pt-BR"/>
        </w:rPr>
        <w:t>………………………………………………</w:t>
      </w:r>
      <w:r>
        <w:rPr>
          <w:rFonts w:eastAsia="Times New Roman" w:cs="Times New Roman"/>
          <w:lang w:val="pt-BR"/>
        </w:rPr>
        <w:t>55</w:t>
      </w:r>
    </w:p>
    <w:p>
      <w:pPr>
        <w:pStyle w:val="normal1"/>
        <w:ind w:hanging="0"/>
        <w:jc w:val="left"/>
        <w:rPr>
          <w:lang w:val="pt-BR"/>
        </w:rPr>
      </w:pPr>
      <w:r>
        <w:rPr>
          <w:rFonts w:eastAsia="Times New Roman" w:cs="Times New Roman"/>
          <w:lang w:val="pt-BR"/>
        </w:rPr>
        <w:t>Quadro 3 – Síntese gerencial dos cenários de uso</w:t>
      </w:r>
      <w:r>
        <w:rPr>
          <w:lang w:val="pt-BR"/>
        </w:rPr>
        <w:t>……………………………………………</w:t>
      </w:r>
      <w:r>
        <w:rPr>
          <w:rFonts w:eastAsia="Times New Roman" w:cs="Times New Roman"/>
          <w:lang w:val="pt-BR"/>
        </w:rPr>
        <w:t>57</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TABELAS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Tabela 1 – Fontes de dados utilizadas no experimento</w:t>
      </w:r>
      <w:r>
        <w:rPr>
          <w:lang w:val="pt-BR"/>
        </w:rPr>
        <w:t>……………………………………….</w:t>
      </w:r>
      <w:r>
        <w:rPr>
          <w:rFonts w:eastAsia="Times New Roman" w:cs="Times New Roman"/>
          <w:lang w:val="pt-BR"/>
        </w:rPr>
        <w:t>31</w:t>
      </w:r>
    </w:p>
    <w:p>
      <w:pPr>
        <w:pStyle w:val="normal1"/>
        <w:ind w:hanging="0"/>
        <w:jc w:val="left"/>
        <w:rPr>
          <w:lang w:val="pt-BR"/>
        </w:rPr>
      </w:pPr>
      <w:r>
        <w:rPr>
          <w:rFonts w:eastAsia="Times New Roman" w:cs="Times New Roman"/>
          <w:lang w:val="pt-BR"/>
        </w:rPr>
        <w:t>Tabela 2 – Composição final dos conjuntos após preparação dos dados</w:t>
      </w:r>
      <w:r>
        <w:rPr>
          <w:lang w:val="pt-BR"/>
        </w:rPr>
        <w:t>……………………..</w:t>
      </w:r>
      <w:r>
        <w:rPr>
          <w:rFonts w:eastAsia="Times New Roman" w:cs="Times New Roman"/>
          <w:lang w:val="pt-BR"/>
        </w:rPr>
        <w:t>33</w:t>
      </w:r>
    </w:p>
    <w:p>
      <w:pPr>
        <w:pStyle w:val="normal1"/>
        <w:ind w:hanging="0"/>
        <w:jc w:val="left"/>
        <w:rPr>
          <w:lang w:val="pt-BR"/>
        </w:rPr>
      </w:pPr>
      <w:r>
        <w:rPr>
          <w:rFonts w:eastAsia="Times New Roman" w:cs="Times New Roman"/>
          <w:lang w:val="pt-BR"/>
        </w:rPr>
        <w:t>Tabela 3 – Composição dos conjuntos utilizados no experimento</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Tabela 4 – Comparação das métricas preditivas entre YOLOv11m e Gemma 3 27B-IT</w:t>
      </w:r>
      <w:r>
        <w:rPr>
          <w:lang w:val="pt-BR"/>
        </w:rPr>
        <w:t>…….</w:t>
      </w:r>
      <w:r>
        <w:rPr>
          <w:rFonts w:eastAsia="Times New Roman" w:cs="Times New Roman"/>
          <w:lang w:val="pt-BR"/>
        </w:rPr>
        <w:t>43</w:t>
      </w:r>
    </w:p>
    <w:p>
      <w:pPr>
        <w:pStyle w:val="normal1"/>
        <w:ind w:hanging="0"/>
        <w:jc w:val="left"/>
        <w:rPr>
          <w:lang w:val="pt-BR"/>
        </w:rPr>
      </w:pPr>
      <w:r>
        <w:rPr>
          <w:rFonts w:eastAsia="Times New Roman" w:cs="Times New Roman"/>
          <w:lang w:val="pt-BR"/>
        </w:rPr>
        <w:t>Tabela 5 – Matriz de confusão do YOLOv11m</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6 – Matriz de confusão do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7 – Análise de sensibilidade ao limiar de confiança (YOLOv11m)</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Tabela 8 – Métricas com intervalos de confiança de 95%</w:t>
      </w:r>
      <w:r>
        <w:rPr>
          <w:lang w:val="pt-BR"/>
        </w:rPr>
        <w:t>........................................................</w:t>
      </w:r>
      <w:r>
        <w:rPr>
          <w:rFonts w:eastAsia="Times New Roman" w:cs="Times New Roman"/>
          <w:lang w:val="pt-BR"/>
        </w:rPr>
        <w:t>46</w:t>
      </w:r>
    </w:p>
    <w:p>
      <w:pPr>
        <w:pStyle w:val="normal1"/>
        <w:ind w:hanging="0"/>
        <w:jc w:val="left"/>
        <w:rPr>
          <w:lang w:val="pt-BR"/>
        </w:rPr>
      </w:pPr>
      <w:r>
        <w:rPr>
          <w:rFonts w:eastAsia="Times New Roman" w:cs="Times New Roman"/>
          <w:lang w:val="pt-BR"/>
        </w:rPr>
        <w:t>Tabela 9 – Indicadores complementares de concordância e discriminação</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10 – Eficiência computacional dos modelos</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11 – Distribuição conjunta dos casos de acerto e erro………</w:t>
      </w:r>
      <w:r>
        <w:rPr>
          <w:lang w:val="pt-BR"/>
        </w:rPr>
        <w:t>…………………..…....</w:t>
      </w:r>
      <w:r>
        <w:rPr>
          <w:rFonts w:eastAsia="Times New Roman" w:cs="Times New Roman"/>
          <w:lang w:val="pt-BR"/>
        </w:rPr>
        <w:t>49</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ABREVIATURAS E SIGLAS</w:t>
      </w:r>
    </w:p>
    <w:p>
      <w:pPr>
        <w:pStyle w:val="normal1"/>
        <w:rPr>
          <w:lang w:val="pt-BR"/>
        </w:rPr>
      </w:pPr>
      <w:r>
        <w:rPr>
          <w:lang w:val="pt-BR"/>
        </w:rPr>
      </w:r>
    </w:p>
    <w:tbl>
      <w:tblPr>
        <w:tblStyle w:val="TableNormal"/>
        <w:tblW w:w="822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095"/>
        <w:gridCol w:w="4124"/>
      </w:tblGrid>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ABNT</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Associação Brasileira de Normas Técnicas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COCO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Common Objects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CUDA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Compute Unified Device Architecture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F1-score</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Medida harmônica entre precisão e sensibilidade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GPU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Graphics Processing Unit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IA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Inteligência artificial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JSON</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JavaScript Object Notation</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MCC</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Coeficiente de correlação de Matthews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PNRS</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Política Nacional de Resíduos Sólidos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RSU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Resíduos sólidos urbanos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TACO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Trash Annotations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VLM</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Vision-Language Model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YOLO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You Only Look Once</w:t>
            </w:r>
          </w:p>
        </w:tc>
      </w:tr>
    </w:tbl>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SUMÁRIO</w:t>
      </w:r>
    </w:p>
    <w:p>
      <w:pPr>
        <w:pStyle w:val="normal1"/>
        <w:rPr>
          <w:lang w:val="pt-BR"/>
        </w:rPr>
      </w:pPr>
      <w:r>
        <w:rPr>
          <w:lang w:val="pt-BR"/>
        </w:rPr>
      </w:r>
    </w:p>
    <w:p>
      <w:pPr>
        <w:pStyle w:val="normal1"/>
        <w:tabs>
          <w:tab w:val="clear" w:pos="720"/>
          <w:tab w:val="right" w:pos="8957" w:leader="none"/>
        </w:tabs>
        <w:ind w:hanging="0"/>
        <w:jc w:val="left"/>
        <w:rPr>
          <w:lang w:val="pt-BR"/>
        </w:rPr>
      </w:pPr>
      <w:r>
        <w:rPr>
          <w:rFonts w:eastAsia="Times New Roman" w:cs="Times New Roman"/>
          <w:lang w:val="pt-BR"/>
        </w:rPr>
        <w:t>1 INTRODUÇÃO</w:t>
        <w:tab/>
        <w:t>13</w:t>
      </w:r>
    </w:p>
    <w:p>
      <w:pPr>
        <w:pStyle w:val="normal1"/>
        <w:tabs>
          <w:tab w:val="clear" w:pos="720"/>
          <w:tab w:val="right" w:pos="8957" w:leader="none"/>
        </w:tabs>
        <w:ind w:hanging="0"/>
        <w:jc w:val="left"/>
        <w:rPr>
          <w:lang w:val="pt-BR"/>
        </w:rPr>
      </w:pPr>
      <w:r>
        <w:rPr>
          <w:rFonts w:eastAsia="Times New Roman" w:cs="Times New Roman"/>
          <w:lang w:val="pt-BR"/>
        </w:rPr>
        <w:t>2 REFERENCIAL TEÓRICO</w:t>
        <w:tab/>
        <w:t>16</w:t>
      </w:r>
    </w:p>
    <w:p>
      <w:pPr>
        <w:pStyle w:val="normal1"/>
        <w:tabs>
          <w:tab w:val="clear" w:pos="720"/>
          <w:tab w:val="right" w:pos="8957" w:leader="none"/>
        </w:tabs>
        <w:ind w:hanging="0" w:left="425"/>
        <w:jc w:val="left"/>
        <w:rPr>
          <w:lang w:val="pt-BR"/>
        </w:rPr>
      </w:pPr>
      <w:r>
        <w:rPr>
          <w:rFonts w:eastAsia="Times New Roman" w:cs="Times New Roman"/>
          <w:lang w:val="pt-BR"/>
        </w:rPr>
        <w:t>2.1 Gestão pública, resíduos sólidos urbanos e produção de informações</w:t>
        <w:tab/>
        <w:t>16</w:t>
      </w:r>
    </w:p>
    <w:p>
      <w:pPr>
        <w:pStyle w:val="normal1"/>
        <w:tabs>
          <w:tab w:val="clear" w:pos="720"/>
          <w:tab w:val="right" w:pos="8957" w:leader="none"/>
        </w:tabs>
        <w:ind w:hanging="0" w:left="425"/>
        <w:jc w:val="left"/>
        <w:rPr>
          <w:lang w:val="pt-BR"/>
        </w:rPr>
      </w:pPr>
      <w:r>
        <w:rPr>
          <w:rFonts w:eastAsia="Times New Roman" w:cs="Times New Roman"/>
          <w:lang w:val="pt-BR"/>
        </w:rPr>
        <w:t>2.2 Inteligência artificial, transformação digital e governança pública</w:t>
        <w:tab/>
        <w:t>18</w:t>
      </w:r>
    </w:p>
    <w:p>
      <w:pPr>
        <w:pStyle w:val="normal1"/>
        <w:tabs>
          <w:tab w:val="clear" w:pos="720"/>
          <w:tab w:val="right" w:pos="8957" w:leader="none"/>
        </w:tabs>
        <w:ind w:hanging="0" w:left="425"/>
        <w:jc w:val="left"/>
        <w:rPr>
          <w:lang w:val="pt-BR"/>
        </w:rPr>
      </w:pPr>
      <w:r>
        <w:rPr>
          <w:rFonts w:eastAsia="Times New Roman" w:cs="Times New Roman"/>
          <w:lang w:val="pt-BR"/>
        </w:rPr>
        <w:t>2.3 Visão computacional e detecção de objetos</w:t>
        <w:tab/>
        <w:t>20</w:t>
      </w:r>
    </w:p>
    <w:p>
      <w:pPr>
        <w:pStyle w:val="normal1"/>
        <w:tabs>
          <w:tab w:val="clear" w:pos="720"/>
          <w:tab w:val="right" w:pos="8957" w:leader="none"/>
        </w:tabs>
        <w:ind w:hanging="0" w:left="425"/>
        <w:jc w:val="left"/>
        <w:rPr>
          <w:lang w:val="pt-BR"/>
        </w:rPr>
      </w:pPr>
      <w:r>
        <w:rPr>
          <w:rFonts w:eastAsia="Times New Roman" w:cs="Times New Roman"/>
          <w:lang w:val="pt-BR"/>
        </w:rPr>
        <w:t>2.4 Detecção automatizada de resíduos urbanos</w:t>
        <w:tab/>
        <w:t>22</w:t>
      </w:r>
    </w:p>
    <w:p>
      <w:pPr>
        <w:pStyle w:val="normal1"/>
        <w:tabs>
          <w:tab w:val="clear" w:pos="720"/>
          <w:tab w:val="right" w:pos="8957" w:leader="none"/>
        </w:tabs>
        <w:ind w:hanging="0" w:left="425"/>
        <w:jc w:val="left"/>
        <w:rPr>
          <w:lang w:val="pt-BR"/>
        </w:rPr>
      </w:pPr>
      <w:r>
        <w:rPr>
          <w:rFonts w:eastAsia="Times New Roman" w:cs="Times New Roman"/>
          <w:lang w:val="pt-BR"/>
        </w:rPr>
        <w:t>2.5 Modelos visão-linguagem e classificação zero-shot</w:t>
        <w:tab/>
        <w:t>23</w:t>
      </w:r>
    </w:p>
    <w:p>
      <w:pPr>
        <w:pStyle w:val="normal1"/>
        <w:tabs>
          <w:tab w:val="clear" w:pos="720"/>
          <w:tab w:val="right" w:pos="8957" w:leader="none"/>
        </w:tabs>
        <w:ind w:hanging="0"/>
        <w:jc w:val="left"/>
        <w:rPr>
          <w:lang w:val="pt-BR"/>
        </w:rPr>
      </w:pPr>
      <w:r>
        <w:rPr>
          <w:rFonts w:eastAsia="Times New Roman" w:cs="Times New Roman"/>
          <w:lang w:val="pt-BR"/>
        </w:rPr>
        <w:t>3 METODOLOGIA</w:t>
        <w:tab/>
        <w:t>27</w:t>
      </w:r>
    </w:p>
    <w:p>
      <w:pPr>
        <w:pStyle w:val="normal1"/>
        <w:tabs>
          <w:tab w:val="clear" w:pos="720"/>
          <w:tab w:val="right" w:pos="8957" w:leader="none"/>
        </w:tabs>
        <w:ind w:hanging="0" w:left="425"/>
        <w:jc w:val="left"/>
        <w:rPr>
          <w:lang w:val="pt-BR"/>
        </w:rPr>
      </w:pPr>
      <w:r>
        <w:rPr>
          <w:rFonts w:eastAsia="Times New Roman" w:cs="Times New Roman"/>
          <w:lang w:val="pt-BR"/>
        </w:rPr>
        <w:t>3.1 Classificação da pesquisa</w:t>
        <w:tab/>
        <w:t>27</w:t>
      </w:r>
    </w:p>
    <w:p>
      <w:pPr>
        <w:pStyle w:val="normal1"/>
        <w:tabs>
          <w:tab w:val="clear" w:pos="720"/>
          <w:tab w:val="right" w:pos="8957" w:leader="none"/>
        </w:tabs>
        <w:ind w:hanging="0" w:left="425"/>
        <w:jc w:val="left"/>
        <w:rPr>
          <w:lang w:val="pt-BR"/>
        </w:rPr>
      </w:pPr>
      <w:r>
        <w:rPr>
          <w:rFonts w:eastAsia="Times New Roman" w:cs="Times New Roman"/>
          <w:lang w:val="pt-BR"/>
        </w:rPr>
        <w:t>3.2 Objeto de estudo e unidade de análise</w:t>
        <w:tab/>
        <w:t>28</w:t>
      </w:r>
    </w:p>
    <w:p>
      <w:pPr>
        <w:pStyle w:val="normal1"/>
        <w:tabs>
          <w:tab w:val="clear" w:pos="720"/>
          <w:tab w:val="right" w:pos="8957" w:leader="none"/>
        </w:tabs>
        <w:ind w:hanging="0" w:left="425"/>
        <w:jc w:val="left"/>
        <w:rPr>
          <w:lang w:val="pt-BR"/>
        </w:rPr>
      </w:pPr>
      <w:r>
        <w:rPr>
          <w:rFonts w:eastAsia="Times New Roman" w:cs="Times New Roman"/>
          <w:lang w:val="pt-BR"/>
        </w:rPr>
        <w:t>3.3 Modelos comparados</w:t>
        <w:tab/>
        <w:t>28</w:t>
      </w:r>
    </w:p>
    <w:p>
      <w:pPr>
        <w:pStyle w:val="normal1"/>
        <w:tabs>
          <w:tab w:val="clear" w:pos="720"/>
          <w:tab w:val="right" w:pos="8957" w:leader="none"/>
        </w:tabs>
        <w:ind w:hanging="0" w:left="425"/>
        <w:jc w:val="left"/>
        <w:rPr>
          <w:lang w:val="pt-BR"/>
        </w:rPr>
      </w:pPr>
      <w:r>
        <w:rPr>
          <w:rFonts w:eastAsia="Times New Roman" w:cs="Times New Roman"/>
          <w:lang w:val="pt-BR"/>
        </w:rPr>
        <w:t>3.4 Fontes de imagens e bases de dados utilizadas</w:t>
        <w:tab/>
        <w:t>29</w:t>
      </w:r>
    </w:p>
    <w:p>
      <w:pPr>
        <w:pStyle w:val="normal1"/>
        <w:tabs>
          <w:tab w:val="clear" w:pos="720"/>
          <w:tab w:val="right" w:pos="8957" w:leader="none"/>
        </w:tabs>
        <w:ind w:hanging="0" w:left="425"/>
        <w:jc w:val="left"/>
        <w:rPr>
          <w:lang w:val="pt-BR"/>
        </w:rPr>
      </w:pPr>
      <w:r>
        <w:rPr>
          <w:rFonts w:eastAsia="Times New Roman" w:cs="Times New Roman"/>
          <w:lang w:val="pt-BR"/>
        </w:rPr>
        <w:t>3.5 Critérios éticos, privacidade e uso das imagens</w:t>
        <w:tab/>
        <w:t>31</w:t>
      </w:r>
    </w:p>
    <w:p>
      <w:pPr>
        <w:pStyle w:val="normal1"/>
        <w:tabs>
          <w:tab w:val="clear" w:pos="720"/>
          <w:tab w:val="right" w:pos="8957" w:leader="none"/>
        </w:tabs>
        <w:ind w:hanging="0" w:left="425"/>
        <w:jc w:val="left"/>
        <w:rPr>
          <w:lang w:val="pt-BR"/>
        </w:rPr>
      </w:pPr>
      <w:r>
        <w:rPr>
          <w:rFonts w:eastAsia="Times New Roman" w:cs="Times New Roman"/>
          <w:lang w:val="pt-BR"/>
        </w:rPr>
        <w:t>3.6 Preparação e padronização dos dados</w:t>
        <w:tab/>
        <w:t>32</w:t>
      </w:r>
    </w:p>
    <w:p>
      <w:pPr>
        <w:pStyle w:val="normal1"/>
        <w:tabs>
          <w:tab w:val="clear" w:pos="720"/>
          <w:tab w:val="right" w:pos="8957" w:leader="none"/>
        </w:tabs>
        <w:ind w:hanging="0" w:left="425"/>
        <w:jc w:val="left"/>
        <w:rPr>
          <w:lang w:val="pt-BR"/>
        </w:rPr>
      </w:pPr>
      <w:r>
        <w:rPr>
          <w:rFonts w:eastAsia="Times New Roman" w:cs="Times New Roman"/>
          <w:lang w:val="pt-BR"/>
        </w:rPr>
        <w:t>3.7 Treinamento do YOLOv11m</w:t>
        <w:tab/>
        <w:t>34</w:t>
      </w:r>
    </w:p>
    <w:p>
      <w:pPr>
        <w:pStyle w:val="normal1"/>
        <w:tabs>
          <w:tab w:val="clear" w:pos="720"/>
          <w:tab w:val="right" w:pos="8957" w:leader="none"/>
        </w:tabs>
        <w:ind w:hanging="0" w:left="425"/>
        <w:jc w:val="left"/>
        <w:rPr>
          <w:lang w:val="pt-BR"/>
        </w:rPr>
      </w:pPr>
      <w:r>
        <w:rPr>
          <w:rFonts w:eastAsia="Times New Roman" w:cs="Times New Roman"/>
          <w:lang w:val="pt-BR"/>
        </w:rPr>
        <w:t>3.8 Inferência com Gemma 3 27B-IT</w:t>
        <w:tab/>
        <w:t>35</w:t>
      </w:r>
    </w:p>
    <w:p>
      <w:pPr>
        <w:pStyle w:val="normal1"/>
        <w:tabs>
          <w:tab w:val="clear" w:pos="720"/>
          <w:tab w:val="right" w:pos="8957" w:leader="none"/>
        </w:tabs>
        <w:ind w:hanging="0" w:left="425"/>
        <w:jc w:val="left"/>
        <w:rPr>
          <w:lang w:val="pt-BR"/>
        </w:rPr>
      </w:pPr>
      <w:r>
        <w:rPr>
          <w:rFonts w:eastAsia="Times New Roman" w:cs="Times New Roman"/>
          <w:lang w:val="pt-BR"/>
        </w:rPr>
        <w:t>3.9 Métricas de avaliação</w:t>
        <w:tab/>
        <w:t>35</w:t>
      </w:r>
    </w:p>
    <w:p>
      <w:pPr>
        <w:pStyle w:val="normal1"/>
        <w:tabs>
          <w:tab w:val="clear" w:pos="720"/>
          <w:tab w:val="right" w:pos="8957" w:leader="none"/>
        </w:tabs>
        <w:ind w:hanging="0" w:left="425"/>
        <w:jc w:val="left"/>
        <w:rPr>
          <w:lang w:val="pt-BR"/>
        </w:rPr>
      </w:pPr>
      <w:r>
        <w:rPr>
          <w:rFonts w:eastAsia="Times New Roman" w:cs="Times New Roman"/>
          <w:lang w:val="pt-BR"/>
        </w:rPr>
        <w:t>3.10 Critério de comparação</w:t>
        <w:tab/>
        <w:t>37</w:t>
      </w:r>
    </w:p>
    <w:p>
      <w:pPr>
        <w:pStyle w:val="normal1"/>
        <w:tabs>
          <w:tab w:val="clear" w:pos="720"/>
          <w:tab w:val="right" w:pos="8957" w:leader="none"/>
        </w:tabs>
        <w:ind w:hanging="0" w:left="425"/>
        <w:jc w:val="left"/>
        <w:rPr>
          <w:lang w:val="pt-BR"/>
        </w:rPr>
      </w:pPr>
      <w:r>
        <w:rPr>
          <w:rFonts w:eastAsia="Times New Roman" w:cs="Times New Roman"/>
          <w:lang w:val="pt-BR"/>
        </w:rPr>
        <w:t>3.11 Limitações metodológicas</w:t>
        <w:tab/>
        <w:t>37</w:t>
      </w:r>
    </w:p>
    <w:p>
      <w:pPr>
        <w:pStyle w:val="normal1"/>
        <w:tabs>
          <w:tab w:val="clear" w:pos="720"/>
          <w:tab w:val="right" w:pos="8957" w:leader="none"/>
        </w:tabs>
        <w:ind w:hanging="0"/>
        <w:jc w:val="left"/>
        <w:rPr>
          <w:lang w:val="pt-BR"/>
        </w:rPr>
      </w:pPr>
      <w:r>
        <w:rPr>
          <w:rFonts w:eastAsia="Times New Roman" w:cs="Times New Roman"/>
          <w:lang w:val="pt-BR"/>
        </w:rPr>
        <w:t>4 RESULTADOS E DISCUSSÃO</w:t>
        <w:tab/>
        <w:t>40</w:t>
      </w:r>
    </w:p>
    <w:p>
      <w:pPr>
        <w:pStyle w:val="normal1"/>
        <w:tabs>
          <w:tab w:val="clear" w:pos="720"/>
          <w:tab w:val="right" w:pos="8957" w:leader="none"/>
        </w:tabs>
        <w:ind w:hanging="0" w:left="425"/>
        <w:jc w:val="left"/>
        <w:rPr>
          <w:lang w:val="pt-BR"/>
        </w:rPr>
      </w:pPr>
      <w:r>
        <w:rPr>
          <w:rFonts w:eastAsia="Times New Roman" w:cs="Times New Roman"/>
          <w:lang w:val="pt-BR"/>
        </w:rPr>
        <w:t>4.1 Caracterização do experimento</w:t>
        <w:tab/>
        <w:t>40</w:t>
      </w:r>
    </w:p>
    <w:p>
      <w:pPr>
        <w:pStyle w:val="normal1"/>
        <w:tabs>
          <w:tab w:val="clear" w:pos="720"/>
          <w:tab w:val="right" w:pos="8957" w:leader="none"/>
        </w:tabs>
        <w:ind w:hanging="0" w:left="425"/>
        <w:jc w:val="left"/>
        <w:rPr>
          <w:lang w:val="pt-BR"/>
        </w:rPr>
      </w:pPr>
      <w:r>
        <w:rPr>
          <w:rFonts w:eastAsia="Times New Roman" w:cs="Times New Roman"/>
          <w:lang w:val="pt-BR"/>
        </w:rPr>
        <w:t>4.2 Composição e integridade dos dados</w:t>
        <w:tab/>
        <w:t>41</w:t>
      </w:r>
    </w:p>
    <w:p>
      <w:pPr>
        <w:pStyle w:val="normal1"/>
        <w:tabs>
          <w:tab w:val="clear" w:pos="720"/>
          <w:tab w:val="right" w:pos="8957" w:leader="none"/>
        </w:tabs>
        <w:ind w:hanging="0" w:left="425"/>
        <w:jc w:val="left"/>
        <w:rPr>
          <w:lang w:val="pt-BR"/>
        </w:rPr>
      </w:pPr>
      <w:r>
        <w:rPr>
          <w:rFonts w:eastAsia="Times New Roman" w:cs="Times New Roman"/>
          <w:lang w:val="pt-BR"/>
        </w:rPr>
        <w:t>4.3 Desempenho preditivo dos modelos</w:t>
        <w:tab/>
        <w:t>43</w:t>
      </w:r>
    </w:p>
    <w:p>
      <w:pPr>
        <w:pStyle w:val="normal1"/>
        <w:tabs>
          <w:tab w:val="clear" w:pos="720"/>
          <w:tab w:val="right" w:pos="8957" w:leader="none"/>
        </w:tabs>
        <w:ind w:hanging="0" w:left="425"/>
        <w:jc w:val="left"/>
        <w:rPr>
          <w:lang w:val="pt-BR"/>
        </w:rPr>
      </w:pPr>
      <w:r>
        <w:rPr>
          <w:rFonts w:eastAsia="Times New Roman" w:cs="Times New Roman"/>
          <w:lang w:val="pt-BR"/>
        </w:rPr>
        <w:t>4.4 Significância estatística dos resultados</w:t>
        <w:tab/>
        <w:t>46</w:t>
      </w:r>
    </w:p>
    <w:p>
      <w:pPr>
        <w:pStyle w:val="normal1"/>
        <w:tabs>
          <w:tab w:val="clear" w:pos="720"/>
          <w:tab w:val="right" w:pos="8957" w:leader="none"/>
        </w:tabs>
        <w:ind w:hanging="0" w:left="425"/>
        <w:jc w:val="left"/>
        <w:rPr>
          <w:lang w:val="pt-BR"/>
        </w:rPr>
      </w:pPr>
      <w:r>
        <w:rPr>
          <w:rFonts w:eastAsia="Times New Roman" w:cs="Times New Roman"/>
          <w:lang w:val="pt-BR"/>
        </w:rPr>
        <w:t>4.5 Eficiência computacional</w:t>
        <w:tab/>
        <w:t>47</w:t>
      </w:r>
    </w:p>
    <w:p>
      <w:pPr>
        <w:pStyle w:val="normal1"/>
        <w:tabs>
          <w:tab w:val="clear" w:pos="720"/>
          <w:tab w:val="right" w:pos="8957" w:leader="none"/>
        </w:tabs>
        <w:ind w:hanging="0" w:left="425"/>
        <w:jc w:val="left"/>
        <w:rPr>
          <w:lang w:val="pt-BR"/>
        </w:rPr>
      </w:pPr>
      <w:r>
        <w:rPr>
          <w:rFonts w:eastAsia="Times New Roman" w:cs="Times New Roman"/>
          <w:lang w:val="pt-BR"/>
        </w:rPr>
        <w:t>4.6 Teste da hipótese de pesquisa</w:t>
        <w:tab/>
        <w:t>48</w:t>
      </w:r>
    </w:p>
    <w:p>
      <w:pPr>
        <w:pStyle w:val="normal1"/>
        <w:tabs>
          <w:tab w:val="clear" w:pos="720"/>
          <w:tab w:val="right" w:pos="8957" w:leader="none"/>
        </w:tabs>
        <w:ind w:hanging="0" w:left="425"/>
        <w:jc w:val="left"/>
        <w:rPr>
          <w:lang w:val="pt-BR"/>
        </w:rPr>
      </w:pPr>
      <w:r>
        <w:rPr>
          <w:rFonts w:eastAsia="Times New Roman" w:cs="Times New Roman"/>
          <w:lang w:val="pt-BR"/>
        </w:rPr>
        <w:t>4.7 Análise de erros e complementaridade entre os modelos</w:t>
        <w:tab/>
        <w:t>49</w:t>
      </w:r>
    </w:p>
    <w:p>
      <w:pPr>
        <w:pStyle w:val="normal1"/>
        <w:tabs>
          <w:tab w:val="clear" w:pos="720"/>
          <w:tab w:val="right" w:pos="8957" w:leader="none"/>
        </w:tabs>
        <w:ind w:hanging="0" w:left="425"/>
        <w:jc w:val="left"/>
        <w:rPr>
          <w:lang w:val="pt-BR"/>
        </w:rPr>
      </w:pPr>
      <w:r>
        <w:rPr>
          <w:rFonts w:eastAsia="Times New Roman" w:cs="Times New Roman"/>
          <w:lang w:val="pt-BR"/>
        </w:rPr>
        <w:t>4.8 Discussão dos resultados à luz do referencial teórico</w:t>
        <w:tab/>
        <w:t>54</w:t>
      </w:r>
    </w:p>
    <w:p>
      <w:pPr>
        <w:pStyle w:val="normal1"/>
        <w:tabs>
          <w:tab w:val="clear" w:pos="720"/>
          <w:tab w:val="right" w:pos="8957" w:leader="none"/>
        </w:tabs>
        <w:ind w:hanging="0" w:left="425"/>
        <w:jc w:val="left"/>
        <w:rPr>
          <w:lang w:val="pt-BR"/>
        </w:rPr>
      </w:pPr>
      <w:r>
        <w:rPr>
          <w:rFonts w:eastAsia="Times New Roman" w:cs="Times New Roman"/>
          <w:lang w:val="pt-BR"/>
        </w:rPr>
        <w:t>4.9 Viabilidade para a gestão pública</w:t>
        <w:tab/>
        <w:t>55</w:t>
      </w:r>
    </w:p>
    <w:p>
      <w:pPr>
        <w:pStyle w:val="normal1"/>
        <w:tabs>
          <w:tab w:val="clear" w:pos="720"/>
          <w:tab w:val="right" w:pos="8957" w:leader="none"/>
        </w:tabs>
        <w:ind w:hanging="0" w:left="425"/>
        <w:jc w:val="left"/>
        <w:rPr>
          <w:lang w:val="pt-BR"/>
        </w:rPr>
      </w:pPr>
      <w:r>
        <w:rPr>
          <w:rFonts w:eastAsia="Times New Roman" w:cs="Times New Roman"/>
          <w:lang w:val="pt-BR"/>
        </w:rPr>
        <w:t>4.10 Limitações dos resultados</w:t>
        <w:tab/>
        <w:t>58</w:t>
      </w:r>
    </w:p>
    <w:p>
      <w:pPr>
        <w:pStyle w:val="normal1"/>
        <w:tabs>
          <w:tab w:val="clear" w:pos="720"/>
          <w:tab w:val="right" w:pos="8957" w:leader="none"/>
        </w:tabs>
        <w:ind w:hanging="0" w:left="425"/>
        <w:jc w:val="left"/>
        <w:rPr>
          <w:lang w:val="pt-BR"/>
        </w:rPr>
      </w:pPr>
      <w:r>
        <w:rPr>
          <w:rFonts w:eastAsia="Times New Roman" w:cs="Times New Roman"/>
          <w:lang w:val="pt-BR"/>
        </w:rPr>
        <w:t>4.11 Síntese da discussão</w:t>
        <w:tab/>
        <w:t>59</w:t>
      </w:r>
    </w:p>
    <w:p>
      <w:pPr>
        <w:pStyle w:val="normal1"/>
        <w:tabs>
          <w:tab w:val="clear" w:pos="720"/>
          <w:tab w:val="right" w:pos="8957" w:leader="none"/>
        </w:tabs>
        <w:ind w:hanging="0"/>
        <w:jc w:val="left"/>
        <w:rPr>
          <w:lang w:val="pt-BR"/>
        </w:rPr>
      </w:pPr>
      <w:r>
        <w:rPr>
          <w:rFonts w:eastAsia="Times New Roman" w:cs="Times New Roman"/>
          <w:lang w:val="pt-BR"/>
        </w:rPr>
        <w:t>5 CONSIDERAÇÕES FINAIS</w:t>
        <w:tab/>
        <w:t>61</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134" w:gutter="0" w:header="709" w:top="1701" w:footer="709" w:bottom="1134"/>
          <w:pgNumType w:start="14" w:fmt="decimal"/>
          <w:formProt w:val="false"/>
          <w:textDirection w:val="lrTb"/>
          <w:docGrid w:type="default" w:linePitch="100" w:charSpace="0"/>
        </w:sectPr>
        <w:pStyle w:val="normal1"/>
        <w:tabs>
          <w:tab w:val="clear" w:pos="720"/>
          <w:tab w:val="right" w:pos="8957" w:leader="none"/>
        </w:tabs>
        <w:ind w:hanging="0"/>
        <w:jc w:val="left"/>
        <w:rPr>
          <w:lang w:val="pt-BR"/>
        </w:rPr>
      </w:pPr>
      <w:r>
        <w:rPr>
          <w:rFonts w:eastAsia="Times New Roman" w:cs="Times New Roman"/>
          <w:lang w:val="pt-BR"/>
        </w:rPr>
        <w:t>REFERÊNCIAS</w:t>
        <w:tab/>
        <w:t>65</w:t>
      </w:r>
    </w:p>
    <w:p>
      <w:pPr>
        <w:pStyle w:val="Heading1"/>
        <w:numPr>
          <w:ilvl w:val="0"/>
          <w:numId w:val="1"/>
        </w:numPr>
        <w:rPr>
          <w:lang w:val="pt-BR"/>
        </w:rPr>
      </w:pPr>
      <w:r>
        <w:rPr>
          <w:lang w:val="pt-BR"/>
        </w:rPr>
        <w:t>1 INTRODUÇÃO</w:t>
      </w:r>
    </w:p>
    <w:p>
      <w:pPr>
        <w:pStyle w:val="BodyText"/>
        <w:widowControl w:val="false"/>
        <w:suppressAutoHyphens w:val="true"/>
        <w:bidi w:val="0"/>
        <w:ind w:firstLine="709"/>
        <w:jc w:val="both"/>
        <w:rPr>
          <w:lang w:val="pt-BR"/>
        </w:rPr>
      </w:pPr>
      <w:r>
        <w:rPr>
          <w:lang w:val="pt-BR"/>
        </w:rPr>
        <w:t>A gestão dos resíduos sólidos urbanos constitui um desafio relevante para a administração pública brasileira, pois envolve impactos ambientais, sanitários, operacionais e financeiros, além de demandar atenção contínua dos gestores municipais diante da complexidade dos serviços de limpeza urbana e manejo de resíduos sólidos (FERREIRA; BARROS, 2021). Nesse contexto, a Política Nacional de Resíduos Sólidos estabelece princípios e instrumentos para a gestão integrada e o gerenciamento ambientalmente adequado dos resíduos sólidos, reforçando a responsabilidade do poder público na organização desses serviços (BRASIL, 2010).</w:t>
      </w:r>
    </w:p>
    <w:p>
      <w:pPr>
        <w:pStyle w:val="BodyText"/>
        <w:widowControl w:val="false"/>
        <w:suppressAutoHyphens w:val="true"/>
        <w:bidi w:val="0"/>
        <w:ind w:firstLine="709"/>
        <w:jc w:val="both"/>
        <w:rPr>
          <w:lang w:val="pt-BR"/>
        </w:rPr>
      </w:pPr>
      <w:r>
        <w:rPr>
          <w:lang w:val="pt-B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pPr>
        <w:pStyle w:val="BodyText"/>
        <w:widowControl w:val="false"/>
        <w:suppressAutoHyphens w:val="true"/>
        <w:bidi w:val="0"/>
        <w:ind w:firstLine="709"/>
        <w:jc w:val="both"/>
        <w:rPr>
          <w:lang w:val="pt-BR"/>
        </w:rPr>
      </w:pPr>
      <w:r>
        <w:rPr>
          <w:lang w:val="pt-B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uma vez que métodos de visão computacional possibilitam a extração e interpretação de informações a partir de imagens e vídeos (Szeliski, 2022). Contudo, sua adoção não deve ser tratada como solução automática, pois depende de desempenho preditivo, eficiência computacional, confiabilidade dos resultados e adequação ao contexto institucional, aspectos relevantes na discussão sobre o uso de inteligência artificial no setor público (Zuiderwijk; Chen; Salem, 2021).</w:t>
      </w:r>
    </w:p>
    <w:p>
      <w:pPr>
        <w:pStyle w:val="BodyText"/>
        <w:widowControl w:val="false"/>
        <w:suppressAutoHyphens w:val="true"/>
        <w:bidi w:val="0"/>
        <w:ind w:firstLine="709"/>
        <w:jc w:val="both"/>
        <w:rPr/>
      </w:pPr>
      <w:r>
        <w:rPr>
          <w:shd w:fill="2A6099" w:val="clear"/>
          <w:lang w:val="pt-BR"/>
        </w:rPr>
        <w:t>A relevância desta pesquisa está em aproximar o debate sobre inteligência artificial das necessidades práticas da administração pública urbana</w:t>
      </w:r>
      <w:r>
        <w:rPr>
          <w:lang w:val="pt-BR"/>
        </w:rPr>
        <w:t>.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pPr>
        <w:pStyle w:val="BodyText"/>
        <w:widowControl w:val="false"/>
        <w:suppressAutoHyphens w:val="true"/>
        <w:bidi w:val="0"/>
        <w:ind w:firstLine="709"/>
        <w:jc w:val="both"/>
        <w:rPr>
          <w:lang w:val="pt-BR"/>
        </w:rPr>
      </w:pPr>
      <w:r>
        <w:rPr>
          <w:lang w:val="pt-BR"/>
        </w:rP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pPr>
        <w:pStyle w:val="BodyText"/>
        <w:widowControl w:val="false"/>
        <w:suppressAutoHyphens w:val="true"/>
        <w:bidi w:val="0"/>
        <w:ind w:firstLine="709"/>
        <w:jc w:val="both"/>
        <w:rPr>
          <w:lang w:val="pt-BR"/>
        </w:rPr>
      </w:pPr>
      <w:r>
        <w:rPr>
          <w:lang w:val="pt-BR"/>
        </w:rPr>
        <w:t>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zero-shot, especialmente quanto à velocidade de inferência e ao controle de falsos positivos. Essa hipótese foi verificada a partir da análise dos resultados obtidos no experimento computacional.</w:t>
      </w:r>
    </w:p>
    <w:p>
      <w:pPr>
        <w:pStyle w:val="BodyText"/>
        <w:widowControl w:val="false"/>
        <w:suppressAutoHyphens w:val="true"/>
        <w:bidi w:val="0"/>
        <w:ind w:firstLine="709"/>
        <w:jc w:val="both"/>
        <w:rPr>
          <w:lang w:val="pt-BR"/>
        </w:rPr>
      </w:pPr>
      <w:r>
        <w:rPr>
          <w:lang w:val="pt-BR"/>
        </w:rPr>
        <w:t>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revisar um conjunto de teste de imagens reais de vias públicas brasileiras, balanceado quanto à presença e ausência de resíduos visíveis; mensurar e comparar o desempenho preditivo do YOLOv11m, ajustado por fine-tuning, e do Gemma 3 27B-IT, em regime zero-shot, por meio de métricas binárias e testes estatísticos para amostras pareadas; mensurar e comparar a eficiência computacional dos modelos quanto à latência e ao throughput; e caracterizar os padrões de erro de cada modelo e discutir suas implicações para a adoção da tecnologia pela gestão pública municipal.</w:t>
      </w:r>
    </w:p>
    <w:p>
      <w:pPr>
        <w:pStyle w:val="BodyText"/>
        <w:widowControl w:val="false"/>
        <w:suppressAutoHyphens w:val="true"/>
        <w:bidi w:val="0"/>
        <w:ind w:firstLine="709"/>
        <w:jc w:val="both"/>
        <w:rPr>
          <w:lang w:val="pt-BR"/>
        </w:rPr>
      </w:pPr>
      <w:r>
        <w:rPr>
          <w:lang w:val="pt-BR"/>
        </w:rPr>
        <w:t>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recall, especificidade, F1-score, taxa de falsos positivos, matriz de confusão e tempo de inferência. Esses indicadores permitiram avaliar o desempenho preditivo e a eficiência computacional dos modelos, em conformidade com o problema e os objetivos da pesquisa.</w:t>
      </w:r>
    </w:p>
    <w:p>
      <w:pPr>
        <w:pStyle w:val="BodyText"/>
        <w:widowControl w:val="false"/>
        <w:suppressAutoHyphens w:val="true"/>
        <w:bidi w:val="0"/>
        <w:ind w:firstLine="709"/>
        <w:jc w:val="both"/>
        <w:rPr>
          <w:lang w:val="pt-BR"/>
        </w:rPr>
      </w:pPr>
      <w:r>
        <w:rPr>
          <w:lang w:val="pt-BR"/>
        </w:rPr>
        <w:t>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pPr>
        <w:pStyle w:val="normal1"/>
        <w:rPr>
          <w:lang w:val="pt-BR"/>
        </w:rPr>
      </w:pPr>
      <w:r>
        <w:rPr>
          <w:lang w:val="pt-BR"/>
        </w:rPr>
      </w:r>
      <w:r>
        <w:br w:type="page"/>
      </w:r>
    </w:p>
    <w:p>
      <w:pPr>
        <w:pStyle w:val="Heading1"/>
        <w:numPr>
          <w:ilvl w:val="0"/>
          <w:numId w:val="1"/>
        </w:numPr>
        <w:spacing w:before="0" w:after="240"/>
        <w:rPr>
          <w:lang w:val="pt-BR"/>
        </w:rPr>
      </w:pPr>
      <w:r>
        <w:rPr>
          <w:lang w:val="pt-BR"/>
        </w:rPr>
        <w:t>2 REFERENCIAL TEÓRICO</w:t>
      </w:r>
    </w:p>
    <w:p>
      <w:pPr>
        <w:pStyle w:val="BodyText"/>
        <w:widowControl w:val="false"/>
        <w:suppressAutoHyphens w:val="true"/>
        <w:bidi w:val="0"/>
        <w:ind w:firstLine="709"/>
        <w:jc w:val="both"/>
        <w:rPr>
          <w:lang w:val="pt-BR"/>
        </w:rPr>
      </w:pPr>
      <w:r>
        <w:rPr>
          <w:lang w:val="pt-BR"/>
        </w:rPr>
        <w:t>Este capítulo apresenta os fundamentos teóricos que sustentam a análise da aplicação da inteligência artificial ao monitoramento de resíduos urbanos. Inicialmente, discutem-se a gestão pública dos resíduos sólidos urbanos e a produção de informações para o planejamento municipal. Em seguida, abordam-se a inteligência artificial na administração pública, a visão computacional, a detecção automatizada de resíduos e os modelos visão-linguagem, estabelecendo as bases conceituais para a comparação entre YOLOv11m e Gemma 3 27B-IT.</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2.1 Gestão pública, resíduos sólidos urbanos e produção de informações</w:t>
      </w:r>
    </w:p>
    <w:p>
      <w:pPr>
        <w:pStyle w:val="BodyText"/>
        <w:widowControl w:val="false"/>
        <w:suppressAutoHyphens w:val="true"/>
        <w:bidi w:val="0"/>
        <w:ind w:firstLine="709"/>
        <w:jc w:val="both"/>
        <w:rPr>
          <w:lang w:val="pt-BR"/>
        </w:rPr>
      </w:pPr>
      <w:r>
        <w:rPr>
          <w:lang w:val="pt-BR"/>
        </w:rPr>
        <w:t>A gestão dos resíduos sólidos urbanos constitui uma atribuição relevante da administração pública municipal, pois envolve planejamento, regulação, fiscalização, prestação de serviços, controle de custos e proteção ambiental e sanitária (BRASIL, 2010; FERREIRA; BARROS, 2021).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pPr>
        <w:pStyle w:val="BodyText"/>
        <w:widowControl w:val="false"/>
        <w:suppressAutoHyphens w:val="true"/>
        <w:bidi w:val="0"/>
        <w:ind w:firstLine="709"/>
        <w:jc w:val="both"/>
        <w:rPr>
          <w:lang w:val="pt-BR"/>
        </w:rPr>
      </w:pPr>
      <w:r>
        <w:rPr>
          <w:lang w:val="pt-BR"/>
        </w:rPr>
        <w:t>A literatura brasileira indica que os resíduos sólidos urbanos permanecem como um desafio estrutural para os municípios. Nascimento et al. (2015) apontam que a geração de resíduos aumentou no país e que a efetivação da Política Nacional de Resíduos Sólidos depende de avanços na coleta, no tratamento, na destinação final e na participação social nos processos de separação e redução dos resíduos.</w:t>
      </w:r>
    </w:p>
    <w:p>
      <w:pPr>
        <w:pStyle w:val="BodyText"/>
        <w:widowControl w:val="false"/>
        <w:suppressAutoHyphens w:val="true"/>
        <w:bidi w:val="0"/>
        <w:ind w:firstLine="709"/>
        <w:jc w:val="both"/>
        <w:rPr>
          <w:lang w:val="pt-BR"/>
        </w:rPr>
      </w:pPr>
      <w:r>
        <w:rPr>
          <w:lang w:val="pt-BR"/>
        </w:rPr>
        <w:t>Embora a Política Nacional de Resíduos Sólidos estabeleça princípios, objetivos e instrumentos para a gestão integrada e o gerenciamento ambientalmente adequado dos resíduos, sua implementação depende da capacidade dos municípios de converter as diretrizes legais em ações contínuas de planejamento, diagnóstico e prestação dos serviços públicos (Brasil, 2010). Nesse sentido, a existência do marco normativo não elimina as limitações institucionais, financeiras e operacionais enfrentadas pelas administrações municipais.</w:t>
      </w:r>
    </w:p>
    <w:p>
      <w:pPr>
        <w:pStyle w:val="BodyText"/>
        <w:widowControl w:val="false"/>
        <w:suppressAutoHyphens w:val="true"/>
        <w:bidi w:val="0"/>
        <w:ind w:firstLine="709"/>
        <w:jc w:val="both"/>
        <w:rPr>
          <w:lang w:val="pt-BR"/>
        </w:rPr>
      </w:pPr>
      <w:r>
        <w:rPr>
          <w:lang w:val="pt-BR"/>
        </w:rPr>
        <w:t>Freitas, Pires e Benincá (2024) constatam que, em 2022, aproximadamente 75% dos municípios brasileiros possuíam alguma iniciativa de coleta seletiva, embora muitas apresentassem caráter pontual e cobertura limitada. No mesmo período, cerca de 61% dos resíduos sólidos urbanos coletados foram encaminhados a aterros sanitários, enquanto aproximadamente 39% receberam destinação inadequada, incluindo lixões e aterros controlados. Esses resultados indicam que a efetividade da política pública depende não apenas da existência de iniciativas formais, mas também de infraestrutura, recursos administrativos, diagnóstico territorial e continuidade das ações.</w:t>
      </w:r>
    </w:p>
    <w:p>
      <w:pPr>
        <w:pStyle w:val="BodyText"/>
        <w:widowControl w:val="false"/>
        <w:suppressAutoHyphens w:val="true"/>
        <w:bidi w:val="0"/>
        <w:ind w:firstLine="709"/>
        <w:jc w:val="both"/>
        <w:rPr>
          <w:lang w:val="pt-BR"/>
        </w:rPr>
      </w:pPr>
      <w:r>
        <w:rPr>
          <w:lang w:val="pt-BR"/>
        </w:rPr>
        <w:t>No espaço urbano, o descarte irregular de resíduos constitui um problema recorrente para a administração municipal, pois impõe desafios ao planejamento, à fiscalização e à execução dos serviços de limpeza pública (Fortaleza, 2012; Garcia, 2021). A presença de resíduos em ruas, calçadas, terrenos, canais e outros espaços públicos compromete a paisagem, dificulta a circulação de pessoas, pode agravar problemas de drenagem e amplia a demanda pelos serviços municipais de coleta e limpeza (Fortaleza, 2012).</w:t>
      </w:r>
    </w:p>
    <w:p>
      <w:pPr>
        <w:pStyle w:val="BodyText"/>
        <w:rPr/>
      </w:pPr>
      <w:r>
        <w:rPr/>
        <w:t>Cardoso e Cardoso (2016) destacam que a problemática dos resíduos produz diferentes impactos e exige estratégias voltadas à redução de danos. De modo complementar, Mucelin e Bellini (2008) evidenciam os efeitos ambientais provocados pela disposição inadequada de resíduos no ecossistema urbano. Dessa forma, o descarte irregular não se limita à dimensão ambiental, pois também interfere na organização dos serviços públicos, na qualidade dos espaços coletivos e nas condições de vida da população.</w:t>
      </w:r>
    </w:p>
    <w:p>
      <w:pPr>
        <w:pStyle w:val="BodyText"/>
        <w:widowControl w:val="false"/>
        <w:suppressAutoHyphens w:val="true"/>
        <w:bidi w:val="0"/>
        <w:ind w:firstLine="709"/>
        <w:jc w:val="both"/>
        <w:rPr>
          <w:lang w:val="pt-BR"/>
        </w:rPr>
      </w:pPr>
      <w:r>
        <w:rPr>
          <w:lang w:val="pt-B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pPr>
        <w:pStyle w:val="BodyText"/>
        <w:widowControl w:val="false"/>
        <w:suppressAutoHyphens w:val="true"/>
        <w:bidi w:val="0"/>
        <w:ind w:firstLine="709"/>
        <w:jc w:val="both"/>
        <w:rPr>
          <w:lang w:val="pt-BR"/>
        </w:rPr>
      </w:pPr>
      <w:r>
        <w:rPr>
          <w:lang w:val="pt-BR"/>
        </w:rPr>
        <w:t>Nesse contexto, a produção de informações territorializadas pode apoiar decisões públicas mais direcionadas. Lu (2019), ao analisar o uso de big data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pPr>
        <w:pStyle w:val="BodyText"/>
        <w:widowControl w:val="false"/>
        <w:suppressAutoHyphens w:val="true"/>
        <w:bidi w:val="0"/>
        <w:ind w:firstLine="709"/>
        <w:jc w:val="both"/>
        <w:rPr>
          <w:lang w:val="pt-BR"/>
        </w:rPr>
      </w:pPr>
      <w:r>
        <w:rPr>
          <w:lang w:val="pt-B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2.2 Inteligência artificial, transformação digital e governança pública</w:t>
      </w:r>
    </w:p>
    <w:p>
      <w:pPr>
        <w:pStyle w:val="BodyText"/>
        <w:widowControl w:val="false"/>
        <w:suppressAutoHyphens w:val="true"/>
        <w:bidi w:val="0"/>
        <w:ind w:firstLine="709"/>
        <w:jc w:val="both"/>
        <w:rPr>
          <w:lang w:val="pt-BR"/>
        </w:rPr>
      </w:pPr>
      <w:r>
        <w:rPr>
          <w:lang w:val="pt-BR"/>
        </w:rPr>
        <w:t>A inteligência artificial pode ser compreendida como uma das tecnologias associadas à transformação digital na Administração Pública, por sua capacidade de processar dados, automatizar atividades e apoiar decisões administrativas (Pacheco, 2025). A autora observa que a IA vem sendo cada vez mais utilizada no setor público, mas sua adoção exige atenção a desafios éticos, de governança de dados, privacidade, segurança, vieses e responsabilização decisória. Assim, a IA não deve ser analisada apenas como inovação tecnológica, mas como parte de um processo mais amplo de transformação organizacional da gestão pública.</w:t>
      </w:r>
    </w:p>
    <w:p>
      <w:pPr>
        <w:pStyle w:val="BodyText"/>
        <w:widowControl w:val="false"/>
        <w:suppressAutoHyphens w:val="true"/>
        <w:bidi w:val="0"/>
        <w:ind w:firstLine="709"/>
        <w:jc w:val="both"/>
        <w:rPr>
          <w:lang w:val="pt-BR"/>
        </w:rPr>
      </w:pPr>
      <w:r>
        <w:rPr>
          <w:lang w:val="pt-BR"/>
        </w:rPr>
        <w:t>Zuiderwijk,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w:t>
      </w:r>
    </w:p>
    <w:p>
      <w:pPr>
        <w:pStyle w:val="BodyText"/>
        <w:widowControl w:val="false"/>
        <w:suppressAutoHyphens w:val="true"/>
        <w:bidi w:val="0"/>
        <w:ind w:firstLine="709"/>
        <w:jc w:val="both"/>
        <w:rPr>
          <w:lang w:val="pt-BR"/>
        </w:rPr>
      </w:pPr>
      <w:r>
        <w:rPr>
          <w:lang w:val="pt-BR"/>
        </w:rPr>
        <w:t>Na Administração Pública, a literatura atribui à IA benefícios como economia de custos, apoio à decisão, melhor uso de dados, novos subsídios para políticas públicas, melhoria da eficiência, da efetividade e da prestação de serviços (Madan; Ashok, 2025).</w:t>
      </w:r>
    </w:p>
    <w:p>
      <w:pPr>
        <w:pStyle w:val="BodyText"/>
        <w:widowControl w:val="false"/>
        <w:suppressAutoHyphens w:val="true"/>
        <w:bidi w:val="0"/>
        <w:ind w:firstLine="709"/>
        <w:jc w:val="both"/>
        <w:rPr>
          <w:lang w:val="pt-BR"/>
        </w:rPr>
      </w:pPr>
      <w:r>
        <w:rPr>
          <w:lang w:val="pt-BR"/>
        </w:rPr>
        <w:t>Apesar desses benefícios potenciais, a adoção de IA pelo setor público deve ser analisada criticamente. Mišić, van Est e Kool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pPr>
        <w:pStyle w:val="BodyText"/>
        <w:widowControl w:val="false"/>
        <w:suppressAutoHyphens w:val="true"/>
        <w:bidi w:val="0"/>
        <w:ind w:firstLine="709"/>
        <w:jc w:val="both"/>
        <w:rPr>
          <w:lang w:val="pt-BR"/>
        </w:rPr>
      </w:pPr>
      <w:r>
        <w:rPr>
          <w:lang w:val="pt-BR"/>
        </w:rPr>
        <w:t>As abordagens de Reis, Espírito Santo e Melão (2019), Zuiderwijk, Chen e Salem (2021), Madan e Ashok (2025) e Mišić, van Est e Kool (2025) convergem ao indicar que a IA pode produzir benefícios administrativos, mas sua adoção envolve escolhas institucionais. Enquanto parte da literatura enfatiza oportunidades de eficiência e melhoria de serviços, outra parte chama atenção para riscos de confiança, accountability, transparência e responsabilização. Assim, o uso de IA na gestão pública deve ser examinado como instrumento condicionado por finalidades públicas, arranjos de governança e critérios de avaliação.</w:t>
      </w:r>
    </w:p>
    <w:p>
      <w:pPr>
        <w:pStyle w:val="BodyText"/>
        <w:widowControl w:val="false"/>
        <w:suppressAutoHyphens w:val="true"/>
        <w:bidi w:val="0"/>
        <w:ind w:firstLine="709"/>
        <w:jc w:val="both"/>
        <w:rPr>
          <w:lang w:val="pt-BR"/>
        </w:rPr>
      </w:pPr>
      <w:r>
        <w:rPr>
          <w:lang w:val="pt-BR"/>
        </w:rPr>
        <w:t>No plano técnico, o deep learning constitui uma das abordagens centrais da inteligência artificial contemporânea. Segundo Goodfellow, Bengio e Courville (2016), o aprendizado profundo reúne métodos capazes de aprender representações em múltiplos níveis a partir de dados. LeCun, Bengio e Hinton (2015) destacam que essa abordagem se tornou especialmente relevante em tarefas como reconhecimento de fala, reconhecimento visual e processamento de imagens, em razão de sua capacidade de aprender padrões complexos.</w:t>
      </w:r>
    </w:p>
    <w:p>
      <w:pPr>
        <w:pStyle w:val="BodyText"/>
        <w:widowControl w:val="false"/>
        <w:suppressAutoHyphens w:val="true"/>
        <w:bidi w:val="0"/>
        <w:ind w:firstLine="709"/>
        <w:jc w:val="both"/>
        <w:rPr>
          <w:lang w:val="pt-BR"/>
        </w:rPr>
      </w:pPr>
      <w:r>
        <w:rPr>
          <w:lang w:val="pt-BR"/>
        </w:rPr>
        <w:t>A visão computacional, por sua vez, constitui área voltada à extração e interpretação de informações a partir de imagens e vídeos. Szeliski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2.3 Visão computacional e detecção de objetos</w:t>
      </w:r>
    </w:p>
    <w:p>
      <w:pPr>
        <w:pStyle w:val="BodyText"/>
        <w:widowControl w:val="false"/>
        <w:suppressAutoHyphens w:val="true"/>
        <w:bidi w:val="0"/>
        <w:ind w:firstLine="709"/>
        <w:jc w:val="both"/>
        <w:rPr>
          <w:lang w:val="pt-BR"/>
        </w:rPr>
      </w:pPr>
      <w:r>
        <w:rPr>
          <w:lang w:val="pt-BR"/>
        </w:rPr>
        <w:t xml:space="preserve">A visão computacional é uma área da inteligência artificial dedicada ao desenvolvimento de métodos capazes de extrair, interpretar e utilizar informações provenientes de imagens e vídeos, sendo aplicada em tarefas como detecção, classificação e segmentação de objetos em contextos visuais complexos, inclusive na classificação automatizada de resíduos sólidos (FOTOVVATIKHAH et al., 2025). Segundo Jiao et al. (2019), a detecção de objetos constitui um dos ramos mais relevantes e desafiadores da visão computacional, aplicado a tarefas como videomonitoramento de segurança e direção autônoma, cujo propósito é localizar instâncias de objetos de determinada classe em imagens. </w:t>
      </w:r>
    </w:p>
    <w:p>
      <w:pPr>
        <w:pStyle w:val="BodyText"/>
        <w:widowControl w:val="false"/>
        <w:suppressAutoHyphens w:val="true"/>
        <w:bidi w:val="0"/>
        <w:ind w:firstLine="709"/>
        <w:jc w:val="both"/>
        <w:rPr>
          <w:lang w:val="pt-BR"/>
        </w:rPr>
      </w:pPr>
      <w:r>
        <w:rPr>
          <w:lang w:val="pt-BR"/>
        </w:rPr>
        <w:t>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sendo essa abordagem recorrente em aplicações de deep learning voltadas à identificação automatizada de resíduos (ABDU; MOHD NOOR, 2022). Conforme Liu et al. (2020), as técnicas de aprendizado profundo emergiram como estratégia poderosa para aprender representações de características diretamente dos dados, conduzindo a avanços expressivos na detecção genérica de objetos. Redmon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pPr>
        <w:pStyle w:val="BodyText"/>
        <w:widowControl w:val="false"/>
        <w:suppressAutoHyphens w:val="true"/>
        <w:bidi w:val="0"/>
        <w:ind w:firstLine="709"/>
        <w:jc w:val="both"/>
        <w:rPr>
          <w:lang w:val="pt-BR"/>
        </w:rPr>
      </w:pPr>
      <w:r>
        <w:rPr>
          <w:lang w:val="pt-BR"/>
        </w:rPr>
        <w:t>O YOLO tornou-se uma das famílias de modelos mais conhecidas em detecção de objetos por sua proposta de realizar inferência de forma unificada e rápida, característica que favorece aplicações em tempo real, inclusive em tarefas de detecção automatizada de resíduos (ZHANG; ZHU; GAN, 2024). Redmon et al. (2016) mostram que o modelo original processava imagens em tempo real, embora também apresentasse limitações, especialmente na localização precisa de alguns objetos e na detecção de objetos pequenos.</w:t>
      </w:r>
    </w:p>
    <w:p>
      <w:pPr>
        <w:pStyle w:val="BodyText"/>
        <w:widowControl w:val="false"/>
        <w:suppressAutoHyphens w:val="true"/>
        <w:bidi w:val="0"/>
        <w:ind w:firstLine="709"/>
        <w:jc w:val="both"/>
        <w:rPr>
          <w:lang w:val="pt-BR"/>
        </w:rPr>
      </w:pPr>
      <w:r>
        <w:rPr>
          <w:lang w:val="pt-BR"/>
        </w:rPr>
        <w:t>Ao longo do tempo, a família YOLO passou por diferentes evoluções arquiteturais. Terven,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pPr>
        <w:pStyle w:val="BodyText"/>
        <w:widowControl w:val="false"/>
        <w:suppressAutoHyphens w:val="true"/>
        <w:bidi w:val="0"/>
        <w:ind w:firstLine="709"/>
        <w:jc w:val="both"/>
        <w:rPr>
          <w:lang w:val="pt-BR"/>
        </w:rPr>
      </w:pPr>
      <w:r>
        <w:rPr>
          <w:lang w:val="pt-BR"/>
        </w:rPr>
        <w:t>A avaliação de modelos de detecção envolve critérios capazes de indicar se a identificação visual é consistente e se o processamento ocorre em tempo compatível com a aplicação pretendida. Em estudos de detecção de resíduos com deep learning, essa avaliação costuma considerar métricas associadas à capacidade de localização e classificação dos objetos, bem como ao desempenho computacional do modelo (ABDU; MOHD NOOR, 2022). Kaur e Singh (2023) ressaltam que a avaliação de detectores deve considerar conjuntamente métricas como precisão, recall e interseção sobre união, ao mesmo tempo em que enfrenta desafios persistentes relacionados a oclusões, variações de escala e capacidade de processamento em tempo real.</w:t>
      </w:r>
    </w:p>
    <w:p>
      <w:pPr>
        <w:pStyle w:val="BodyText"/>
        <w:widowControl w:val="false"/>
        <w:suppressAutoHyphens w:val="true"/>
        <w:bidi w:val="0"/>
        <w:ind w:firstLine="709"/>
        <w:jc w:val="both"/>
        <w:rPr>
          <w:lang w:val="pt-BR"/>
        </w:rPr>
      </w:pPr>
      <w:r>
        <w:rPr>
          <w:lang w:val="pt-BR"/>
        </w:rPr>
        <w:t>Dessa forma, a visão computacional e a detecção de objetos constituem a base teórica e técnica para o uso de modelos computacionais em tarefas de identificação visual em imagens urbanas. Esses conceitos explicam como imagens podem ser convertidas em dados analisáveis e por que modelos especializados, como os baseados em YOLO, são adequados a aplicações que demandam localização explícita dos objetos detectados e rapidez no processamento.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2.4 Detecção automatizada de resíduos urbanos</w:t>
      </w:r>
    </w:p>
    <w:p>
      <w:pPr>
        <w:pStyle w:val="BodyText"/>
        <w:widowControl w:val="false"/>
        <w:suppressAutoHyphens w:val="true"/>
        <w:bidi w:val="0"/>
        <w:ind w:firstLine="709"/>
        <w:jc w:val="both"/>
        <w:rPr>
          <w:lang w:val="pt-BR"/>
        </w:rPr>
      </w:pPr>
      <w:r>
        <w:rPr>
          <w:lang w:val="pt-BR"/>
        </w:rPr>
        <w:t>A detecção automatizada de resíduos urbanos representa uma aplicação específica da visão computacional voltada à identificação de lixo, descarte irregular ou materiais descartados em ambientes reais, permitindo apoiar processos de monitoramento ambiental e gestão de resíduos por meio de modelos de deep learning (ABDU; MOHD NOOR, 2022). Estudos sobre detecção de resíduos com aprendizado profundo indicam que modelos de visão computacional podem ser aplicados em cenários urbanos e naturais, embora enfrentem desafios associados à complexidade visual desses ambientes (Majchrowska et al., 2022; Córdova et al., 2022). Essa aplicação aproxima os avanços técnicos em deep learning das necessidades práticas da gestão urbana, pois permite investigar se imagens de ruas, calçadas, terrenos, canais ou outros espaços públicos podem ser utilizadas como insumo para monitoramento, fiscalização e planejamento dos serviços de limpeza urbana.</w:t>
      </w:r>
    </w:p>
    <w:p>
      <w:pPr>
        <w:pStyle w:val="BodyText"/>
        <w:widowControl w:val="false"/>
        <w:suppressAutoHyphens w:val="true"/>
        <w:bidi w:val="0"/>
        <w:ind w:firstLine="709"/>
        <w:jc w:val="both"/>
        <w:rPr>
          <w:lang w:val="pt-BR"/>
        </w:rPr>
      </w:pPr>
      <w:r>
        <w:rPr>
          <w:lang w:val="pt-BR"/>
        </w:rPr>
        <w:t>O uso de deep learning para detecção de resíduos tem sido explorado em diferentes contextos. Majchrowska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Mask R-CNN, EfficientDet, RetinaNet e YOLO-v5, além de considerar o uso em dispositivos com menor capacidade de processamento, como smartphones.</w:t>
      </w:r>
    </w:p>
    <w:p>
      <w:pPr>
        <w:pStyle w:val="BodyText"/>
        <w:widowControl w:val="false"/>
        <w:suppressAutoHyphens w:val="true"/>
        <w:bidi w:val="0"/>
        <w:ind w:firstLine="709"/>
        <w:jc w:val="both"/>
        <w:rPr>
          <w:lang w:val="pt-BR"/>
        </w:rPr>
      </w:pPr>
      <w:r>
        <w:rPr>
          <w:lang w:val="pt-BR"/>
        </w:rPr>
        <w:t>Proença e Simões (2020) destacam a importância de bases de dados anotadas para o desenvolvimento de modelos de detecção automatizada de resíduos. Nesse contexto, os autores apresentam o TACO, uma base aberta composta por imagens de lixo em ambientes reais, com anotações de instâncias e taxonomia hierárquica. Sua relevância está em aproximar o treinamento dos modelos das condições encontradas em contextos urbanos, nos quais os resíduos podem aparecer deformados, fragmentados, envelhecidos, transparentes ou parcialmente camuflados no cenário (PROENÇA; SIMÕES, 2020).</w:t>
      </w:r>
    </w:p>
    <w:p>
      <w:pPr>
        <w:pStyle w:val="BodyText"/>
        <w:widowControl w:val="false"/>
        <w:suppressAutoHyphens w:val="true"/>
        <w:bidi w:val="0"/>
        <w:ind w:firstLine="709"/>
        <w:jc w:val="both"/>
        <w:rPr>
          <w:lang w:val="pt-BR"/>
        </w:rPr>
      </w:pPr>
      <w:r>
        <w:rPr>
          <w:lang w:val="pt-BR"/>
        </w:rPr>
        <w:t>Estudos aplicados com YOLO também demonstram o potencial da detecção automatizada de resíduos. Zailan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pPr>
        <w:pStyle w:val="BodyText"/>
        <w:widowControl w:val="false"/>
        <w:suppressAutoHyphens w:val="true"/>
        <w:bidi w:val="0"/>
        <w:ind w:firstLine="709"/>
        <w:jc w:val="both"/>
        <w:rPr>
          <w:lang w:val="pt-BR"/>
        </w:rPr>
      </w:pPr>
      <w:r>
        <w:rPr>
          <w:lang w:val="pt-BR"/>
        </w:rPr>
        <w:t>Ren,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w:t>
      </w:r>
    </w:p>
    <w:p>
      <w:pPr>
        <w:pStyle w:val="BodyText"/>
        <w:widowControl w:val="false"/>
        <w:suppressAutoHyphens w:val="true"/>
        <w:bidi w:val="0"/>
        <w:ind w:firstLine="709"/>
        <w:jc w:val="both"/>
        <w:rPr>
          <w:lang w:val="pt-BR"/>
        </w:rPr>
      </w:pPr>
      <w:r>
        <w:rPr>
          <w:lang w:val="pt-BR"/>
        </w:rPr>
        <w:t>Um modelo tecnicamente sofisticado não garante, por si só, melhoria administrativa, pois a adoção de inteligência artificial no setor público precisa considerar desempenho, riscos, implementação, impactos e adequação institucional (Zuiderwijk; Chen; Salem, 2021).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 uma vez que a governança de IA em serviços públicos deve articular efetividade, responsabilidade, controle e valores públicos (Mišić; Van Est; Kool, 2025).</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2.5 Modelos visão-linguagem e classificação zero-shot</w:t>
      </w:r>
    </w:p>
    <w:p>
      <w:pPr>
        <w:pStyle w:val="BodyText"/>
        <w:widowControl w:val="false"/>
        <w:suppressAutoHyphens w:val="true"/>
        <w:bidi w:val="0"/>
        <w:ind w:firstLine="709"/>
        <w:jc w:val="both"/>
        <w:rPr/>
      </w:pPr>
      <w:r>
        <w:rPr>
          <w:lang w:val="pt-BR"/>
        </w:rPr>
        <w:t xml:space="preserve">Os modelos visão-linguagem, conhecidos como Vision-Language Models (VLMs), representam uma abordagem recente em inteligência artificial multimodal, baseada na integração entre imagens e linguagem natural (RADFORD et al., 2021; LI et al., 2023). Segundo Zhang et al. (2024), esses modelos diferem de abordagens treinadas apenas com imagens ou apenas com texto por buscarem aprender relações entre elementos visuais e descrições linguísticas, geralmente a partir de grandes conjuntos de pares imagem-texto. Esse paradigma apoia-se no pré-treinamento multimodal em larga escala, permitindo que o modelo associe representações visuais a </w:t>
      </w:r>
      <w:r>
        <w:rPr>
          <w:rStyle w:val="Emphasis"/>
          <w:lang w:val="pt-BR"/>
        </w:rPr>
        <w:t>prompts</w:t>
      </w:r>
      <w:r>
        <w:rPr>
          <w:lang w:val="pt-BR"/>
        </w:rPr>
        <w:t xml:space="preserve"> textuais e realize tarefas de reconhecimento visual sem necessariamente passar por </w:t>
      </w:r>
      <w:r>
        <w:rPr>
          <w:rStyle w:val="Emphasis"/>
          <w:lang w:val="pt-BR"/>
        </w:rPr>
        <w:t>fine-tuning</w:t>
      </w:r>
      <w:r>
        <w:rPr>
          <w:lang w:val="pt-BR"/>
        </w:rPr>
        <w:t xml:space="preserve"> específico para cada tarefa.</w:t>
      </w:r>
    </w:p>
    <w:p>
      <w:pPr>
        <w:pStyle w:val="BodyText"/>
        <w:widowControl w:val="false"/>
        <w:suppressAutoHyphens w:val="true"/>
        <w:bidi w:val="0"/>
        <w:ind w:firstLine="709"/>
        <w:jc w:val="both"/>
        <w:rPr>
          <w:lang w:val="pt-BR"/>
        </w:rPr>
      </w:pPr>
      <w:r>
        <w:rPr>
          <w:lang w:val="pt-BR"/>
        </w:rPr>
        <w:t>A capacidade de generalização zero-shot é amplamente discutida na literatura de aprendizado de máquina e visão computacional, especialmente em abordagens que buscam reconhecer classes ou executar tarefas sem exemplos rotulados específicos no treinamento (XIAN et al., 2019). No contexto dos modelos visão-linguagem, essa capacidade ganhou destaque com arquiteturas que alinham imagens e descrições textuais, permitindo que categorias visuais sejam inferidas a partir de comandos ou descrições em linguagem natural (RADFORD et al., 2021). Essa capacidade torna os VLMs atraentes para aplicações em que há escassez de dados anotados ou necessidade de adaptação rápida a novos contextos (Zhang et al., 2024).</w:t>
      </w:r>
    </w:p>
    <w:p>
      <w:pPr>
        <w:pStyle w:val="BodyText"/>
        <w:widowControl w:val="false"/>
        <w:suppressAutoHyphens w:val="true"/>
        <w:bidi w:val="0"/>
        <w:ind w:firstLine="709"/>
        <w:jc w:val="both"/>
        <w:rPr>
          <w:lang w:val="pt-BR"/>
        </w:rPr>
      </w:pPr>
      <w:r>
        <w:rPr>
          <w:lang w:val="pt-BR"/>
        </w:rPr>
        <w:t>A literatura recente também aponta desafios dos modelos visão-linguagem. Li et al. (2025) destacam que VLMs de grande porte enfrentam problemas relacionados à avaliação, alinhamento, segurança e alucinações,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pPr>
        <w:pStyle w:val="BodyText"/>
        <w:widowControl w:val="false"/>
        <w:suppressAutoHyphens w:val="true"/>
        <w:bidi w:val="0"/>
        <w:ind w:firstLine="709"/>
        <w:jc w:val="both"/>
        <w:rPr>
          <w:lang w:val="pt-BR"/>
        </w:rPr>
      </w:pPr>
      <w:r>
        <w:rPr>
          <w:lang w:val="pt-BR"/>
        </w:rPr>
        <w:t>Em tarefas de gestão urbana, a comparação entre um detector especializado e um modelo visão-linguagem generalista deve considerar não apenas a capacidade de reconhecer resíduos, mas também critérios operacionais como estabilidade das respostas, tempo de inferência, custo computacional e controle sobre o resultado (TORNEIRO et al., 2025; MALLA; BAZLI; ARASHPOUR, 2026). Embora VLMs possam ser utilizados para classificar imagens relacionadas a resíduos, sua capacidade de localização precisa depende da arquitetura e do método empregado, sendo o visual grounding ainda um desafio relevante em modelos multimodais (FUNK et al., 2025; RAJABI; KOSECKA, 2023; WAN et al., 2024). Em contraste, detectores de objetos são mais diretamente orientados à localização visual, pois retornam caixas delimitadoras que podem apoiar auditoria, mapeamento e validação humana.</w:t>
      </w:r>
    </w:p>
    <w:p>
      <w:pPr>
        <w:pStyle w:val="BodyText"/>
        <w:widowControl w:val="false"/>
        <w:suppressAutoHyphens w:val="true"/>
        <w:bidi w:val="0"/>
        <w:ind w:firstLine="709"/>
        <w:jc w:val="both"/>
        <w:rPr>
          <w:lang w:val="pt-BR"/>
        </w:rPr>
      </w:pPr>
      <w:r>
        <w:rPr>
          <w:lang w:val="pt-BR"/>
        </w:rPr>
        <w:t>Dessa forma, o referencial teórico permite compreender a comparação entre YOLOv11m e Gemma 3 27B-IT como o confronto entre dois paradigmas distintos de inteligência artificial aplicada à interpretação de imagens: de um lado, detectores especializados de objetos, associados à localização visual e à eficiência computacional; de outro, modelos visão-linguagem, associados à interpretação multimodal e à classificação orientada por prompts. Essa articulação é relevante porque o monitoramento de resíduos urbanos exige não apenas desempenho preditivo, mas também velocidade, controle de erros, rastreabilidade, custo operacional e adequação ao uso público da tecnologia (Redmon et al., 2016; Terven; Córdova-Esparza; Romero-González, 2023; Zhang et al., 2024; Li et al., 2025).</w:t>
      </w:r>
      <w:r>
        <w:br w:type="page"/>
      </w:r>
    </w:p>
    <w:p>
      <w:pPr>
        <w:pStyle w:val="Heading1"/>
        <w:numPr>
          <w:ilvl w:val="0"/>
          <w:numId w:val="1"/>
        </w:numPr>
        <w:spacing w:before="0" w:after="240"/>
        <w:rPr>
          <w:color w:val="000000"/>
          <w:lang w:val="pt-BR"/>
        </w:rPr>
      </w:pPr>
      <w:r>
        <w:rPr>
          <w:color w:val="000000"/>
          <w:lang w:val="pt-BR"/>
        </w:rPr>
        <w:t>3 METODOLOGIA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 Classificação da pesquisa</w:t>
      </w:r>
    </w:p>
    <w:p>
      <w:pPr>
        <w:pStyle w:val="BodyText"/>
        <w:widowControl w:val="false"/>
        <w:suppressAutoHyphens w:val="true"/>
        <w:bidi w:val="0"/>
        <w:ind w:firstLine="709"/>
        <w:jc w:val="both"/>
        <w:rPr>
          <w:lang w:val="pt-BR"/>
        </w:rPr>
      </w:pPr>
      <w:r>
        <w:rPr>
          <w:lang w:val="pt-BR"/>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conforme a sistematização metodológica proposta por Gil (2010) e Marconi e Lakatos (2011), além de elementos complementares necessários à reprodutibilidade do estudo, como unidade de análise, fontes de dados, instrumentos de coleta, métricas e etapas de execução.</w:t>
      </w:r>
    </w:p>
    <w:p>
      <w:pPr>
        <w:pStyle w:val="BodyText"/>
        <w:widowControl w:val="false"/>
        <w:suppressAutoHyphens w:val="true"/>
        <w:bidi w:val="0"/>
        <w:ind w:firstLine="709"/>
        <w:jc w:val="both"/>
        <w:rPr>
          <w:lang w:val="pt-BR"/>
        </w:rPr>
      </w:pPr>
      <w:r>
        <w:rPr>
          <w:lang w:val="pt-BR"/>
        </w:rPr>
        <w:t>Quanto à finalidade, a pesquisa foi aplicada, pois avaliou a viabilidade de modelos de inteligência artificial como instrumentos potenciais de apoio ao monitoramento de resíduos urbanos em vias públicas. De acordo com Gil (2010), pesquisas aplicadas direcionam conhecimentos a problemas específicos e de interesse prático. Embora não se tenha implementado diretamente uma política pública municipal, investigou-se uma solução tecnológica vinculada a um problema concreto da gestão urbana: a identificação automatizada de resíduos em imagens reais de ruas brasileiras.</w:t>
      </w:r>
    </w:p>
    <w:p>
      <w:pPr>
        <w:pStyle w:val="BodyText"/>
        <w:widowControl w:val="false"/>
        <w:suppressAutoHyphens w:val="true"/>
        <w:bidi w:val="0"/>
        <w:ind w:firstLine="709"/>
        <w:jc w:val="both"/>
        <w:rPr>
          <w:lang w:val="pt-BR"/>
        </w:rPr>
      </w:pPr>
      <w:r>
        <w:rPr>
          <w:lang w:val="pt-BR"/>
        </w:rPr>
        <w:t>Quanto aos objetivos, a pesquisa assumiu caráter descritivo e exploratório. Segundo Gil (2010), a pesquisa descritiva tem como finalidade descrever características de determinado fenômeno ou estabelecer relações entre variáveis, enquanto a pesquisa exploratória busca proporcionar maior familiaridade com o problema investigado. Neste estudo, a pesquisa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pPr>
        <w:pStyle w:val="BodyText"/>
        <w:widowControl w:val="false"/>
        <w:suppressAutoHyphens w:val="true"/>
        <w:bidi w:val="0"/>
        <w:ind w:firstLine="709"/>
        <w:jc w:val="both"/>
        <w:rPr>
          <w:lang w:val="pt-BR"/>
        </w:rPr>
      </w:pPr>
      <w:r>
        <w:rPr>
          <w:lang w:val="pt-BR"/>
        </w:rPr>
        <w:t>A pesquisa também foi exploratória, pois examinou uma possibilidade tecnológica ainda em consolidação no contexto da administração pública. Essa classificação foi adequada porque o estudo buscou ampliar a compreensão sobre a viabilidade de duas abordagens distintas de IA, um detector especializado e um modelo visão-linguagem generalista, diante de uma tarefa aplicada à Administração Pública.</w:t>
      </w:r>
    </w:p>
    <w:p>
      <w:pPr>
        <w:pStyle w:val="BodyText"/>
        <w:widowControl w:val="false"/>
        <w:suppressAutoHyphens w:val="true"/>
        <w:bidi w:val="0"/>
        <w:ind w:firstLine="709"/>
        <w:jc w:val="both"/>
        <w:rPr>
          <w:lang w:val="pt-BR"/>
        </w:rPr>
      </w:pPr>
      <w:r>
        <w:rPr>
          <w:lang w:val="pt-BR"/>
        </w:rPr>
        <w:t>Quanto à abordagem, tratou-se de pesquisa quantitativa, pois os resultados foram analisados por meio de métricas numéricas, como acurácia, precisão, recall, especificidade, F1-score, taxa de falsos positivos, matriz de confusão, tempo de inferência e throughput. Conforme Marconi e Lakatos (2011), a abordagem quantitativa apoia-se na mensuração e no tratamento numérico dos dados, permitindo análise objetiva dos fenômenos investigados. A abordagem quantitativa foi compatível com a proposta do estudo, uma vez que a comparação entre os modelos dependeu da mensuração objetiva de desempenho preditivo e eficiência computacional.</w:t>
      </w:r>
    </w:p>
    <w:p>
      <w:pPr>
        <w:pStyle w:val="BodyText"/>
        <w:widowControl w:val="false"/>
        <w:suppressAutoHyphens w:val="true"/>
        <w:bidi w:val="0"/>
        <w:ind w:firstLine="709"/>
        <w:jc w:val="both"/>
        <w:rPr>
          <w:lang w:val="pt-BR"/>
        </w:rPr>
      </w:pPr>
      <w:r>
        <w:rPr>
          <w:lang w:val="pt-BR"/>
        </w:rPr>
        <w:t>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zero-shot, especialmente quanto ao tempo de inferência e ao controle de falsos positivos.</w:t>
      </w:r>
    </w:p>
    <w:p>
      <w:pPr>
        <w:pStyle w:val="BodyText"/>
        <w:widowControl w:val="false"/>
        <w:suppressAutoHyphens w:val="true"/>
        <w:bidi w:val="0"/>
        <w:ind w:firstLine="709"/>
        <w:jc w:val="both"/>
        <w:rPr>
          <w:lang w:val="pt-BR"/>
        </w:rPr>
      </w:pPr>
      <w:r>
        <w:rPr>
          <w:lang w:val="pt-BR"/>
        </w:rPr>
        <w:t>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datasets e documentos relacionados ao uso das imagens. O procedimento experimental-computacional consistiu na preparação das bases, no treinamento do YOLOv11m, na inferência com o Gemma 3 27B-IT e na comparação dos resultados obtidos.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3.2 Objeto de estudo e unidade de análise</w:t>
      </w:r>
    </w:p>
    <w:p>
      <w:pPr>
        <w:pStyle w:val="BodyText"/>
        <w:widowControl w:val="false"/>
        <w:suppressAutoHyphens w:val="true"/>
        <w:bidi w:val="0"/>
        <w:ind w:firstLine="709"/>
        <w:jc w:val="both"/>
        <w:rPr>
          <w:lang w:val="pt-BR"/>
        </w:rPr>
      </w:pPr>
      <w:r>
        <w:rPr>
          <w:lang w:val="pt-BR"/>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pPr>
        <w:pStyle w:val="BodyText"/>
        <w:widowControl w:val="false"/>
        <w:suppressAutoHyphens w:val="true"/>
        <w:bidi w:val="0"/>
        <w:ind w:firstLine="709"/>
        <w:jc w:val="both"/>
        <w:rPr>
          <w:lang w:val="pt-BR"/>
        </w:rPr>
      </w:pPr>
      <w:r>
        <w:rPr>
          <w:lang w:val="pt-BR"/>
        </w:rP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pPr>
        <w:pStyle w:val="BodyText"/>
        <w:widowControl w:val="false"/>
        <w:suppressAutoHyphens w:val="true"/>
        <w:bidi w:val="0"/>
        <w:ind w:firstLine="709"/>
        <w:jc w:val="both"/>
        <w:rPr>
          <w:lang w:val="pt-BR"/>
        </w:rPr>
      </w:pPr>
      <w:r>
        <w:rPr>
          <w:lang w:val="pt-BR"/>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3.3 Modelos comparados</w:t>
      </w:r>
    </w:p>
    <w:p>
      <w:pPr>
        <w:pStyle w:val="BodyText"/>
        <w:widowControl w:val="false"/>
        <w:suppressAutoHyphens w:val="true"/>
        <w:bidi w:val="0"/>
        <w:ind w:firstLine="709"/>
        <w:jc w:val="both"/>
        <w:rPr>
          <w:lang w:val="pt-BR"/>
        </w:rPr>
      </w:pPr>
      <w:r>
        <w:rPr>
          <w:lang w:val="pt-BR"/>
        </w:rPr>
        <w:t>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zero-shot (Radford et al., 2021).</w:t>
      </w:r>
    </w:p>
    <w:p>
      <w:pPr>
        <w:pStyle w:val="BodyText"/>
        <w:widowControl w:val="false"/>
        <w:suppressAutoHyphens w:val="true"/>
        <w:bidi w:val="0"/>
        <w:ind w:firstLine="709"/>
        <w:jc w:val="both"/>
        <w:rPr>
          <w:lang w:val="pt-BR"/>
        </w:rPr>
      </w:pPr>
      <w:r>
        <w:rPr>
          <w:lang w:val="pt-BR"/>
        </w:rPr>
        <w:t>O primeiro modelo foi o YOLOv11m, utilizado como detector especializado. Esse modelo foi treinado por fine-tuning para reconhecer a classe única “lixo”. Ele representou uma abordagem especializada de detecção de objetos, na qual o modelo foi ajustado para uma tarefa específica a partir de imagens anotadas.</w:t>
      </w:r>
    </w:p>
    <w:p>
      <w:pPr>
        <w:pStyle w:val="BodyText"/>
        <w:widowControl w:val="false"/>
        <w:suppressAutoHyphens w:val="true"/>
        <w:bidi w:val="0"/>
        <w:ind w:firstLine="709"/>
        <w:jc w:val="both"/>
        <w:rPr>
          <w:lang w:val="pt-BR"/>
        </w:rPr>
      </w:pPr>
      <w:r>
        <w:rPr>
          <w:lang w:val="pt-BR"/>
        </w:rPr>
        <w:t>O segundo modelo foi o Gemma 3 27B-IT, utilizado como modelo visão-linguagem generalista em modo zero-shot. Nesse caso, o modelo não foi treinado especificamente com as imagens do projeto, sendo avaliado a partir de sua capacidade geral de interpretação visual e de resposta à tarefa proposta.</w:t>
      </w:r>
    </w:p>
    <w:p>
      <w:pPr>
        <w:pStyle w:val="BodyText"/>
        <w:widowControl w:val="false"/>
        <w:suppressAutoHyphens w:val="true"/>
        <w:bidi w:val="0"/>
        <w:ind w:firstLine="709"/>
        <w:jc w:val="both"/>
        <w:rPr>
          <w:lang w:val="pt-BR"/>
        </w:rPr>
      </w:pPr>
      <w:r>
        <w:rPr>
          <w:lang w:val="pt-BR"/>
        </w:rPr>
        <w:t>Essa comparação confrontou duas formas distintas de aplicação da IA: uma abordagem especializada, baseada em treinamento direcionado, e uma abordagem generalista, baseada em interpretação multimodal sem ajuste específico ao domínio estudado. A abordagem zero-shot dispensa exemplos rotulados da tarefa-alvo, comparando a imagem a descrições textuais para estimar a correspondência com o prompt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pPr>
        <w:pStyle w:val="BodyText"/>
        <w:widowControl w:val="false"/>
        <w:suppressAutoHyphens w:val="true"/>
        <w:bidi w:val="0"/>
        <w:ind w:firstLine="709"/>
        <w:jc w:val="both"/>
        <w:rPr>
          <w:lang w:val="pt-BR"/>
        </w:rPr>
      </w:pPr>
      <w:r>
        <w:rPr>
          <w:lang w:val="pt-BR"/>
        </w:rPr>
        <w:t>A comparação entre os modelos foi assimétrica por desenho metodológico: o YOLOv11m foi ajustado por fine-tuning com dados rotulados da tarefa, enquanto o Gemma 3 27B-IT foi utilizado em modo zero-shot. Essa assimetria não invalidou o estudo, pois representa possibilidades reais de adoção tecnológica, no caso, treinar um detector especializado ou utilizar um modelo generalista.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3.4 Fontes de imagens e bases de dados utilizadas</w:t>
      </w:r>
    </w:p>
    <w:p>
      <w:pPr>
        <w:pStyle w:val="BodyText"/>
        <w:widowControl w:val="false"/>
        <w:suppressAutoHyphens w:val="true"/>
        <w:bidi w:val="0"/>
        <w:ind w:firstLine="709"/>
        <w:jc w:val="both"/>
        <w:rPr>
          <w:lang w:val="pt-BR"/>
        </w:rPr>
      </w:pPr>
      <w:r>
        <w:rPr>
          <w:lang w:val="pt-B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pPr>
        <w:pStyle w:val="BodyText"/>
        <w:widowControl w:val="false"/>
        <w:suppressAutoHyphens w:val="true"/>
        <w:bidi w:val="0"/>
        <w:ind w:firstLine="709"/>
        <w:jc w:val="both"/>
        <w:rPr>
          <w:lang w:val="pt-BR"/>
        </w:rPr>
      </w:pPr>
      <w:r>
        <w:rPr>
          <w:lang w:val="pt-BR"/>
        </w:rPr>
        <w:t>A base TACO (Trash Annotations in Context) foi utilizada como uma das principais fontes de imagens positivas de resíduos, por se tratar de dataset aberto construído especificamente para detecção e segmentação de lixo em contexto real. Como o dataset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pPr>
        <w:pStyle w:val="BodyText"/>
        <w:widowControl w:val="false"/>
        <w:suppressAutoHyphens w:val="true"/>
        <w:bidi w:val="0"/>
        <w:ind w:firstLine="709"/>
        <w:jc w:val="both"/>
        <w:rPr>
          <w:lang w:val="pt-BR"/>
        </w:rPr>
      </w:pPr>
      <w:r>
        <w:rPr>
          <w:lang w:val="pt-BR"/>
        </w:rPr>
        <w:t>Além do TACO, foi utilizado o dataset Trash Detection, disponibilizado no Roboflow Universe pelo perfil Trash Dataset for Oriented Bounded Box. A versão v14 informa 6.783 imagens e 64 classes (Trash Dataset for Oriented Bounded Box, 2026). Após a padronização para a classe única “lixo” e a deduplicação perceptual, foram mantidas 5.322 imagens positivas para o treinamento.</w:t>
      </w:r>
    </w:p>
    <w:p>
      <w:pPr>
        <w:pStyle w:val="BodyText"/>
        <w:widowControl w:val="false"/>
        <w:suppressAutoHyphens w:val="true"/>
        <w:bidi w:val="0"/>
        <w:ind w:firstLine="709"/>
        <w:jc w:val="both"/>
        <w:rPr>
          <w:lang w:val="pt-BR"/>
        </w:rPr>
      </w:pPr>
      <w:r>
        <w:rPr>
          <w:lang w:val="pt-BR"/>
        </w:rPr>
        <w:t>Também foi utilizado o dataset Sidewalk Segmentation, disponibilizado no Roboflow Universe pelo perfil Sidewalk, como fonte de imagens negativas. Essa base contribuiu com 1.203 imagens de background, utilizadas para expor o modelo a cenas urbanas sem resíduos e auxiliar no controle de falsos positivos (Sidewalk, 2022).</w:t>
      </w:r>
    </w:p>
    <w:p>
      <w:pPr>
        <w:pStyle w:val="BodyText"/>
        <w:widowControl w:val="false"/>
        <w:suppressAutoHyphens w:val="true"/>
        <w:bidi w:val="0"/>
        <w:ind w:firstLine="709"/>
        <w:jc w:val="both"/>
        <w:rPr>
          <w:lang w:val="pt-BR"/>
        </w:rPr>
      </w:pPr>
      <w:r>
        <w:rPr>
          <w:lang w:val="pt-BR"/>
        </w:rP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pPr>
        <w:pStyle w:val="BodyText"/>
        <w:widowControl w:val="false"/>
        <w:suppressAutoHyphens w:val="true"/>
        <w:bidi w:val="0"/>
        <w:ind w:firstLine="709"/>
        <w:jc w:val="both"/>
        <w:rPr>
          <w:lang w:val="pt-BR"/>
        </w:rPr>
      </w:pPr>
      <w:r>
        <w:rPr>
          <w:lang w:val="pt-BR"/>
        </w:rPr>
        <w:t>As imagens oriundas de plataformas de visualização urbana, especialmente Google Maps/Street View,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View, a plataforma utiliza tecnologia projetada para desfocar rostos identificáveis e placas de veículos nas imagens contribuídas pelo Google (Google, [s.d.]). Essa característica contribuiu para reduzir o risco de exposição de dados pessoais, embora não tenha substituído a revisão visual manual.</w:t>
      </w:r>
    </w:p>
    <w:p>
      <w:pPr>
        <w:pStyle w:val="BodyText"/>
        <w:widowControl w:val="false"/>
        <w:suppressAutoHyphens w:val="true"/>
        <w:bidi w:val="0"/>
        <w:ind w:firstLine="709"/>
        <w:jc w:val="both"/>
        <w:rPr>
          <w:lang w:val="pt-BR"/>
        </w:rPr>
      </w:pPr>
      <w:r>
        <w:rPr>
          <w:lang w:val="pt-B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pPr>
        <w:pStyle w:val="BodyText"/>
        <w:widowControl w:val="false"/>
        <w:suppressAutoHyphens w:val="true"/>
        <w:bidi w:val="0"/>
        <w:ind w:firstLine="709"/>
        <w:jc w:val="both"/>
        <w:rPr>
          <w:lang w:val="pt-BR"/>
        </w:rPr>
      </w:pPr>
      <w:r>
        <w:rPr>
          <w:lang w:val="pt-BR"/>
        </w:rPr>
        <w:t>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ground truth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pPr>
        <w:pStyle w:val="normal1"/>
        <w:spacing w:lineRule="auto" w:line="240"/>
        <w:ind w:hanging="0"/>
        <w:jc w:val="center"/>
        <w:rPr>
          <w:sz w:val="24"/>
          <w:szCs w:val="24"/>
        </w:rPr>
      </w:pPr>
      <w:r>
        <w:rPr>
          <w:rFonts w:eastAsia="Times New Roman" w:cs="Times New Roman"/>
          <w:color w:val="000000"/>
          <w:sz w:val="24"/>
          <w:szCs w:val="24"/>
          <w:lang w:val="pt-BR"/>
        </w:rPr>
        <w:t>Tabela 1 – Fontes de dados utilizadas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82"/>
        <w:gridCol w:w="3682"/>
        <w:gridCol w:w="3807"/>
      </w:tblGrid>
      <w:tr>
        <w:trPr>
          <w:tblHeader w:val="true"/>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Fonte/base</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Função no experimento</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Volume utilizado</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TACO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 de</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resíduos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1.497 imagens positivas utilizadas após deduplicação e seleção</w:t>
            </w:r>
          </w:p>
        </w:tc>
      </w:tr>
      <w:tr>
        <w:trPr>
          <w:trHeight w:val="274" w:hRule="atLeast"/>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Trash Detection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complementares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5.322 imagens positivas utilizadas após deduplicação perceptual; dataset-base informa 6.783 imagens e 64 classes</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Sidewalk Segmentation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negativas/background</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1.203 imagens de background</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Conjunto de teste brasileiro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Avaliação final dos modelos</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560 imagens: 280 positivas e 280 negativas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tab/>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3.5 Critérios éticos, privacidade e uso das imagens</w:t>
      </w:r>
    </w:p>
    <w:p>
      <w:pPr>
        <w:pStyle w:val="BodyText"/>
        <w:widowControl w:val="false"/>
        <w:suppressAutoHyphens w:val="true"/>
        <w:bidi w:val="0"/>
        <w:ind w:firstLine="709"/>
        <w:jc w:val="both"/>
        <w:rPr>
          <w:lang w:val="pt-BR"/>
        </w:rPr>
      </w:pPr>
      <w:r>
        <w:rPr>
          <w:lang w:val="pt-B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pPr>
        <w:pStyle w:val="BodyText"/>
        <w:widowControl w:val="false"/>
        <w:suppressAutoHyphens w:val="true"/>
        <w:bidi w:val="0"/>
        <w:ind w:firstLine="709"/>
        <w:jc w:val="both"/>
        <w:rPr>
          <w:lang w:val="pt-BR"/>
        </w:rPr>
      </w:pPr>
      <w:r>
        <w:rPr>
          <w:lang w:val="pt-BR"/>
        </w:rPr>
        <w:t>O uso de imagens provenientes do Google Street View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pPr>
        <w:pStyle w:val="BodyText"/>
        <w:widowControl w:val="false"/>
        <w:suppressAutoHyphens w:val="true"/>
        <w:bidi w:val="0"/>
        <w:ind w:firstLine="709"/>
        <w:jc w:val="both"/>
        <w:rPr>
          <w:lang w:val="pt-BR"/>
        </w:rPr>
      </w:pPr>
      <w:r>
        <w:rPr>
          <w:lang w:val="pt-B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3.6 Preparação e padronização dos dados</w:t>
      </w:r>
    </w:p>
    <w:p>
      <w:pPr>
        <w:pStyle w:val="BodyText"/>
        <w:widowControl w:val="false"/>
        <w:suppressAutoHyphens w:val="true"/>
        <w:bidi w:val="0"/>
        <w:ind w:firstLine="709"/>
        <w:jc w:val="both"/>
        <w:rPr>
          <w:lang w:val="pt-BR"/>
        </w:rPr>
      </w:pPr>
      <w:r>
        <w:rPr>
          <w:lang w:val="pt-BR"/>
        </w:rPr>
        <w:t>A preparação dos dados compreendeu a unificação das bases, a padronização das classes, a deduplicação e a separação entre treino, validação e teste.</w:t>
      </w:r>
    </w:p>
    <w:p>
      <w:pPr>
        <w:pStyle w:val="BodyText"/>
        <w:widowControl w:val="false"/>
        <w:suppressAutoHyphens w:val="true"/>
        <w:bidi w:val="0"/>
        <w:ind w:firstLine="709"/>
        <w:jc w:val="both"/>
        <w:rPr>
          <w:lang w:val="pt-BR"/>
        </w:rPr>
      </w:pPr>
      <w:r>
        <w:rPr>
          <w:lang w:val="pt-BR"/>
        </w:rPr>
        <w:t>As imagens provenientes dos datasets TACO e Trash Detection foram utilizadas como fontes positivas, após padronização das anotações para a classe única “lixo”. As diferentes categorias originais dos datasets foram agregadas em uma única classe, pois o objetivo da pesquisa não foi classificar tipos específicos de resíduos, mas verificar a presença ou ausência de lixo visível em imagens urbanas.</w:t>
      </w:r>
    </w:p>
    <w:p>
      <w:pPr>
        <w:pStyle w:val="BodyText"/>
        <w:widowControl w:val="false"/>
        <w:suppressAutoHyphens w:val="true"/>
        <w:bidi w:val="0"/>
        <w:ind w:firstLine="709"/>
        <w:jc w:val="both"/>
        <w:rPr>
          <w:lang w:val="pt-BR"/>
        </w:rPr>
      </w:pPr>
      <w:r>
        <w:rPr>
          <w:lang w:val="pt-BR"/>
        </w:rPr>
        <w:t>As imagens do Sidewalk Segmentation foram utilizadas como exemplos negativos ou de background. Para isso, foram associadas a arquivos de rótulo vazios, indicando ausência de resíduos. Essa estratégia foi compatível com a formulação binária da pesquisa e contribuiu para avaliar o comportamento do modelo diante de imagens urbanas sem descarte visível.</w:t>
      </w:r>
    </w:p>
    <w:p>
      <w:pPr>
        <w:pStyle w:val="BodyText"/>
        <w:widowControl w:val="false"/>
        <w:suppressAutoHyphens w:val="true"/>
        <w:bidi w:val="0"/>
        <w:ind w:firstLine="709"/>
        <w:jc w:val="both"/>
        <w:rPr>
          <w:lang w:val="pt-BR"/>
        </w:rPr>
      </w:pPr>
      <w:r>
        <w:rPr>
          <w:lang w:val="pt-BR"/>
        </w:rPr>
        <w:t>A proporção de imagens negativas no conjunto de treinamento foi ajustada para aproximadamente 15%, dentro de uma faixa-alvo de 10% a 20% utilizada como referência interna para exemplos de background em detecção de objetos. A inclusão de imagens de fundo sem o objeto-alvo é uma prática recomendada no treinamento de detectores para reduzir ativações espúrias e controlar falsos positivos (Ultralytics, 2024). Essa alteração teve o objetivo de ampliar a exposição do modelo a cenas urbanas sem resíduos e fortalecer o controle de falsos positivos. Após a preparação e deduplicação perceptual, o conjunto final de treinamento apresentou 6.736 imagens, sendo 5.685 positivas e 1.051 de background, o que corresponde a aproximadamente 15,6% de imagens negativas.</w:t>
      </w:r>
    </w:p>
    <w:p>
      <w:pPr>
        <w:pStyle w:val="BodyText"/>
        <w:widowControl w:val="false"/>
        <w:suppressAutoHyphens w:val="true"/>
        <w:bidi w:val="0"/>
        <w:ind w:firstLine="709"/>
        <w:jc w:val="both"/>
        <w:rPr>
          <w:lang w:val="pt-BR"/>
        </w:rPr>
      </w:pPr>
      <w:r>
        <w:rPr>
          <w:lang w:val="pt-BR"/>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pPr>
        <w:pStyle w:val="BodyText"/>
        <w:widowControl w:val="false"/>
        <w:suppressAutoHyphens w:val="true"/>
        <w:bidi w:val="0"/>
        <w:ind w:firstLine="709"/>
        <w:jc w:val="both"/>
        <w:rPr>
          <w:lang w:val="pt-BR"/>
        </w:rPr>
      </w:pPr>
      <w:r>
        <w:rPr>
          <w:lang w:val="pt-BR"/>
        </w:rPr>
        <w:t>Foi realizada deduplicação perceptual por meio de pHash,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pPr>
        <w:pStyle w:val="BodyText"/>
        <w:widowControl w:val="false"/>
        <w:suppressAutoHyphens w:val="true"/>
        <w:bidi w:val="0"/>
        <w:ind w:firstLine="709"/>
        <w:jc w:val="both"/>
        <w:rPr>
          <w:lang w:val="pt-BR"/>
        </w:rPr>
      </w:pPr>
      <w:r>
        <w:rPr>
          <w:lang w:val="pt-BR"/>
        </w:rP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pPr>
        <w:pStyle w:val="BodyText"/>
        <w:widowControl w:val="false"/>
        <w:suppressAutoHyphens w:val="true"/>
        <w:bidi w:val="0"/>
        <w:ind w:firstLine="709"/>
        <w:jc w:val="both"/>
        <w:rPr>
          <w:lang w:val="pt-BR"/>
        </w:rPr>
      </w:pPr>
      <w:r>
        <w:rPr>
          <w:lang w:val="pt-BR"/>
        </w:rPr>
        <w:t>O conjunto de treino e validação foi estruturado com divisão interna de aproximadamente 85% para treino e 15% para validação, resultando em 6.736 imagens no treinamento e 1.286 imagens na validação. O conjunto de validação incluiu 185 imagens de background, aproximadamente 14,4% da validação, permitindo que as métricas de validação refletissem também a ocorrência de falsos positivos.</w:t>
      </w:r>
    </w:p>
    <w:p>
      <w:pPr>
        <w:pStyle w:val="BodyText"/>
        <w:widowControl w:val="false"/>
        <w:suppressAutoHyphens w:val="true"/>
        <w:bidi w:val="0"/>
        <w:ind w:firstLine="709"/>
        <w:jc w:val="both"/>
        <w:rPr>
          <w:lang w:val="pt-BR"/>
        </w:rPr>
      </w:pPr>
      <w:r>
        <w:rPr>
          <w:lang w:val="pt-BR"/>
        </w:rP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pPr>
        <w:pStyle w:val="normal1"/>
        <w:spacing w:lineRule="auto" w:line="240"/>
        <w:ind w:hanging="0"/>
        <w:jc w:val="center"/>
        <w:rPr>
          <w:sz w:val="24"/>
          <w:szCs w:val="24"/>
        </w:rPr>
      </w:pPr>
      <w:r>
        <w:rPr>
          <w:rFonts w:eastAsia="Times New Roman" w:cs="Times New Roman"/>
          <w:color w:val="000000"/>
          <w:sz w:val="24"/>
          <w:szCs w:val="24"/>
          <w:lang w:val="pt-BR"/>
        </w:rPr>
        <w:t>Tabela 2 – Composição final dos conjuntos após preparação dos dados</w:t>
      </w:r>
    </w:p>
    <w:tbl>
      <w:tblPr>
        <w:tblStyle w:val="TableNormal"/>
        <w:tblW w:w="9075"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49"/>
        <w:gridCol w:w="1166"/>
        <w:gridCol w:w="1410"/>
        <w:gridCol w:w="2448"/>
        <w:gridCol w:w="2502"/>
      </w:tblGrid>
      <w:tr>
        <w:trPr>
          <w:tblHeader w:val="true"/>
          <w:trHeight w:val="900" w:hRule="atLeast"/>
        </w:trPr>
        <w:tc>
          <w:tcPr>
            <w:tcW w:w="154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Conjunto</w:t>
            </w:r>
          </w:p>
        </w:tc>
        <w:tc>
          <w:tcPr>
            <w:tcW w:w="1166"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Total de imagens</w:t>
            </w:r>
          </w:p>
        </w:tc>
        <w:tc>
          <w:tcPr>
            <w:tcW w:w="141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positivas</w:t>
            </w:r>
          </w:p>
        </w:tc>
        <w:tc>
          <w:tcPr>
            <w:tcW w:w="244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negativas/background</w:t>
            </w:r>
          </w:p>
        </w:tc>
        <w:tc>
          <w:tcPr>
            <w:tcW w:w="250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Observação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Treinamento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6.736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5.685</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1.051</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Background corresponde a aproximadamente 15,6% do treino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Validação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1.286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1.101</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185</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Validação com background, aproximadamente 14,4%</w:t>
            </w:r>
          </w:p>
        </w:tc>
      </w:tr>
      <w:tr>
        <w:trPr>
          <w:trHeight w:val="513" w:hRule="atLeast"/>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Teste brasileiro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560</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Conjunto externo, balanceado e separado do treino</w:t>
            </w:r>
          </w:p>
        </w:tc>
      </w:tr>
    </w:tbl>
    <w:p>
      <w:pPr>
        <w:pStyle w:val="normal1"/>
        <w:spacing w:lineRule="auto" w:line="240"/>
        <w:ind w:hanging="0"/>
        <w:jc w:val="left"/>
        <w:rPr>
          <w:color w:val="000000"/>
          <w:lang w:val="pt-BR"/>
        </w:rPr>
      </w:pPr>
      <w:r>
        <w:rPr>
          <w:rFonts w:eastAsia="Times New Roman" w:cs="Times New Roman"/>
          <w:color w:val="000000"/>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3.7 Treinamento do YOLOv11m</w:t>
      </w:r>
    </w:p>
    <w:p>
      <w:pPr>
        <w:pStyle w:val="BodyText"/>
        <w:widowControl w:val="false"/>
        <w:suppressAutoHyphens w:val="true"/>
        <w:bidi w:val="0"/>
        <w:ind w:firstLine="709"/>
        <w:jc w:val="both"/>
        <w:rPr>
          <w:lang w:val="pt-BR"/>
        </w:rPr>
      </w:pPr>
      <w:r>
        <w:rPr>
          <w:lang w:val="pt-BR"/>
        </w:rPr>
        <w:t>O modelo YOLOv11m foi treinado por fine-tuning a partir de pesos pré-treinados (yolo11m.pt). O treinamento foi realizado com a classe única “lixo”, utilizando imagens positivas provenientes do TACO e do Trash Detection, além de imagens negativas provenientes do Sidewalk Segmentation. Os principais hiperparâmetros adotados foram: 100 épocas, batch size igual a 12, resolução de entrada de 640×640 pixels, otimizador AdamW com taxa de aprendizado inicial de 0,001, paciência de parada antecipada de 20 épocas, augmentation de mosaico (mosaic=1,0) e espelhamento horizontal (fliplr=0,5). O critério de seleção do melhor peso considerou as métricas de validação ao longo das épocas, preservando o checkpoint com melhor desempenho (best.pt) para uso na inferência.</w:t>
      </w:r>
    </w:p>
    <w:p>
      <w:pPr>
        <w:pStyle w:val="BodyText"/>
        <w:widowControl w:val="false"/>
        <w:suppressAutoHyphens w:val="true"/>
        <w:bidi w:val="0"/>
        <w:ind w:firstLine="709"/>
        <w:jc w:val="both"/>
        <w:rPr>
          <w:lang w:val="pt-BR"/>
        </w:rPr>
      </w:pPr>
      <w:r>
        <w:rPr>
          <w:lang w:val="pt-BR"/>
        </w:rPr>
        <w:t>O objetivo do treinamento foi ajustar o detector especializado para reconhecer resíduos em imagens urbanas. Após o treinamento, o melhor peso gerado foi utilizado na etapa de inferência sobre o conjunto de teste brasileiro.</w:t>
      </w:r>
    </w:p>
    <w:p>
      <w:pPr>
        <w:pStyle w:val="BodyText"/>
        <w:widowControl w:val="false"/>
        <w:suppressAutoHyphens w:val="true"/>
        <w:bidi w:val="0"/>
        <w:ind w:firstLine="709"/>
        <w:jc w:val="both"/>
        <w:rPr>
          <w:lang w:val="pt-BR"/>
        </w:rPr>
      </w:pPr>
      <w:r>
        <w:rPr>
          <w:lang w:val="pt-B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pPr>
        <w:pStyle w:val="BodyText"/>
        <w:widowControl w:val="false"/>
        <w:suppressAutoHyphens w:val="true"/>
        <w:bidi w:val="0"/>
        <w:ind w:firstLine="709"/>
        <w:jc w:val="both"/>
        <w:rPr>
          <w:lang w:val="pt-BR"/>
        </w:rPr>
      </w:pPr>
      <w:r>
        <w:rPr>
          <w:lang w:val="pt-BR"/>
        </w:rP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mas limiares adicionais também foram observados.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3.8 Inferência com Gemma 3 27B-IT</w:t>
      </w:r>
    </w:p>
    <w:p>
      <w:pPr>
        <w:pStyle w:val="BodyText"/>
        <w:widowControl w:val="false"/>
        <w:suppressAutoHyphens w:val="true"/>
        <w:bidi w:val="0"/>
        <w:ind w:firstLine="709"/>
        <w:jc w:val="both"/>
        <w:rPr/>
      </w:pPr>
      <w:r>
        <w:rPr>
          <w:lang w:val="pt-BR"/>
        </w:rPr>
        <w:t xml:space="preserve">O modelo Gemma 3 27B-IT foi utilizado em modo </w:t>
      </w:r>
      <w:r>
        <w:rPr>
          <w:rStyle w:val="Emphasis"/>
          <w:lang w:val="pt-BR"/>
        </w:rPr>
        <w:t>zero-shot</w:t>
      </w:r>
      <w:r>
        <w:rPr>
          <w:lang w:val="pt-BR"/>
        </w:rPr>
        <w:t xml:space="preserve">, sem treinamento específico no conjunto de dados da pesquisa. A inferência foi realizada por meio do LM Studio, com o envio das imagens ao modelo e a solicitação de uma resposta estruturada indicando a presença ou a ausência de resíduos visíveis. Para adequação à infraestrutura computacional disponível, composta por uma GPU com 32 GB de VRAM, foi utilizada a versão quantizada </w:t>
      </w:r>
      <w:r>
        <w:rPr>
          <w:rStyle w:val="Strong"/>
          <w:lang w:val="pt-BR"/>
        </w:rPr>
        <w:t>Q5_K_M</w:t>
      </w:r>
      <w:r>
        <w:rPr>
          <w:lang w:val="pt-BR"/>
        </w:rPr>
        <w:t>. Desse modo, os resultados preditivos e os valores de latência apresentados correspondem especificamente a essa configuração de execução.</w:t>
      </w:r>
    </w:p>
    <w:p>
      <w:pPr>
        <w:pStyle w:val="BodyText"/>
        <w:widowControl w:val="false"/>
        <w:suppressAutoHyphens w:val="true"/>
        <w:bidi w:val="0"/>
        <w:ind w:firstLine="709"/>
        <w:jc w:val="both"/>
        <w:rPr>
          <w:lang w:val="pt-BR"/>
        </w:rPr>
      </w:pPr>
      <w:r>
        <w:rPr>
          <w:lang w:val="pt-BR"/>
        </w:rPr>
        <w:t>A inferência foi realizada com temperatura igual a 0 e seed igual a 42, de modo a reduzir variações nas respostas. A saída foi solicitada em formato JSON, permitindo extrair de forma objetiva a decisão binária do modelo sobre a presença ou ausência de lixo.</w:t>
      </w:r>
    </w:p>
    <w:p>
      <w:pPr>
        <w:pStyle w:val="BodyText"/>
        <w:widowControl w:val="false"/>
        <w:suppressAutoHyphens w:val="true"/>
        <w:bidi w:val="0"/>
        <w:ind w:firstLine="709"/>
        <w:jc w:val="both"/>
        <w:rPr>
          <w:lang w:val="pt-BR"/>
        </w:rPr>
      </w:pPr>
      <w:r>
        <w:rPr>
          <w:lang w:val="pt-BR"/>
        </w:rPr>
        <w:t>Para reduzir inconsistências operacionais, utilizou-se um prompt padronizado durante toda a inferência com o Gemma 3 27B-IT. A instrução solicitava que o modelo identificasse a presença ou ausência de resíduos visíveis na imagem, estabelecia exemplos do que deveria ou não ser considerado lixo e exigia resposta em formato JSON. O conteúdo integral do prompt é apresentado no Apêndice A, de modo a favorecer a transparência e a reprodutibilidade do experimento.</w:t>
      </w:r>
    </w:p>
    <w:p>
      <w:pPr>
        <w:pStyle w:val="BodyText"/>
        <w:widowControl w:val="false"/>
        <w:suppressAutoHyphens w:val="true"/>
        <w:bidi w:val="0"/>
        <w:ind w:firstLine="709"/>
        <w:jc w:val="both"/>
        <w:rPr>
          <w:lang w:val="pt-BR"/>
        </w:rPr>
      </w:pPr>
      <w:r>
        <w:rPr>
          <w:lang w:val="pt-BR"/>
        </w:rPr>
        <w:t>A saída estruturada foi obtida por meio de json_schema, quando esse recurso era suportado pelo servidor, com uso de um analisador alternativo nos casos de incompatibilidade. Também foram adotados cache por imagem e controle pelo hash SHA-256 do prompt. Esse procedimento evitou reprocessamentos desnecessários e permitiu verificar se cada resposta reutilizada havia sido gerada com a mesma formulação da tarefa.</w:t>
      </w:r>
    </w:p>
    <w:p>
      <w:pPr>
        <w:pStyle w:val="BodyText"/>
        <w:widowControl w:val="false"/>
        <w:suppressAutoHyphens w:val="true"/>
        <w:bidi w:val="0"/>
        <w:ind w:firstLine="709"/>
        <w:jc w:val="both"/>
        <w:rPr>
          <w:lang w:val="pt-BR"/>
        </w:rPr>
      </w:pPr>
      <w:r>
        <w:rPr>
          <w:lang w:val="pt-BR"/>
        </w:rPr>
        <w:t>A latência do Gemma 3 27B-IT foi mensurada de forma end-to-end, abrangendo a serialização da imagem em base64, a transmissão pela interface HTTP compatível com a API OpenAI, a inferência no servidor local do LM Studio e a interpretação da resposta JSON. Essa arquitetura inclui uma camada intermediária de comunicação que não está presente no fluxo do YOLOv11m. Portanto, a diferença entre as latências deve ser interpretada considerando não apenas o custo computacional dos modelos, mas também os distintos fluxos operacionais empregados.</w:t>
      </w:r>
    </w:p>
    <w:p>
      <w:pPr>
        <w:pStyle w:val="BodyText"/>
        <w:widowControl w:val="false"/>
        <w:suppressAutoHyphens w:val="true"/>
        <w:bidi w:val="0"/>
        <w:ind w:firstLine="709"/>
        <w:jc w:val="both"/>
        <w:rPr>
          <w:lang w:val="pt-BR"/>
        </w:rPr>
      </w:pPr>
      <w:r>
        <w:rPr>
          <w:lang w:val="pt-B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3.9 Métricas de avaliação</w:t>
      </w:r>
    </w:p>
    <w:p>
      <w:pPr>
        <w:pStyle w:val="BodyText"/>
        <w:widowControl w:val="false"/>
        <w:suppressAutoHyphens w:val="true"/>
        <w:bidi w:val="0"/>
        <w:ind w:firstLine="709"/>
        <w:jc w:val="both"/>
        <w:rPr>
          <w:lang w:val="pt-BR"/>
        </w:rPr>
      </w:pPr>
      <w:r>
        <w:rPr>
          <w:lang w:val="pt-BR"/>
        </w:rPr>
        <w:t>A avaliação foi realizada em nível de imagem, por meio de métricas binárias. Foram calculadas acurácia, precisão, recall, especificidade, F1-score, taxa de falsos positivos, matriz de confusão, tempo de inferência e throughput.</w:t>
      </w:r>
    </w:p>
    <w:p>
      <w:pPr>
        <w:pStyle w:val="BodyText"/>
        <w:widowControl w:val="false"/>
        <w:suppressAutoHyphens w:val="true"/>
        <w:bidi w:val="0"/>
        <w:ind w:firstLine="709"/>
        <w:jc w:val="both"/>
        <w:rPr>
          <w:lang w:val="pt-BR"/>
        </w:rPr>
      </w:pPr>
      <w:r>
        <w:rPr>
          <w:lang w:val="pt-BR"/>
        </w:rPr>
        <w:t>A acurácia indicou o percentual geral de classificações corretas. A precisão indicou, entre as imagens classificadas como contendo resíduos, quantas realmente possuíam resíduos. O recall indicou a capacidade do modelo de identificar imagens positivas. A especificidade mediu a capacidade de reconhecer corretamente imagens sem resíduos. O F1-score permitiu observar o equilíbrio entre precisão e recall.</w:t>
      </w:r>
    </w:p>
    <w:p>
      <w:pPr>
        <w:pStyle w:val="BodyText"/>
        <w:widowControl w:val="false"/>
        <w:suppressAutoHyphens w:val="true"/>
        <w:bidi w:val="0"/>
        <w:ind w:firstLine="709"/>
        <w:jc w:val="both"/>
        <w:rPr>
          <w:lang w:val="pt-BR"/>
        </w:rPr>
      </w:pPr>
      <w:r>
        <w:rPr>
          <w:lang w:val="pt-BR"/>
        </w:rPr>
        <w:t>A taxa de falsos positivos foi especialmente relevante para a gestão pública, pois, no contexto analisado, alarmes indevidos podem resultar em abertura desnecessária de chamados, deslocamento de equipes e uso ineficiente de recursos administrativos. Essa interpretação está alinhada à compreensão de que os benefícios da inteligência artificial no setor público dependem de sua capacidade de responder a demandas concretas de serviço e às condições organizacionais de implementação (Madan; Ashok, 2025). A taxa de falsos negativos também foi considerada, uma vez que erros de omissão reduzem a capacidade do sistema de identificar cenas efetivamente contendo resíduos, problema relevante em aplicações de detecção automatizada desenvolvidas em ambientes naturais e urbanos complexos (Majchrowska et al., 2022; Zailan et al., 2022).</w:t>
      </w:r>
    </w:p>
    <w:p>
      <w:pPr>
        <w:pStyle w:val="BodyText"/>
        <w:widowControl w:val="false"/>
        <w:suppressAutoHyphens w:val="true"/>
        <w:bidi w:val="0"/>
        <w:ind w:firstLine="709"/>
        <w:jc w:val="both"/>
        <w:rPr>
          <w:lang w:val="pt-BR"/>
        </w:rPr>
      </w:pPr>
      <w:r>
        <w:rPr>
          <w:lang w:val="pt-BR"/>
        </w:rPr>
        <w:t>Além das métricas preditivas, foi avaliada a eficiência computacional dos modelos por meio do tempo de inferência e do throughput como indicadores de eficiência computacional, permitindo comparar a capacidade operacional dos modelos no processamento das imagens.</w:t>
      </w:r>
    </w:p>
    <w:p>
      <w:pPr>
        <w:pStyle w:val="BodyText"/>
        <w:widowControl w:val="false"/>
        <w:suppressAutoHyphens w:val="true"/>
        <w:bidi w:val="0"/>
        <w:ind w:firstLine="709"/>
        <w:jc w:val="both"/>
        <w:rPr>
          <w:lang w:val="pt-BR"/>
        </w:rPr>
      </w:pPr>
      <w:r>
        <w:rPr>
          <w:lang w:val="pt-BR"/>
        </w:rPr>
        <w:t>Para a comparação de latência, adotou-se a medida end-to-end para ambos os modelos, de modo que o tempo registrado incluísse o fluxo completo de inferência em cada abordagem avaliada. Distingue-se, contudo, a latência por imagem do throughput agregado: a latência foi medida como o tempo médio de processamento de cada imagem isoladamente, ao passo que o throughput foi calculado a partir do tempo total de processamento do conjunto, dividido pelo número de imagens. Por essa razão, o throughput pode não corresponder exatamente ao inverso da latência média, uma vez que o processamento contínuo do lote aproveita melhor o paralelismo e a ocupação da GPU, reduzindo o custo marginal por imagem em relação à inferência individual. Essa diferença explica por que o throughput observado do YOLOv11m supera o valor que seria obtido pela simples inversão de sua latência média unitária.</w:t>
      </w:r>
    </w:p>
    <w:p>
      <w:pPr>
        <w:pStyle w:val="BodyText"/>
        <w:widowControl w:val="false"/>
        <w:suppressAutoHyphens w:val="true"/>
        <w:bidi w:val="0"/>
        <w:ind w:firstLine="709"/>
        <w:jc w:val="both"/>
        <w:rPr>
          <w:lang w:val="pt-BR"/>
        </w:rPr>
      </w:pPr>
      <w:r>
        <w:rPr>
          <w:lang w:val="pt-BR"/>
        </w:rPr>
        <w:t>Para fortalecer a análise comparativa, foram calculados intervalos de confiança de 95% pelo método de Wilson para as principais proporções. Também foi aplicado o teste de McNemar para comparar o desempenho dos dois classificadores sobre o mesmo conjunto de teste, pois se tratava de dados pareados. Como métricas complementares de concordância e discriminação, foram calculados o kappa de Cohen e o coeficiente de correlação de Matthews. Essas estatísticas inferenciais e complementares foram recalculadas a partir das matrizes de confusão reportadas pelo experimento e utilizadas no capítulo de resultados e discussão.</w:t>
      </w:r>
    </w:p>
    <w:p>
      <w:pPr>
        <w:pStyle w:val="normal1"/>
        <w:spacing w:lineRule="auto" w:line="240"/>
        <w:ind w:hanging="0"/>
        <w:jc w:val="center"/>
        <w:rPr>
          <w:sz w:val="24"/>
          <w:szCs w:val="24"/>
        </w:rPr>
      </w:pPr>
      <w:r>
        <w:rPr>
          <w:rFonts w:eastAsia="Times New Roman" w:cs="Times New Roman"/>
          <w:sz w:val="24"/>
          <w:szCs w:val="24"/>
          <w:lang w:val="pt-BR"/>
        </w:rPr>
        <w:t>Quadro 1 – Métricas e estatísticas utilizadas na avaliação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55"/>
        <w:gridCol w:w="6014"/>
      </w:tblGrid>
      <w:tr>
        <w:trPr/>
        <w:tc>
          <w:tcPr>
            <w:tcW w:w="3055"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Finalidade na pesquisa</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Acurácia</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proporção geral de acertos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Precisão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Avaliar a confiabilidade dos alertas positivos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Recall/Sensibilidade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Medir a capacidade de identificar imagens com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Especificidade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capacidade de reconhecer imagens sem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F1-score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Sintetizar o equilíbrio entre precisão e recall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Taxa de falsos positivos</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alarmes indevidos em cenas limpas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Matriz de confusão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Organizar verdadeiros positivos, verdadeiros negativos, falsos positivos e falsos negativos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Tempo de inferência e throughput</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eficiência computacional e viabilidade operacional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Intervalo de confiança de Wilson</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Estimar incerteza das proporções observadas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Teste de McNemar</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Comparar classificadores pareados no mesmo conjunto de teste</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Kappa de Cohen e MCC</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concordância e discriminação complementar</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3.10 Critério de comparação</w:t>
      </w:r>
    </w:p>
    <w:p>
      <w:pPr>
        <w:pStyle w:val="BodyText"/>
        <w:widowControl w:val="false"/>
        <w:suppressAutoHyphens w:val="true"/>
        <w:bidi w:val="0"/>
        <w:ind w:firstLine="709"/>
        <w:jc w:val="both"/>
        <w:rPr>
          <w:lang w:val="pt-BR"/>
        </w:rPr>
      </w:pPr>
      <w:r>
        <w:rPr>
          <w:lang w:val="pt-BR"/>
        </w:rPr>
        <w:t>A comparação entre YOLOv11m e Gemma 3 27B-IT foi realizada a partir de um critério multidimensional de viabilidade. A análise considerou desempenho preditivo, eficiência computacional, controle de erros, rastreabilidade visual, comportamento no conjunto de teste externo e adequação às condições operacionais de uso.</w:t>
      </w:r>
    </w:p>
    <w:p>
      <w:pPr>
        <w:pStyle w:val="BodyText"/>
        <w:widowControl w:val="false"/>
        <w:suppressAutoHyphens w:val="true"/>
        <w:bidi w:val="0"/>
        <w:ind w:firstLine="709"/>
        <w:jc w:val="both"/>
        <w:rPr/>
      </w:pPr>
      <w:r>
        <w:rPr>
          <w:lang w:val="pt-BR"/>
        </w:rPr>
        <w:t xml:space="preserve">O desempenho preditivo foi avaliado por meio das métricas binárias de classificação, incluindo acurácia, precisão, sensibilidade, especificidade, F1-score e taxa de falsos positivos. A eficiência computacional foi examinada pelo tempo de inferência e pelo </w:t>
      </w:r>
      <w:r>
        <w:rPr>
          <w:rStyle w:val="Emphasis"/>
          <w:lang w:val="pt-BR"/>
        </w:rPr>
        <w:t>throughput</w:t>
      </w:r>
      <w:r>
        <w:rPr>
          <w:lang w:val="pt-BR"/>
        </w:rPr>
        <w:t>. A rastreabilidade visual foi considerada a partir da capacidade do detector de apresentar caixas delimitadoras associadas aos objetos identificados.</w:t>
      </w:r>
    </w:p>
    <w:p>
      <w:pPr>
        <w:pStyle w:val="BodyText"/>
        <w:widowControl w:val="false"/>
        <w:suppressAutoHyphens w:val="true"/>
        <w:bidi w:val="0"/>
        <w:ind w:firstLine="709"/>
        <w:jc w:val="both"/>
        <w:rPr>
          <w:lang w:val="pt-BR"/>
        </w:rPr>
      </w:pPr>
      <w:r>
        <w:rPr>
          <w:lang w:val="pt-BR"/>
        </w:rPr>
        <w:t>A adequação operacional foi analisada conforme o tipo de aplicação administrativa. Foram considerados cenários de processamento em tempo real e grande volume de imagens, bem como situações de análise pontual, auditoria, confirmação de denúncias e avaliação de imagens previamente selecionadas. Dessa forma, a viabilidade não foi determinada por uma única métrica, mas pela combinação dos resultados observados em cada dimensão de comparação.</w:t>
      </w:r>
    </w:p>
    <w:p>
      <w:pPr>
        <w:pStyle w:val="normal1"/>
        <w:rPr>
          <w:lang w:val="pt-BR"/>
        </w:rPr>
      </w:pPr>
      <w:r>
        <w:rPr/>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3.11 Limitações metodológicas</w:t>
      </w:r>
    </w:p>
    <w:p>
      <w:pPr>
        <w:pStyle w:val="BodyText"/>
        <w:widowControl w:val="false"/>
        <w:suppressAutoHyphens w:val="true"/>
        <w:bidi w:val="0"/>
        <w:ind w:firstLine="709"/>
        <w:jc w:val="both"/>
        <w:rPr/>
      </w:pPr>
      <w:r>
        <w:rPr>
          <w:lang w:val="pt-B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pPr>
        <w:pStyle w:val="BodyText"/>
        <w:widowControl w:val="false"/>
        <w:suppressAutoHyphens w:val="true"/>
        <w:bidi w:val="0"/>
        <w:ind w:firstLine="709"/>
        <w:jc w:val="both"/>
        <w:rPr>
          <w:lang w:val="pt-BR"/>
        </w:rPr>
      </w:pPr>
      <w:r>
        <w:rPr>
          <w:lang w:val="pt-B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pPr>
        <w:pStyle w:val="BodyText"/>
        <w:widowControl w:val="false"/>
        <w:suppressAutoHyphens w:val="true"/>
        <w:bidi w:val="0"/>
        <w:ind w:firstLine="709"/>
        <w:jc w:val="both"/>
        <w:rPr>
          <w:lang w:val="pt-BR"/>
        </w:rPr>
      </w:pPr>
      <w:r>
        <w:rPr>
          <w:lang w:val="pt-BR"/>
        </w:rPr>
        <w:t>Em terceiro lugar, o Gemma 3 27B-IT foi utilizado em modo zero-shot, sem ajuste específico ao domínio de resíduos urbanos. Assim, seu desempenho pode refletir tanto sua capacidade generalista quanto suas limitações diante de uma tarefa específica.</w:t>
      </w:r>
    </w:p>
    <w:p>
      <w:pPr>
        <w:pStyle w:val="BodyText"/>
        <w:widowControl w:val="false"/>
        <w:suppressAutoHyphens w:val="true"/>
        <w:bidi w:val="0"/>
        <w:ind w:firstLine="709"/>
        <w:jc w:val="both"/>
        <w:rPr>
          <w:lang w:val="pt-BR"/>
        </w:rPr>
      </w:pPr>
      <w:r>
        <w:rPr>
          <w:lang w:val="pt-BR"/>
        </w:rPr>
        <w:t>A proporção de imagens negativas no treinamento foi fixada em aproximadamente 15%, dentro da faixa adotada como referência interna para uso de background em detecção de objetos. Essa escolha favorece o controle de falsos positivos, mas pode tornar o detector mais conservador, com impacto sobre a sensibilidade (recall). Assim, a composição do treinamento deve ser interpretada como uma decisão metodológica que envolve trade-off entre reduzir alarmes indevidos e evitar omissões de cenas com resíduos.</w:t>
      </w:r>
    </w:p>
    <w:p>
      <w:pPr>
        <w:pStyle w:val="BodyText"/>
        <w:widowControl w:val="false"/>
        <w:suppressAutoHyphens w:val="true"/>
        <w:bidi w:val="0"/>
        <w:ind w:firstLine="709"/>
        <w:jc w:val="both"/>
        <w:rPr>
          <w:lang w:val="pt-BR"/>
        </w:rPr>
      </w:pPr>
      <w:r>
        <w:rPr>
          <w:lang w:val="pt-B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pPr>
        <w:pStyle w:val="BodyText"/>
        <w:widowControl w:val="false"/>
        <w:suppressAutoHyphens w:val="true"/>
        <w:bidi w:val="0"/>
        <w:ind w:firstLine="709"/>
        <w:jc w:val="both"/>
        <w:rPr>
          <w:lang w:val="pt-BR"/>
        </w:rPr>
      </w:pPr>
      <w:r>
        <w:rPr>
          <w:lang w:val="pt-BR"/>
        </w:rPr>
        <w:t>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ground truth.</w:t>
      </w:r>
    </w:p>
    <w:p>
      <w:pPr>
        <w:pStyle w:val="BodyText"/>
        <w:widowControl w:val="false"/>
        <w:suppressAutoHyphens w:val="true"/>
        <w:bidi w:val="0"/>
        <w:ind w:firstLine="709"/>
        <w:jc w:val="both"/>
        <w:rPr>
          <w:lang w:val="pt-BR"/>
        </w:rPr>
      </w:pPr>
      <w:r>
        <w:rPr>
          <w:lang w:val="pt-B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pPr>
        <w:pStyle w:val="normal1"/>
        <w:rPr>
          <w:lang w:val="pt-BR"/>
        </w:rPr>
      </w:pPr>
      <w:r>
        <w:rPr>
          <w:lang w:val="pt-BR"/>
        </w:rPr>
      </w:r>
      <w:r>
        <w:br w:type="page"/>
      </w:r>
    </w:p>
    <w:p>
      <w:pPr>
        <w:pStyle w:val="Heading1"/>
        <w:numPr>
          <w:ilvl w:val="0"/>
          <w:numId w:val="1"/>
        </w:numPr>
        <w:spacing w:before="0" w:after="240"/>
        <w:rPr>
          <w:lang w:val="pt-BR"/>
        </w:rPr>
      </w:pPr>
      <w:r>
        <w:rPr>
          <w:lang w:val="pt-BR"/>
        </w:rPr>
        <w:t>4 RESULTADOS E DISCUSSÃO</w:t>
      </w:r>
    </w:p>
    <w:p>
      <w:pPr>
        <w:pStyle w:val="BodyText"/>
        <w:widowControl w:val="false"/>
        <w:suppressAutoHyphens w:val="true"/>
        <w:bidi w:val="0"/>
        <w:ind w:firstLine="709"/>
        <w:jc w:val="both"/>
        <w:rPr>
          <w:lang w:val="pt-BR"/>
        </w:rPr>
      </w:pPr>
      <w:r>
        <w:rPr>
          <w:lang w:val="pt-BR"/>
        </w:rPr>
        <w:t>Este capítulo apresenta e discute os resultados do experimento computacional realizado para comparar a viabilidade de dois paradigmas de inteligência artificial no monitoramento visual de resíduos urbanos em vias públicas: o YOLOv11m, utilizado como detector especializado com fine-tuning para a classe única “lixo”, e o Gemma 3 27B-IT, empregado como modelo visão-linguagem generalista em regime zero-shot. A análise segue a orientação metodológica de apresentar, interpretar, comparar e relacionar os resultados com o problema de pesquisa e com a hipótese inicialmente formulada.</w:t>
      </w:r>
    </w:p>
    <w:p>
      <w:pPr>
        <w:pStyle w:val="BodyText"/>
        <w:widowControl w:val="false"/>
        <w:suppressAutoHyphens w:val="true"/>
        <w:bidi w:val="0"/>
        <w:ind w:firstLine="709"/>
        <w:jc w:val="both"/>
        <w:rPr>
          <w:lang w:val="pt-BR"/>
        </w:rPr>
      </w:pPr>
      <w:r>
        <w:rPr>
          <w:lang w:val="pt-BR"/>
        </w:rPr>
        <w:t xml:space="preserve">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da pesquisa: identificar se determinada cena urbana demanda ou não atenção do poder público para fins de monitoramento. </w:t>
      </w:r>
    </w:p>
    <w:p>
      <w:pPr>
        <w:pStyle w:val="BodyText"/>
        <w:widowControl w:val="false"/>
        <w:suppressAutoHyphens w:val="true"/>
        <w:bidi w:val="0"/>
        <w:ind w:firstLine="709"/>
        <w:jc w:val="both"/>
        <w:rPr>
          <w:lang w:val="pt-BR"/>
        </w:rPr>
      </w:pPr>
      <w:r>
        <w:rPr>
          <w:lang w:val="pt-BR"/>
        </w:rPr>
        <w:t>A hipótese provisória do estudo indicava que um modelo especializado de detecção, como o YOLOv11m, tenderia a apresentar maior viabilidade operacional quando comparado a um modelo visão-linguagem generalista em modo zero-shot,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 Caracterização do experimento</w:t>
      </w:r>
    </w:p>
    <w:p>
      <w:pPr>
        <w:pStyle w:val="BodyText"/>
        <w:widowControl w:val="false"/>
        <w:suppressAutoHyphens w:val="true"/>
        <w:bidi w:val="0"/>
        <w:ind w:firstLine="709"/>
        <w:jc w:val="both"/>
        <w:rPr>
          <w:lang w:val="pt-BR"/>
        </w:rPr>
      </w:pPr>
      <w:r>
        <w:rPr>
          <w:lang w:val="pt-BR"/>
        </w:rPr>
        <w:t>O experimento foi executado utilizando uma GPU NVIDIA GeForce RTX 5090, com 32 GB de VRAM GDDR7, CUDA 12.8 e arquitetura Blackwell. O YOLOv11m foi avaliado como detector especializado, treinado por fine-tuning para a classe única “lixo”, com limiar de confiança fixado em 0,25. O Gemma 3 27B-IT foi avaliado como modelo visão-linguagem em modo zero-shot, via LM Studio, com temperatura igual a 0, seed igual a 42 e saída estruturada em JSON.</w:t>
      </w:r>
    </w:p>
    <w:p>
      <w:pPr>
        <w:pStyle w:val="normal1"/>
        <w:jc w:val="center"/>
        <w:rPr>
          <w:lang w:val="pt-BR"/>
        </w:rPr>
      </w:pPr>
      <w:r>
        <w:rPr/>
        <w:drawing>
          <wp:inline distT="0" distB="0" distL="0" distR="0">
            <wp:extent cx="5400040" cy="2663825"/>
            <wp:effectExtent l="0" t="0" r="0" b="0"/>
            <wp:docPr id="2"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descr=""/>
                    <pic:cNvPicPr>
                      <a:picLocks noChangeAspect="1" noChangeArrowheads="1"/>
                    </pic:cNvPicPr>
                  </pic:nvPicPr>
                  <pic:blipFill>
                    <a:blip r:embed="rId11"/>
                    <a:stretch>
                      <a:fillRect/>
                    </a:stretch>
                  </pic:blipFill>
                  <pic:spPr bwMode="auto">
                    <a:xfrm>
                      <a:off x="0" y="0"/>
                      <a:ext cx="5400040" cy="266382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 – Curvas de treinamento do YOLOv11m — funções de perda e precisão de validação ao longo das 100 épocas</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treinamento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pPr>
        <w:pStyle w:val="BodyText"/>
        <w:widowControl w:val="false"/>
        <w:suppressAutoHyphens w:val="true"/>
        <w:bidi w:val="0"/>
        <w:ind w:firstLine="709"/>
        <w:jc w:val="both"/>
        <w:rPr>
          <w:lang w:val="pt-BR"/>
        </w:rPr>
      </w:pPr>
      <w:r>
        <w:rPr>
          <w:lang w:val="pt-BR"/>
        </w:rPr>
        <w:t>A avaliação dos modelos foi realizada por meio de métricas binárias: acurácia, precisão, recall ou sensibilidade, especificidade, F1-score e taxa de falsos positivos. Também foram avaliadas métricas de eficiência computacional, especialmente latência média, latência mediana, percentil 95 e throughput. Além dessas métricas descritivas, foram utilizados intervalos de confiança de 95% pelo método de Wilson, teste de McNemar, kappa de Cohen e coeficiente de correlação de Matthews, de modo a fortalecer a interpretação estatística dos resultados.</w:t>
      </w:r>
    </w:p>
    <w:p>
      <w:pPr>
        <w:pStyle w:val="normal1"/>
        <w:spacing w:before="0" w:after="120"/>
        <w:jc w:val="left"/>
        <w:rPr>
          <w:b/>
          <w:bCs/>
        </w:rPr>
      </w:pPr>
      <w:r>
        <w:rPr>
          <w:b/>
          <w:bCs/>
          <w:color w:val="000000"/>
          <w:lang w:val="pt-BR"/>
        </w:rPr>
        <w:t>4.2 Composição e integridade dos dados</w:t>
      </w:r>
    </w:p>
    <w:p>
      <w:pPr>
        <w:pStyle w:val="BodyText"/>
        <w:widowControl w:val="false"/>
        <w:suppressAutoHyphens w:val="true"/>
        <w:bidi w:val="0"/>
        <w:ind w:firstLine="709"/>
        <w:jc w:val="both"/>
        <w:rPr>
          <w:lang w:val="pt-BR"/>
        </w:rPr>
      </w:pPr>
      <w:r>
        <w:rPr>
          <w:lang w:val="pt-BR"/>
        </w:rPr>
        <w:t>O conjunto de treinamento foi formado por 6.736 imagens, das quais 5.685 eram positivas e 1.051 correspondiam a imagens de background, isto é, imagens sem resíduos anotados. A validação contou com 1.286 imagens, sendo 1.101 positivas e 185 de background. O conjunto de teste, por sua vez, foi mantido separado e composto por 560 imagens brasileiras, sendo 280 com resíduos e 280 sem resíduos.</w:t>
      </w:r>
    </w:p>
    <w:p>
      <w:pPr>
        <w:pStyle w:val="normal1"/>
        <w:spacing w:lineRule="auto" w:line="240"/>
        <w:ind w:hanging="0"/>
        <w:jc w:val="center"/>
        <w:rPr/>
      </w:pPr>
      <w:r>
        <w:rPr>
          <w:rFonts w:eastAsia="Times New Roman" w:cs="Times New Roman"/>
          <w:sz w:val="24"/>
          <w:szCs w:val="24"/>
          <w:lang w:val="pt-BR"/>
        </w:rPr>
        <w:t>Tabela 3 – Composição dos conjuntos utilizados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7"/>
        <w:gridCol w:w="1810"/>
        <w:gridCol w:w="1937"/>
        <w:gridCol w:w="3056"/>
      </w:tblGrid>
      <w:tr>
        <w:trPr/>
        <w:tc>
          <w:tcPr>
            <w:tcW w:w="2267"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Conjunto</w:t>
            </w:r>
          </w:p>
        </w:tc>
        <w:tc>
          <w:tcPr>
            <w:tcW w:w="1810"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Total de imagens</w:t>
            </w:r>
          </w:p>
        </w:tc>
        <w:tc>
          <w:tcPr>
            <w:tcW w:w="193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positivas</w:t>
            </w:r>
          </w:p>
        </w:tc>
        <w:tc>
          <w:tcPr>
            <w:tcW w:w="3056"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negativas/background</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Treino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6.736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5.685</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1.051</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Validação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1.286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1.101</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185</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Teste</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560</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pPr>
        <w:pStyle w:val="normal1"/>
        <w:jc w:val="center"/>
        <w:rPr>
          <w:lang w:val="pt-BR"/>
        </w:rPr>
      </w:pPr>
      <w:r>
        <w:rPr/>
        <w:drawing>
          <wp:inline distT="0" distB="0" distL="0" distR="0">
            <wp:extent cx="5400040" cy="190817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1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2 – Composição do conjunto de teste e distribuição de bounding boxes por imagem positiva</w:t>
      </w:r>
    </w:p>
    <w:p>
      <w:pPr>
        <w:pStyle w:val="normal1"/>
        <w:spacing w:lineRule="auto" w:line="240"/>
        <w:ind w:hanging="0"/>
        <w:jc w:val="left"/>
        <w:rPr>
          <w:lang w:val="pt-BR"/>
        </w:rPr>
      </w:pPr>
      <w:r>
        <w:rPr>
          <w:rFonts w:eastAsia="Times New Roman" w:cs="Times New Roman"/>
          <w:sz w:val="20"/>
          <w:szCs w:val="20"/>
          <w:lang w:val="pt-BR"/>
        </w:rPr>
        <w:tab/>
        <w:t>Fonte: elaborado pelo autor com base nos resultados do experimento (2026).</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2736215"/>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13"/>
                    <a:stretch>
                      <a:fillRect/>
                    </a:stretch>
                  </pic:blipFill>
                  <pic:spPr bwMode="auto">
                    <a:xfrm>
                      <a:off x="0" y="0"/>
                      <a:ext cx="5400040" cy="27362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3 – Amostras do conjunto de teste</w:t>
      </w:r>
      <w:r>
        <w:rPr>
          <w:sz w:val="20"/>
          <w:szCs w:val="20"/>
          <w:lang w:val="pt-BR"/>
        </w:rPr>
        <w:t xml:space="preserve">: </w:t>
      </w:r>
      <w:r>
        <w:rPr>
          <w:rFonts w:eastAsia="Times New Roman" w:cs="Times New Roman"/>
          <w:sz w:val="20"/>
          <w:szCs w:val="20"/>
          <w:lang w:val="pt-BR"/>
        </w:rPr>
        <w:t>linha superior: imagens com resíduos; linha inferior: imagens sem resíduos</w:t>
      </w:r>
    </w:p>
    <w:p>
      <w:pPr>
        <w:pStyle w:val="normal1"/>
        <w:spacing w:lineRule="auto" w:line="240"/>
        <w:ind w:hanging="0"/>
        <w:jc w:val="left"/>
        <w:rPr>
          <w:lang w:val="pt-BR"/>
        </w:rPr>
      </w:pPr>
      <w:r>
        <w:rPr>
          <w:rFonts w:eastAsia="Times New Roman" w:cs="Times New Roman"/>
          <w:sz w:val="20"/>
          <w:szCs w:val="20"/>
          <w:lang w:val="pt-BR"/>
        </w:rPr>
        <w:t>Fonte: elaborado pelo autor com base no conjunto de teste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proporção de imagens negativas no treinamento do YOLOv11m foi mantida em aproximadamente 15%. O conjunto final de treino apresentou 15,6% de imagens de background, proporção compatível com a decisão metodológica de fortalecer a exposição do modelo a cenas urbanas limpas e reduzir falsos positivos.</w:t>
      </w:r>
    </w:p>
    <w:p>
      <w:pPr>
        <w:pStyle w:val="BodyText"/>
        <w:widowControl w:val="false"/>
        <w:suppressAutoHyphens w:val="true"/>
        <w:bidi w:val="0"/>
        <w:ind w:firstLine="709"/>
        <w:jc w:val="both"/>
        <w:rPr>
          <w:lang w:val="pt-BR"/>
        </w:rPr>
      </w:pPr>
      <w:r>
        <w:rPr>
          <w:lang w:val="pt-BR"/>
        </w:rPr>
        <w:t>Essa alteração melhora a capacidade do detector de rejeitar cenas sem resíduos, mas também pode tornar o modelo mais conservador diante de imagens positivas. Assim, a interpretação dos resultados deve considerar o trade-off entre especificidade e sensibilidade: ampliar exemplos de background tende a reduzir alarmes falsos, mas pode aumentar o número de resíduos não detectados.</w:t>
      </w:r>
    </w:p>
    <w:p>
      <w:pPr>
        <w:pStyle w:val="normal1"/>
        <w:spacing w:before="0" w:after="120"/>
        <w:jc w:val="left"/>
        <w:rPr>
          <w:b/>
          <w:bCs/>
        </w:rPr>
      </w:pPr>
      <w:r>
        <w:rPr>
          <w:b/>
          <w:bCs/>
          <w:color w:val="000000"/>
          <w:lang w:val="pt-BR"/>
        </w:rPr>
        <w:t>4.3 Desempenho preditivo dos modelos</w:t>
      </w:r>
    </w:p>
    <w:p>
      <w:pPr>
        <w:pStyle w:val="BodyText"/>
        <w:widowControl w:val="false"/>
        <w:suppressAutoHyphens w:val="true"/>
        <w:bidi w:val="0"/>
        <w:ind w:firstLine="709"/>
        <w:jc w:val="both"/>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Vision-Language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pPr>
        <w:pStyle w:val="normal1"/>
        <w:spacing w:lineRule="auto" w:line="240"/>
        <w:ind w:hanging="0"/>
        <w:jc w:val="center"/>
        <w:rPr>
          <w:sz w:val="24"/>
          <w:szCs w:val="24"/>
        </w:rPr>
      </w:pPr>
      <w:r>
        <w:rPr>
          <w:rFonts w:eastAsia="Times New Roman" w:cs="Times New Roman"/>
          <w:sz w:val="24"/>
          <w:szCs w:val="24"/>
          <w:lang w:val="pt-BR"/>
        </w:rPr>
        <w:t>Tabela 4 – Comparação das métricas preditivas entre YOLOv11m e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Diferença Gemma – YOLO</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+0,2108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+0,1494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+0,3000</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F1-score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0,9238</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+0,2198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FP</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resultado mais expressivo aparece no recall. O Gemma 3 27B-IT identificou corretamente 279 das 280 imagens com resíduos, alcançando sensibilidade de 0,9964. O YOLOv11m, por sua vez, identificou corretamente 195 das 280 imagens positivas, com recall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pPr>
        <w:pStyle w:val="normal1"/>
        <w:jc w:val="center"/>
        <w:rPr>
          <w:lang w:val="pt-BR"/>
        </w:rPr>
      </w:pPr>
      <w:r>
        <w:rPr/>
        <w:drawing>
          <wp:inline distT="0" distB="0" distL="0" distR="0">
            <wp:extent cx="5400040" cy="241173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14"/>
                    <a:stretch>
                      <a:fillRect/>
                    </a:stretch>
                  </pic:blipFill>
                  <pic:spPr bwMode="auto">
                    <a:xfrm>
                      <a:off x="0" y="0"/>
                      <a:ext cx="5400040" cy="241173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4 – Comparação de métricas preditivas entre YOLOv11m e Gemma 3 27B-IT</w:t>
      </w:r>
    </w:p>
    <w:p>
      <w:pPr>
        <w:pStyle w:val="normal1"/>
        <w:spacing w:lineRule="auto" w:line="240"/>
        <w:ind w:hanging="0"/>
        <w:jc w:val="left"/>
        <w:rPr>
          <w:lang w:val="pt-BR"/>
        </w:rPr>
      </w:pPr>
      <w:r>
        <w:rPr>
          <w:rFonts w:eastAsia="Times New Roman" w:cs="Times New Roman"/>
          <w:sz w:val="20"/>
          <w:szCs w:val="20"/>
          <w:lang w:val="pt-BR"/>
        </w:rPr>
        <w:tab/>
        <w:tab/>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pPr>
        <w:pStyle w:val="BodyText"/>
        <w:widowControl w:val="false"/>
        <w:suppressAutoHyphens w:val="true"/>
        <w:bidi w:val="0"/>
        <w:ind w:firstLine="709"/>
        <w:jc w:val="both"/>
        <w:rPr>
          <w:lang w:val="pt-BR"/>
        </w:rPr>
      </w:pPr>
      <w:r>
        <w:rPr>
          <w:lang w:val="pt-B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pPr>
        <w:pStyle w:val="normal1"/>
        <w:rPr>
          <w:lang w:val="pt-BR"/>
        </w:rPr>
      </w:pPr>
      <w:r>
        <w:rPr>
          <w:lang w:val="pt-BR"/>
        </w:rPr>
        <w:t>As matrizes de confusão permitem visualizar melhor essa diferença.</w:t>
      </w:r>
    </w:p>
    <w:p>
      <w:pPr>
        <w:pStyle w:val="normal1"/>
        <w:spacing w:lineRule="auto" w:line="240"/>
        <w:ind w:hanging="0"/>
        <w:jc w:val="center"/>
        <w:rPr>
          <w:sz w:val="24"/>
          <w:szCs w:val="24"/>
        </w:rPr>
      </w:pPr>
      <w:r>
        <w:rPr>
          <w:rFonts w:eastAsia="Times New Roman" w:cs="Times New Roman"/>
          <w:sz w:val="24"/>
          <w:szCs w:val="24"/>
          <w:lang w:val="pt-BR"/>
        </w:rPr>
        <w:t>Tabela 5 – Matriz de confusão do YOLOv11m</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201</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79</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85</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195</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ind w:hanging="0"/>
        <w:jc w:val="center"/>
        <w:rPr>
          <w:sz w:val="24"/>
          <w:szCs w:val="24"/>
        </w:rPr>
      </w:pPr>
      <w:r>
        <w:rPr>
          <w:rFonts w:eastAsia="Times New Roman" w:cs="Times New Roman"/>
          <w:sz w:val="24"/>
          <w:szCs w:val="24"/>
          <w:lang w:val="pt-BR"/>
        </w:rPr>
        <w:t>Tabela 6 – Matriz de confusão do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235</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45</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1</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279</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before="60" w:after="120"/>
        <w:jc w:val="left"/>
        <w:rPr>
          <w:lang w:val="pt-BR"/>
        </w:rPr>
      </w:pPr>
      <w:r>
        <w:rPr>
          <w:lang w:val="pt-BR"/>
        </w:rP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pStyle w:val="normal1"/>
        <w:jc w:val="center"/>
        <w:rPr>
          <w:lang w:val="pt-BR"/>
        </w:rPr>
      </w:pPr>
      <w:r>
        <w:rPr/>
        <w:drawing>
          <wp:inline distT="0" distB="0" distL="0" distR="0">
            <wp:extent cx="5400040" cy="230378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5"/>
                    <a:stretch>
                      <a:fillRect/>
                    </a:stretch>
                  </pic:blipFill>
                  <pic:spPr bwMode="auto">
                    <a:xfrm>
                      <a:off x="0" y="0"/>
                      <a:ext cx="5400040" cy="230378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5 – Matrizes de confusão — classificação binária por imagem (YOLOv11m, limiar 0,25, e Gemma 3 27B-IT, zero-shot)</w:t>
      </w:r>
    </w:p>
    <w:p>
      <w:pPr>
        <w:pStyle w:val="normal1"/>
        <w:spacing w:lineRule="auto" w:line="240"/>
        <w:ind w:hanging="0"/>
        <w:jc w:val="center"/>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rPr>
          <w:lang w:val="pt-BR"/>
        </w:rPr>
      </w:pPr>
      <w:r>
        <w:rPr>
          <w:lang w:val="pt-BR"/>
        </w:rPr>
        <w:t xml:space="preserve">Na configuração final do treinamento, aproximadamente 15% das imagens corresponderam a exemplos de </w:t>
      </w:r>
      <w:r>
        <w:rPr>
          <w:rStyle w:val="Emphasis"/>
          <w:lang w:val="pt-BR"/>
        </w:rPr>
        <w:t>background</w:t>
      </w:r>
      <w:r>
        <w:rPr>
          <w:lang w:val="pt-BR"/>
        </w:rPr>
        <w:t>. Nessa condição experimental, o YOLOv11m apresentou especificidade mais elevada do que sensibilidade, indicando comportamento mais conservador. O detector gerou falsos positivos em cenas sem resíduos e também deixou de identificar parte das imagens efetivamente positivas.</w:t>
      </w:r>
    </w:p>
    <w:p>
      <w:pPr>
        <w:pStyle w:val="BodyText"/>
        <w:rPr/>
      </w:pPr>
      <w:r>
        <w:rPr/>
        <w:t xml:space="preserve">Esse comportamento evidencia um </w:t>
      </w:r>
      <w:r>
        <w:rPr>
          <w:rStyle w:val="Emphasis"/>
        </w:rPr>
        <w:t>trade-off</w:t>
      </w:r>
      <w:r>
        <w:rPr/>
        <w:t xml:space="preserve"> relevante para a gestão pública. A priorização da especificidade pode reduzir acionamentos desnecessários, enquanto a priorização da sensibilidade pode diminuir a omissão de pontos de descarte irregular. A análise dos limiares de confiança reforçou essa relação: em valores mais elevados, o YOLOv11m alcançou especificidade superior a 0,88 e taxa de falsos positivos inferior a 0,12, porém com </w:t>
      </w:r>
      <w:r>
        <w:rPr>
          <w:rStyle w:val="Emphasis"/>
        </w:rPr>
        <w:t>recall</w:t>
      </w:r>
      <w:r>
        <w:rPr/>
        <w:t xml:space="preserve"> próximo de 0,43. A Tabela 7 apresenta os resultados dos quatro limiares avaliados. Dessa forma, a escolha do ponto de operação deve considerar o custo administrativo atribuído a cada tipo de erro.</w:t>
      </w:r>
    </w:p>
    <w:p>
      <w:pPr>
        <w:pStyle w:val="normal1"/>
        <w:spacing w:lineRule="auto" w:line="240"/>
        <w:ind w:hanging="0"/>
        <w:jc w:val="center"/>
        <w:rPr>
          <w:sz w:val="24"/>
          <w:szCs w:val="24"/>
        </w:rPr>
      </w:pPr>
      <w:r>
        <w:rPr>
          <w:rFonts w:eastAsia="Times New Roman" w:cs="Times New Roman"/>
          <w:sz w:val="24"/>
          <w:szCs w:val="24"/>
          <w:lang w:val="pt-BR"/>
        </w:rPr>
        <w:t>Tabela 7 – Análise de sensibilidade ao limiar de confiança (YOLOv11m)</w:t>
      </w:r>
    </w:p>
    <w:tbl>
      <w:tblPr>
        <w:tblStyle w:val="TableNormal"/>
        <w:tblW w:w="9026" w:type="dxa"/>
        <w:jc w:val="left"/>
        <w:tblInd w:w="-115" w:type="dxa"/>
        <w:tblLayout w:type="fixed"/>
        <w:tblCellMar>
          <w:top w:w="0" w:type="dxa"/>
          <w:left w:w="108" w:type="dxa"/>
          <w:bottom w:w="0" w:type="dxa"/>
          <w:right w:w="108" w:type="dxa"/>
        </w:tblCellMar>
        <w:tblLook w:val="0000" w:noHBand="0" w:noVBand="0" w:firstColumn="0" w:lastRow="0" w:lastColumn="0" w:firstRow="0"/>
      </w:tblPr>
      <w:tblGrid>
        <w:gridCol w:w="1199"/>
        <w:gridCol w:w="1303"/>
        <w:gridCol w:w="1297"/>
        <w:gridCol w:w="1015"/>
        <w:gridCol w:w="1588"/>
        <w:gridCol w:w="1298"/>
        <w:gridCol w:w="1325"/>
      </w:tblGrid>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Limiar</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Acurácia</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Precisão</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Recall</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Especificidade</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F1-score</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Taxa de FP</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0,7268</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0,7617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0,8071</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0,6967</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0,1929</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0,50</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0,7054</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0,8182</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0,8643</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0,6548</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0,1357</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0,6661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0,8737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0,4286</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0,9036</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0,5746</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0,0964</w:t>
            </w:r>
          </w:p>
        </w:tc>
      </w:tr>
    </w:tbl>
    <w:p>
      <w:pPr>
        <w:pStyle w:val="normal1"/>
        <w:ind w:hanging="0"/>
        <w:jc w:val="left"/>
        <w:rPr>
          <w:lang w:val="pt-BR"/>
        </w:rPr>
      </w:pPr>
      <w:r>
        <w:rPr>
          <w:lang w:val="pt-BR"/>
        </w:rPr>
        <w:t xml:space="preserve">* Limiar principal utilizado na comparação. </w:t>
        <w:br/>
        <w:t>Fonte: elaborado pelo autor com base nos resultados do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4.4 Significância estatística dos resultados</w:t>
      </w:r>
    </w:p>
    <w:p>
      <w:pPr>
        <w:pStyle w:val="normal1"/>
        <w:rPr>
          <w:lang w:val="pt-BR"/>
        </w:rPr>
      </w:pPr>
      <w:r>
        <w:rPr>
          <w:lang w:val="pt-BR"/>
        </w:rPr>
        <w:t>A análise do experimento acrescentou uma camada estatística importante aos resultados. Foram calculados intervalos de confiança de 95% pelo método de Wilson, além do teste de McNemar para comparação entre classificadores avaliados sobre o mesmo conjunto de teste.</w:t>
      </w:r>
    </w:p>
    <w:p>
      <w:pPr>
        <w:pStyle w:val="normal1"/>
        <w:spacing w:lineRule="auto" w:line="240"/>
        <w:ind w:hanging="0"/>
        <w:jc w:val="center"/>
        <w:rPr>
          <w:lang w:val="pt-BR"/>
        </w:rPr>
      </w:pPr>
      <w:r>
        <w:rPr>
          <w:rFonts w:eastAsia="Times New Roman" w:cs="Times New Roman"/>
          <w:sz w:val="20"/>
          <w:szCs w:val="20"/>
          <w:lang w:val="pt-BR"/>
        </w:rPr>
        <w:t>Tabela 8 – Métricas com intervalos de confiança de 95%</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00"/>
        <w:gridCol w:w="2550"/>
        <w:gridCol w:w="3521"/>
      </w:tblGrid>
      <w:tr>
        <w:trPr/>
        <w:tc>
          <w:tcPr>
            <w:tcW w:w="300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55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 – IC 95%</w:t>
            </w:r>
          </w:p>
        </w:tc>
        <w:tc>
          <w:tcPr>
            <w:tcW w:w="352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 – IC 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 [0,668 – 0,743]</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 [0,892 – 0,938]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 [0,655 – 0,762]</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 [0,819 – 0,895]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 [0,640 – 0,747]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 [0,980 – 0,999]</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 [0,663 – 0,767]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 [0,792 – 0,878]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falsos positivos</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 [0,233 – 0,338]</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 [0,122 – 0,208]</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pPr>
        <w:pStyle w:val="BodyText"/>
        <w:widowControl w:val="false"/>
        <w:suppressAutoHyphens w:val="true"/>
        <w:bidi w:val="0"/>
        <w:ind w:firstLine="709"/>
        <w:jc w:val="both"/>
        <w:rPr>
          <w:lang w:val="pt-BR"/>
        </w:rPr>
      </w:pPr>
      <w:r>
        <w:rPr>
          <w:lang w:val="pt-BR"/>
        </w:rPr>
        <w:t>Foram também calculados o kappa de Cohen e o coeficiente de correlação de Matthews. O kappa do YOLOv11m em relação ao ground truth foi de 0,414, enquanto o Gemma 3 27B-IT obteve 0,836. O MCC foi de 0,414 para o YOLOv11m e 0,846 para o Gemma 3 27B-IT.</w:t>
      </w:r>
    </w:p>
    <w:p>
      <w:pPr>
        <w:pStyle w:val="normal1"/>
        <w:spacing w:lineRule="auto" w:line="240"/>
        <w:ind w:hanging="0"/>
        <w:jc w:val="center"/>
        <w:rPr>
          <w:lang w:val="pt-BR"/>
        </w:rPr>
      </w:pPr>
      <w:r>
        <w:rPr>
          <w:rFonts w:eastAsia="Times New Roman" w:cs="Times New Roman"/>
          <w:sz w:val="20"/>
          <w:szCs w:val="20"/>
          <w:lang w:val="pt-BR"/>
        </w:rPr>
        <w:t>Tabela 9 – Indicadores complementares de concordância e discriminação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450"/>
        <w:gridCol w:w="2597"/>
        <w:gridCol w:w="3024"/>
      </w:tblGrid>
      <w:tr>
        <w:trPr/>
        <w:tc>
          <w:tcPr>
            <w:tcW w:w="345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259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Kappa de Cohen vs. Ground truth</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Coeficiente de correlação de Matthews</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0,846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 balanceada</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0,918</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Índice J de Youden</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4.5 Eficiência computacional</w:t>
      </w:r>
    </w:p>
    <w:p>
      <w:pPr>
        <w:pStyle w:val="BodyText"/>
        <w:widowControl w:val="false"/>
        <w:suppressAutoHyphens w:val="true"/>
        <w:bidi w:val="0"/>
        <w:ind w:firstLine="709"/>
        <w:jc w:val="both"/>
        <w:rPr>
          <w:lang w:val="pt-BR"/>
        </w:rPr>
      </w:pPr>
      <w:r>
        <w:rPr>
          <w:lang w:val="pt-BR"/>
        </w:rPr>
        <w:t>Apesar do melhor desempenho preditivo do Gemma 3 27B-IT nas condições experimentais avaliadas, a análise de eficiência computacional revelou vantagem expressiva do YOLOv11m. O detector especializado apresentou latência média end-to-end de 8,4 milissegundos por imagem, enquanto o Gemma 3 27B-IT apresentou latência média de 1.191,9 milissegundos. Em termos de throughput, o YOLOv11m alcançou 135,2 imagens por segundo, enquanto o Gemma 3 27B-IT processou aproximadamente 0,839 imagem por segundo.</w:t>
      </w:r>
    </w:p>
    <w:p>
      <w:pPr>
        <w:pStyle w:val="normal1"/>
        <w:spacing w:lineRule="auto" w:line="240"/>
        <w:ind w:hanging="0"/>
        <w:jc w:val="center"/>
        <w:rPr>
          <w:sz w:val="24"/>
          <w:szCs w:val="24"/>
        </w:rPr>
      </w:pPr>
      <w:r>
        <w:rPr>
          <w:rFonts w:eastAsia="Times New Roman" w:cs="Times New Roman"/>
          <w:sz w:val="24"/>
          <w:szCs w:val="24"/>
          <w:lang w:val="pt-BR"/>
        </w:rPr>
        <w:t>Tabela 10 – Eficiência computacional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média end-to-end</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mediana P50</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1.172,2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P95</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9,3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1.346,9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Throughput</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135,2 img/s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 img/s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Fator de velocidade</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141 vezes mais rápido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referência</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Esses resultados indicam que o YOLOv11m foi aproximadamente 141 vezes mais rápido que o Gemma 3 27B-IT no ambiente avaliado. A diferença é decisiva em aplicações que exigem processamento em tempo real ou em larga escala. Por exemplo, em um sistema municipal hipotético composto por várias câmeras ou por fluxos contínuos de imagens, um modelo com capacidade de processar mais de 100 imagens por segundo apresenta maior compatibilidade operacional do que um modelo que processa menos de uma imagem por segundo.</w:t>
      </w:r>
    </w:p>
    <w:p>
      <w:pPr>
        <w:pStyle w:val="BodyText"/>
        <w:widowControl w:val="false"/>
        <w:suppressAutoHyphens w:val="true"/>
        <w:bidi w:val="0"/>
        <w:ind w:firstLine="709"/>
        <w:jc w:val="both"/>
        <w:rPr>
          <w:lang w:val="pt-BR"/>
        </w:rPr>
      </w:pPr>
      <w:r>
        <w:rPr>
          <w:lang w:val="pt-BR"/>
        </w:rPr>
        <w:t>Contudo, é necessário interpretar esses números com cautela. As medições foram feitas em uma GPU RTX 5090, hardware de alto desempenho e não necessariamente representativo da infraestrutura disponível em órgãos públicos municipais. Assim, as latências absolutas não devem ser automaticamente transferidas para um cenário real de implantação. Ainda assim, a diferença relativa entre os modelos é suficientemente grande para sustentar que o YOLOv11m apresenta maior viabilidade computacional para tarefas de alto volume e resposta rápida.</w:t>
      </w:r>
    </w:p>
    <w:p>
      <w:pPr>
        <w:pStyle w:val="BodyText"/>
        <w:widowControl w:val="false"/>
        <w:suppressAutoHyphens w:val="true"/>
        <w:bidi w:val="0"/>
        <w:ind w:firstLine="709"/>
        <w:jc w:val="both"/>
        <w:rPr>
          <w:lang w:val="pt-BR"/>
        </w:rPr>
      </w:pPr>
      <w:r>
        <w:rPr>
          <w:lang w:val="pt-BR"/>
        </w:rPr>
        <w:t>Esse achado dialoga com a literatura de detecção de objetos. O YOLO foi originalmente proposto como uma abordagem unificada e rápida para detecção, processando imagens de forma direta e em tempo real, ao contrário de métodos baseados em etapas sucessivas de proposição e classificação de regiões (Redmon et al., 2016). Estudos sobre detecção de resíduos também destacam o potencial da família YOLO em aplicações que exigem bom desempenho, tempo de processamento reduzido e menor consumo de memória (Córdova et al., 2022).</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4.6 Teste da hipótese de pesquisa</w:t>
      </w:r>
    </w:p>
    <w:p>
      <w:pPr>
        <w:pStyle w:val="BodyText"/>
        <w:widowControl w:val="false"/>
        <w:suppressAutoHyphens w:val="true"/>
        <w:bidi w:val="0"/>
        <w:ind w:firstLine="709"/>
        <w:jc w:val="both"/>
        <w:rPr>
          <w:lang w:val="pt-BR"/>
        </w:rPr>
      </w:pPr>
      <w:r>
        <w:rPr>
          <w:lang w:val="pt-BR"/>
        </w:rPr>
        <w:t>A hipótese provisória da pesquisa afirmava que modelos especializados de detecção, como o YOLOv11m, tenderiam a apresentar maior viabilidade operacional para monitoramento automatizado de resíduos urbanos quando comparados a modelos visão-linguagem generalistas em modo zero-shot, especialmente em termos de velocidade de inferência e controle de falsos positivos.</w:t>
      </w:r>
    </w:p>
    <w:p>
      <w:pPr>
        <w:pStyle w:val="BodyText"/>
        <w:widowControl w:val="false"/>
        <w:suppressAutoHyphens w:val="true"/>
        <w:bidi w:val="0"/>
        <w:ind w:firstLine="709"/>
        <w:jc w:val="both"/>
        <w:rPr>
          <w:lang w:val="pt-BR"/>
        </w:rPr>
      </w:pPr>
      <w:r>
        <w:rPr>
          <w:lang w:val="pt-BR"/>
        </w:rPr>
        <w:t>Os resultados permitem afirmar que essa hipótese foi parcialmente corroborada. A primeira parte da hipótese foi confirmada: o YOLOv11m foi significativamente mais rápido que o Gemma 3 27B-IT. A diferença de latência e throughput confirma a vantagem operacional do detector especializado quando o critério principal é processamento em escala ou tempo real.</w:t>
      </w:r>
    </w:p>
    <w:p>
      <w:pPr>
        <w:pStyle w:val="BodyText"/>
        <w:widowControl w:val="false"/>
        <w:suppressAutoHyphens w:val="true"/>
        <w:bidi w:val="0"/>
        <w:ind w:firstLine="709"/>
        <w:jc w:val="both"/>
        <w:rPr>
          <w:lang w:val="pt-BR"/>
        </w:rPr>
      </w:pPr>
      <w:r>
        <w:rPr>
          <w:lang w:val="pt-B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pPr>
        <w:pStyle w:val="BodyText"/>
        <w:widowControl w:val="false"/>
        <w:suppressAutoHyphens w:val="true"/>
        <w:bidi w:val="0"/>
        <w:ind w:firstLine="709"/>
        <w:jc w:val="both"/>
        <w:rPr>
          <w:lang w:val="pt-BR"/>
        </w:rPr>
      </w:pPr>
      <w:r>
        <w:rPr>
          <w:lang w:val="pt-BR"/>
        </w:rPr>
        <w:t>A refutação parcial da hipótese é compatível com o método hipotético-dedutivo, no qual uma hipótese provisória é formulada e submetida à verificação empírica, sendo posteriormente avaliada conforme sua correspondência com os dados observados (Marconi; Lakatos, 2011). Nesse processo, a hipótese pode ser corroborada integral ou parcialmente, ou não ser corroborada pelos resultados. No presente estudo, a suposição inicial de maior controle de falsos positivos por parte do modelo especializado não se sustentou nas condições experimentais adotadas.</w:t>
      </w:r>
    </w:p>
    <w:p>
      <w:pPr>
        <w:pStyle w:val="BodyText"/>
        <w:widowControl w:val="false"/>
        <w:suppressAutoHyphens w:val="true"/>
        <w:bidi w:val="0"/>
        <w:ind w:firstLine="709"/>
        <w:jc w:val="both"/>
        <w:rPr>
          <w:lang w:val="pt-BR"/>
        </w:rPr>
      </w:pPr>
      <w:r>
        <w:rPr>
          <w:lang w:val="pt-BR"/>
        </w:rPr>
        <w:t>A interpretação dos resultados do YOLOv11m deve considerar a nova composição do treinamento. A proporção de imagens negativas foi ampliada para aproximadamente 15%, alcançando 15,6% no conjunto final. Essa escolha fortaleceu a exposição do modelo a cenas urbanas limpas e favoreceu a redução de falsos positivos, mas também contribuiu para um comportamento mais conservador, associado à queda de recall observada no conjunto de teste.</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4.7 Análise de erros e complementaridade entre os modelos</w:t>
      </w:r>
    </w:p>
    <w:p>
      <w:pPr>
        <w:pStyle w:val="BodyText"/>
        <w:widowControl w:val="false"/>
        <w:suppressAutoHyphens w:val="true"/>
        <w:bidi w:val="0"/>
        <w:ind w:firstLine="709"/>
        <w:jc w:val="both"/>
        <w:rPr>
          <w:lang w:val="pt-BR"/>
        </w:rPr>
      </w:pPr>
      <w:r>
        <w:rPr>
          <w:lang w:val="pt-BR"/>
        </w:rP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pPr>
        <w:pStyle w:val="normal1"/>
        <w:spacing w:lineRule="auto" w:line="240"/>
        <w:ind w:hanging="0"/>
        <w:jc w:val="center"/>
        <w:rPr>
          <w:sz w:val="24"/>
          <w:szCs w:val="24"/>
        </w:rPr>
      </w:pPr>
      <w:r>
        <w:rPr>
          <w:rFonts w:eastAsia="Times New Roman" w:cs="Times New Roman"/>
          <w:sz w:val="24"/>
          <w:szCs w:val="24"/>
          <w:lang w:val="pt-BR"/>
        </w:rPr>
        <w:t>Tabela 11 – Distribuição conjunta dos casos de acerto e erro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6"/>
        <w:gridCol w:w="2268"/>
        <w:gridCol w:w="2268"/>
      </w:tblGrid>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Classificação conjunta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363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64,8%</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Gemma 3 27B-IT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151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27,0%</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YOLOv11m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5,9%</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incorretos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2,3%</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pPr>
        <w:pStyle w:val="normal1"/>
        <w:jc w:val="center"/>
        <w:rPr>
          <w:lang w:val="pt-BR"/>
        </w:rPr>
      </w:pPr>
      <w:r>
        <w:rPr/>
        <w:drawing>
          <wp:inline distT="0" distB="0" distL="0" distR="0">
            <wp:extent cx="5400040" cy="1908175"/>
            <wp:effectExtent l="0" t="0" r="0" b="0"/>
            <wp:docPr id="7"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descr=""/>
                    <pic:cNvPicPr>
                      <a:picLocks noChangeAspect="1" noChangeArrowheads="1"/>
                    </pic:cNvPicPr>
                  </pic:nvPicPr>
                  <pic:blipFill>
                    <a:blip r:embed="rId16"/>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6 – Exemplos de acerto conjunto — imagens com resíduos detectadas por ambos os modelos (GT=1,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7 – Exemplos de acerto conjunto — imagens sem resíduos classificadas corretamente por ambos os modelos (GT=0, Y=0,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8"/>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8 – Exemplos de erro exclusivo do YOLOv11m — imagens com resíduos identificadas pelo VLM mas não pelo detector (FN YOLO: GT=1,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2160270" cy="2520315"/>
            <wp:effectExtent l="0" t="0" r="0" b="0"/>
            <wp:docPr id="1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descr=""/>
                    <pic:cNvPicPr>
                      <a:picLocks noChangeAspect="1" noChangeArrowheads="1"/>
                    </pic:cNvPicPr>
                  </pic:nvPicPr>
                  <pic:blipFill>
                    <a:blip r:embed="rId19"/>
                    <a:stretch>
                      <a:fillRect/>
                    </a:stretch>
                  </pic:blipFill>
                  <pic:spPr bwMode="auto">
                    <a:xfrm>
                      <a:off x="0" y="0"/>
                      <a:ext cx="2160270" cy="25203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9 – Exemplo de erro exclusivo do VLM — imagem com resíduos detectada pelo YOLO mas não identificada pelo Gemma (FN VLM: GT=1,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Imagem de via pública brasileira.</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descr=""/>
                    <pic:cNvPicPr>
                      <a:picLocks noChangeAspect="1" noChangeArrowheads="1"/>
                    </pic:cNvPicPr>
                  </pic:nvPicPr>
                  <pic:blipFill>
                    <a:blip r:embed="rId20"/>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10 – Exemplos de falso positivo exclusivo do YOLOv11m — cenas sem resíduos classificadas erroneamente pelo detector (GT=0,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descr=""/>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11 – Exemplos de falso positivo exclusivo do Gemma 3 27B-IT — cenas sem resíduos classificadas erroneamente pelo VLM (GT=0,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12 – Exemplos de falso positivo de ambos os modelos — cenas sem resíduos classificadas erroneamente por YOLO e VLM (GT=0,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inspeção visual dos erros permitiu identificar diferenças qualitativas no comportamento dos modelos. Os casos de erro não ocorreram apenas em imagens distintas, mas também apresentaram padrões diferentes de interpretação.</w:t>
      </w:r>
    </w:p>
    <w:p>
      <w:pPr>
        <w:pStyle w:val="BodyText"/>
        <w:widowControl w:val="false"/>
        <w:suppressAutoHyphens w:val="true"/>
        <w:bidi w:val="0"/>
        <w:ind w:firstLine="709"/>
        <w:jc w:val="both"/>
        <w:rPr/>
      </w:pPr>
      <w:r>
        <w:rPr>
          <w:lang w:val="pt-BR"/>
        </w:rPr>
        <w:t xml:space="preserve">O Gemma 3 27B-IT tendeu à sobre-sinalização, classificando como resíduos elementos presentes em cenas consideradas limpas pelo </w:t>
      </w:r>
      <w:r>
        <w:rPr>
          <w:rStyle w:val="Emphasis"/>
          <w:lang w:val="pt-BR"/>
        </w:rPr>
        <w:t>ground truth</w:t>
      </w:r>
      <w:r>
        <w:rPr>
          <w:lang w:val="pt-BR"/>
        </w:rPr>
        <w:t>, como vegetação, áreas não pavimentadas e objetos legítimos do cotidiano urbano. Esse padrão sugere influência do contexto visual na decisão do modelo, podendo resultar em alarmes indevidos que demandam verificação posterior.</w:t>
      </w:r>
    </w:p>
    <w:p>
      <w:pPr>
        <w:pStyle w:val="BodyText"/>
        <w:widowControl w:val="false"/>
        <w:suppressAutoHyphens w:val="true"/>
        <w:bidi w:val="0"/>
        <w:ind w:firstLine="709"/>
        <w:jc w:val="both"/>
        <w:rPr>
          <w:lang w:val="pt-BR"/>
        </w:rPr>
      </w:pPr>
      <w:r>
        <w:rPr>
          <w:lang w:val="pt-BR"/>
        </w:rPr>
        <w:t xml:space="preserve">O YOLOv11m, por sua vez, apresentou casos de subdetecção, deixando de reconhecer resíduos visíveis em parte das imagens positivas. Esse comportamento pode estar associado às diferenças entre as imagens utilizadas no treinamento e as cenas brasileiras do conjunto de teste. Sob a perspectiva administrativa, a sobre-sinalização tende a ampliar falsos alertas, enquanto a subdetecção pode manter focos de descarte fora do sistema de monitoramento. </w:t>
      </w:r>
    </w:p>
    <w:p>
      <w:pPr>
        <w:pStyle w:val="BodyText"/>
        <w:widowControl w:val="false"/>
        <w:suppressAutoHyphens w:val="true"/>
        <w:bidi w:val="0"/>
        <w:ind w:firstLine="709"/>
        <w:jc w:val="both"/>
        <w:rPr>
          <w:lang w:val="pt-BR"/>
        </w:rPr>
      </w:pPr>
      <w:r>
        <w:rPr>
          <w:lang w:val="pt-BR"/>
        </w:rPr>
        <w:t xml:space="preserve">Na configuração final do treinamento, na qual aproximadamente 15% das imagens corresponderam a exemplos de </w:t>
      </w:r>
      <w:r>
        <w:rPr>
          <w:rStyle w:val="Emphasis"/>
          <w:lang w:val="pt-BR"/>
        </w:rPr>
        <w:t>background</w:t>
      </w:r>
      <w:r>
        <w:rPr>
          <w:lang w:val="pt-BR"/>
        </w:rPr>
        <w:t>, o YOLOv11m apresentou 79 falsos positivos e 85 falsos negativos. Esses resultados demonstram a ocorrência dos dois tipos de erro em quantidades próximas. Em aplicações públicas, a definição do ponto de operação deve considerar o custo administrativo associado tanto aos alarmes indevidos quanto à omissão de pontos de descarte irregular.</w:t>
      </w:r>
    </w:p>
    <w:p>
      <w:pPr>
        <w:pStyle w:val="BodyText"/>
        <w:widowControl w:val="false"/>
        <w:suppressAutoHyphens w:val="true"/>
        <w:bidi w:val="0"/>
        <w:ind w:firstLine="709"/>
        <w:jc w:val="both"/>
        <w:rPr/>
      </w:pPr>
      <w:r>
        <w:rPr>
          <w:lang w:val="pt-BR"/>
        </w:rPr>
        <w:t>A inspeção visual dos 85 falsos negativos do YOLOv11m revelou um padrão de erro distinto e relevante para a interpretação dos resultados. Diferentemente do que seria esperado caso o modelo apenas deixasse de identificar resíduos pequenos, distantes ou pouco visíveis, observou-se que parcela expressiva dessas imagens continha resíduos claramente visíveis e, em diversos casos, em grande quantidade. A não identificação de cenas com lixo evidente indica que a falha não decorreu de limitação de resolução ou de saliência do resíduo, mas de uma dificuldade do detector em reconhecer o padrão visual dos resíduos no domínio específico das imagens de teste.</w:t>
      </w:r>
    </w:p>
    <w:p>
      <w:pPr>
        <w:pStyle w:val="BodyText"/>
        <w:widowControl w:val="false"/>
        <w:suppressAutoHyphens w:val="true"/>
        <w:bidi w:val="0"/>
        <w:ind w:firstLine="709"/>
        <w:jc w:val="both"/>
        <w:rPr>
          <w:lang w:val="pt-BR"/>
        </w:rPr>
      </w:pPr>
      <w:r>
        <w:rPr>
          <w:lang w:val="pt-BR"/>
        </w:rPr>
        <w:t>Esse comportamento é coerente com a ocorrência de uma lacuna de domínio (domain gap) entre o conjunto de treinamento e o conjunto de teste. O YOLOv11m foi treinado predominantemente com imagens de bases públicas globais, nas quais os resíduos tendem a aparecer em primeiro plano, bem iluminados e visualmente nítidos. O conjunto de teste, por sua vez, é composto por capturas reais de vias brasileiras, majoritariamente em perspectiva elevada de nível de rua, nas quais o lixo frequentemente se apresenta amassado, molhado, misturado ao pavimento ou disperso pela via. Essa diferença de domínio visual ajuda a explicar por que o modelo, embora corretamente treinado, não generalizou de forma robusta para as condições reais de captura. A própria validação interna do treinamento, realizada sobre imagens do mesmo domínio das bases de treino, apresentou recall por instância em torno de 0,51, indicando que o detector é naturalmente conservador mesmo em seu domínio de origem, característica que se acentua quando aplicado a um domínio distinto.</w:t>
      </w:r>
    </w:p>
    <w:p>
      <w:pPr>
        <w:pStyle w:val="BodyText"/>
        <w:widowControl w:val="false"/>
        <w:suppressAutoHyphens w:val="true"/>
        <w:bidi w:val="0"/>
        <w:ind w:firstLine="709"/>
        <w:jc w:val="both"/>
        <w:rPr>
          <w:lang w:val="pt-BR"/>
        </w:rPr>
      </w:pPr>
      <w:r>
        <w:rPr>
          <w:lang w:val="pt-BR"/>
        </w:rPr>
        <w:t>O perfil de erro do Gemma 3 27B-IT foi diferente. O modelo apresentou apenas um falso negativo, demonstrando elevada sensibilidade para reconhecer a presença de resíduos. Por outro lado, ainda produziu 45 falsos positivos. Esses falsos positivos podem ter duas explicações. A primeira é o viés de anotação: como as anotações do conjunto de teste podem ignorar resíduos muito pequenos ou distantes, o Gemma pode ter identificado corretamente elementos que não estavam anotados no ground truth. A segunda é a possibilidade de alucinação visual, fenômeno discutido na literatura sobre modelos visão-linguagem de grande porte, em que o modelo produz respostas não correspondentes ao conteúdo efetivamente presente na imagem (Li et al., 2025).</w:t>
      </w:r>
    </w:p>
    <w:p>
      <w:pPr>
        <w:pStyle w:val="BodyText"/>
        <w:widowControl w:val="false"/>
        <w:suppressAutoHyphens w:val="true"/>
        <w:bidi w:val="0"/>
        <w:ind w:firstLine="709"/>
        <w:jc w:val="both"/>
        <w:rPr/>
      </w:pPr>
      <w:r>
        <w:rPr>
          <w:lang w:val="pt-BR"/>
        </w:rPr>
        <w:t>Para esclarecer a natureza desses erros, realizou-se inspeção visual sistemática dos 45 falsos positivos do Gemma 3 27B-IT. A análise revelou que a maioria correspondeu a cenas efetivamente sem resíduos, o que indica que se trata majoritariamente de falsos positivos reais do modelo, e não de acertos sobre resíduos não anotados. Esse resultado fortalece a validade da medição de especificidade, pois confirma que a taxa de falsos positivos observada não é, em sua maior parte, um artefato da convenção de anotação. A inspeção permitiu ainda identificar padrões recorrentes nos erros do modelo visão-linguagem. O padrão mais frequente associou-se à presença de vegetação, com cenas em que plantas ornamentais, mato ou vegetação densa nas bordas das calçadas foram interpretadas como indício de resíduos. Um segundo padrão relacionou-se a ambientes de aparência rural ou informal, com ruas e calçadas de terra, nos quais a ausência de pavimentação parece ter contribuído para a classificação equivocada. Um terceiro padrão envolveu a confusão de objetos legítimos com resíduos, como garrafas plásticas dispostas em frente a residências, prática culturalmente comum, além de lonas, pedras e mobiliário urbano. Registraram-se também casos associados à deterioração do ambiente construído, como calçadas danificadas e muros pichados.</w:t>
      </w:r>
    </w:p>
    <w:p>
      <w:pPr>
        <w:pStyle w:val="BodyText"/>
        <w:widowControl w:val="false"/>
        <w:suppressAutoHyphens w:val="true"/>
        <w:bidi w:val="0"/>
        <w:ind w:firstLine="709"/>
        <w:jc w:val="both"/>
        <w:rPr>
          <w:lang w:val="pt-BR"/>
        </w:rPr>
      </w:pPr>
      <w:r>
        <w:rPr>
          <w:lang w:val="pt-BR"/>
        </w:rPr>
        <w:t>O único falso negativo do Gemma 3 27B-IT também se mostrou informativo. Tratava-se de uma cena com descarte irregular de poda de árvore, resíduo de natureza orgânica e verde que o modelo aparentemente não associou à categoria de lixo. Esse caso é coerente com os padrões observados nos falsos positivos, sugerindo que o modelo possui uma compreensão do conceito de resíduo na qual elementos vegetais tendem a ser interpretados como parte natural do ambiente, o que o leva tanto a ignorar resíduos verdes legítimos quanto, em sentido inverso, a sinalizar vegetação ornamental como possível descarte. Ainda assim, mesmo considerando todos os 45 casos como erros, o Gemma 3 27B-IT apresentou taxa de falsos positivos inferior à do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4.8 Discussão dos resultados à luz do referencial teórico</w:t>
      </w:r>
    </w:p>
    <w:p>
      <w:pPr>
        <w:pStyle w:val="BodyText"/>
        <w:widowControl w:val="false"/>
        <w:suppressAutoHyphens w:val="true"/>
        <w:bidi w:val="0"/>
        <w:ind w:firstLine="709"/>
        <w:jc w:val="both"/>
        <w:rPr>
          <w:lang w:val="pt-BR"/>
        </w:rPr>
      </w:pPr>
      <w:r>
        <w:rPr>
          <w:lang w:val="pt-B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(Zou et al., 2023).</w:t>
      </w:r>
    </w:p>
    <w:p>
      <w:pPr>
        <w:pStyle w:val="BodyText"/>
        <w:widowControl w:val="false"/>
        <w:suppressAutoHyphens w:val="true"/>
        <w:bidi w:val="0"/>
        <w:ind w:firstLine="709"/>
        <w:jc w:val="both"/>
        <w:rPr>
          <w:lang w:val="pt-BR"/>
        </w:rPr>
      </w:pPr>
      <w:r>
        <w:rPr>
          <w:lang w:val="pt-BR"/>
        </w:rP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pPr>
        <w:pStyle w:val="BodyText"/>
        <w:widowControl w:val="false"/>
        <w:suppressAutoHyphens w:val="true"/>
        <w:bidi w:val="0"/>
        <w:ind w:firstLine="709"/>
        <w:jc w:val="both"/>
        <w:rPr>
          <w:lang w:val="pt-BR"/>
        </w:rPr>
      </w:pPr>
      <w:r>
        <w:rPr>
          <w:lang w:val="pt-BR"/>
        </w:rP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pPr>
        <w:pStyle w:val="BodyText"/>
        <w:widowControl w:val="false"/>
        <w:suppressAutoHyphens w:val="true"/>
        <w:bidi w:val="0"/>
        <w:ind w:firstLine="709"/>
        <w:jc w:val="both"/>
        <w:rPr>
          <w:lang w:val="pt-BR"/>
        </w:rPr>
      </w:pPr>
      <w:r>
        <w:rPr>
          <w:lang w:val="pt-BR"/>
        </w:rPr>
        <w:t>Os resultados do Gemma 3 27B-IT se relacionam com a literatura sobre modelos visão-linguagem. Zhang et al. (2024) apontam que os VLMs aprendem correlações entre imagens e textos a partir de pares imagem-texto em larga escala, permitindo predições zero-shot em tarefas visuais. Esse fundamento ajuda a explicar por que o Gemma 3 27B-IT, mesmo sem treinamento específico no conjunto de dados do projeto, conseguiu interpretar com alta sensibilidade cenas urbanas contendo resíduos.</w:t>
      </w:r>
    </w:p>
    <w:p>
      <w:pPr>
        <w:pStyle w:val="BodyText"/>
        <w:widowControl w:val="false"/>
        <w:suppressAutoHyphens w:val="true"/>
        <w:bidi w:val="0"/>
        <w:ind w:firstLine="709"/>
        <w:jc w:val="both"/>
        <w:rPr>
          <w:lang w:val="pt-BR"/>
        </w:rPr>
      </w:pPr>
      <w:r>
        <w:rPr>
          <w:lang w:val="pt-BR"/>
        </w:rPr>
        <w:t>O melhor desempenho preditivo do Gemma 3 27B-IT deve ser interpretado conforme o desenho experimental adotado, isto é, como resultado observado em uma tarefa binária, em nível de imagem, com conjunto de teste balanceado e parâmetros específicos de inferência. Esse achado não autoriza concluir superioridade arquitetural universal dos modelos visão-linguagem sobre detectores especializados. A literatura recente também alerta para desafios desses modelos, incluindo alucinações visuais, alinhamento, segurança e avaliação (Li et al., 2025). Assim, embora o Gemma 3 27B-IT tenha apresentado desempenho estatístico superior nesta tarefa, seu uso em gestão pública exigiria mecanismos de auditoria, validação humana, rastreabilidade e controle de erro.</w:t>
      </w:r>
    </w:p>
    <w:p>
      <w:pPr>
        <w:pStyle w:val="BodyText"/>
        <w:widowControl w:val="false"/>
        <w:suppressAutoHyphens w:val="true"/>
        <w:bidi w:val="0"/>
        <w:ind w:firstLine="709"/>
        <w:jc w:val="both"/>
        <w:rPr>
          <w:lang w:val="pt-BR"/>
        </w:rPr>
      </w:pPr>
      <w:r>
        <w:rPr>
          <w:lang w:val="pt-BR"/>
        </w:rPr>
        <w:t>A discussão também se conecta à literatura sobre IA no setor público. Zuiderwijk, Chen e Salem (2021) indicam que a adoção de IA em governança pública deve considerar oportunidades, riscos, desempenho, implementação e impactos. Mišić, van Est e Kool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4.9 Viabilidade para a gestão pública</w:t>
      </w:r>
    </w:p>
    <w:p>
      <w:pPr>
        <w:pStyle w:val="BodyText"/>
        <w:widowControl w:val="false"/>
        <w:suppressAutoHyphens w:val="true"/>
        <w:bidi w:val="0"/>
        <w:ind w:firstLine="709"/>
        <w:jc w:val="both"/>
        <w:rPr>
          <w:lang w:val="pt-BR"/>
        </w:rPr>
      </w:pPr>
      <w:r>
        <w:rPr>
          <w:lang w:val="pt-BR"/>
        </w:rPr>
        <w:t>A análise dos resultados demonstra que a resposta ao problema de pesquisa não pode ser formulada como uma simples vitória de um modelo sobre o outro. A viabilidade depende do regime de uso e dos critérios administrativos priorizados.</w:t>
      </w:r>
    </w:p>
    <w:p>
      <w:pPr>
        <w:pStyle w:val="normal1"/>
        <w:spacing w:lineRule="auto" w:line="240"/>
        <w:ind w:hanging="0"/>
        <w:jc w:val="center"/>
        <w:rPr>
          <w:sz w:val="24"/>
          <w:szCs w:val="24"/>
        </w:rPr>
      </w:pPr>
      <w:r>
        <w:rPr>
          <w:rFonts w:eastAsia="Times New Roman" w:cs="Times New Roman"/>
          <w:sz w:val="24"/>
          <w:szCs w:val="24"/>
          <w:lang w:val="pt-BR"/>
        </w:rPr>
        <w:t>Quadro 2 – Matriz de viabilidade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Critério de viabilidade</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Modelo com vantagem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Desempenho preditivo geral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0,9238</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Velocidade de inferência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Controle de falsos positivos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0,1607</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Custo computacional estimado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Menor</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Maior</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Rastreabilidade visual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Caixas delimitadoras</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Rótulo por imagem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Uso sem treinamento específico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Não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Escalabilidade em tempo real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Alta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Baixa</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Para monitoramento em rede, alto volume de imagens ou uso em tempo real, o YOLOv11m apresenta maior viabilidade operacional. Sua latência reduzida e seu alto throughput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pPr>
        <w:pStyle w:val="BodyText"/>
        <w:widowControl w:val="false"/>
        <w:suppressAutoHyphens w:val="true"/>
        <w:bidi w:val="0"/>
        <w:ind w:firstLine="709"/>
        <w:jc w:val="both"/>
        <w:rPr>
          <w:lang w:val="pt-BR"/>
        </w:rPr>
      </w:pPr>
      <w:r>
        <w:rPr>
          <w:lang w:val="pt-B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pPr>
        <w:pStyle w:val="BodyText"/>
        <w:widowControl w:val="false"/>
        <w:suppressAutoHyphens w:val="true"/>
        <w:bidi w:val="0"/>
        <w:ind w:firstLine="709"/>
        <w:jc w:val="both"/>
        <w:rPr>
          <w:lang w:val="pt-BR"/>
        </w:rPr>
      </w:pPr>
      <w:r>
        <w:rPr>
          <w:lang w:val="pt-BR"/>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pPr>
        <w:pStyle w:val="BodyText"/>
        <w:widowControl w:val="false"/>
        <w:suppressAutoHyphens w:val="true"/>
        <w:bidi w:val="0"/>
        <w:ind w:firstLine="709"/>
        <w:jc w:val="both"/>
        <w:rPr>
          <w:lang w:val="pt-BR"/>
        </w:rPr>
      </w:pPr>
      <w:r>
        <w:rPr>
          <w:lang w:val="pt-BR"/>
        </w:rP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pPr>
        <w:pStyle w:val="BodyText"/>
        <w:widowControl w:val="false"/>
        <w:suppressAutoHyphens w:val="true"/>
        <w:bidi w:val="0"/>
        <w:ind w:firstLine="709"/>
        <w:jc w:val="both"/>
        <w:rPr>
          <w:lang w:val="pt-BR"/>
        </w:rPr>
      </w:pPr>
      <w:r>
        <w:rPr>
          <w:lang w:val="pt-B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pPr>
        <w:pStyle w:val="normal1"/>
        <w:spacing w:lineRule="auto" w:line="240"/>
        <w:ind w:hanging="0"/>
        <w:jc w:val="center"/>
        <w:rPr>
          <w:sz w:val="24"/>
          <w:szCs w:val="24"/>
        </w:rPr>
      </w:pPr>
      <w:r>
        <w:rPr>
          <w:rFonts w:eastAsia="Times New Roman" w:cs="Times New Roman"/>
          <w:sz w:val="24"/>
          <w:szCs w:val="24"/>
          <w:lang w:val="pt-BR"/>
        </w:rPr>
        <w:t>Quadro 3 – Síntese gerencial dos cenários de uso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Cenário de uso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Modelo mais indicado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Justificativa</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Monitoramento em tempo real ou alto volume</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Apresentou latência muito baixa e throughput elevado, embora exija controle dos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Análise offline ou auditoria de imagens</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Apresentou maior desempenho preditivo, recall quase perfeito e menor taxa de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Sistema de triagem com confirmação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Abordagem híbrida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O YOLO pode realizar triagem rápida e o Gemma pode confirmar casos positivos ou duvidosos.</w:t>
            </w:r>
          </w:p>
        </w:tc>
      </w:tr>
      <w:tr>
        <w:trPr>
          <w:trHeight w:val="757" w:hRule="atLeast"/>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Implantação com restrição de infraestrutura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 ou versão menor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Tende a exigir menos recursos computacionais que um VLM de grande porte.</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r>
    </w:p>
    <w:p>
      <w:pPr>
        <w:pStyle w:val="normal1"/>
        <w:rPr>
          <w:lang w:val="pt-BR"/>
        </w:rPr>
      </w:pPr>
      <w:r>
        <w:rPr>
          <w:lang w:val="pt-BR"/>
        </w:rPr>
        <w:t>A análise de erros acrescenta uma dimensão relevante a essa avaliação de viabilidade, relacionada ao custo de implantação de cada abordagem. A lacuna de domínio identificada nos falsos negativos do YOLOv11m indica que o detector especializado, para operar de forma robusta em um contexto real de monitoramento urbano, dependeria de um ciclo adicional de coleta de imagens locais, anotação e novo treinamento, de modo a aproximar o domínio de treino do domínio de aplicação. Esse ciclo implica custo, tempo e disponibilidade de competência técnica especializada por parte do município. O Gemma 3 27B-IT, por sua vez, alcançou desempenho preditivo superior sem qualquer ajuste específico ao domínio, operando em regime zero-shot, o que sugere maior capacidade de generalização imediata para diferentes contextos visuais. Em termos administrativos, essa diferença é significativa: o detector especializado tende a oferecer menor custo computacional de operação, mas maior custo de adaptação inicial ao domínio; o modelo visão-linguagem tende a oferecer maior custo computacional por inferência, porém menor barreira de adaptação para entrar em operação. A escolha entre as abordagens, portanto, não se resume ao desempenho medido em um único experimento, mas envolve também o esforço de implantação e manutenção que cada solução exigiria da administração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4.10 Limitações dos resultados</w:t>
      </w:r>
    </w:p>
    <w:p>
      <w:pPr>
        <w:pStyle w:val="normal1"/>
        <w:rPr>
          <w:lang w:val="pt-BR"/>
        </w:rPr>
      </w:pPr>
      <w:r>
        <w:rPr>
          <w:lang w:val="pt-BR"/>
        </w:rPr>
        <w:t>Algumas limitações precisam ser consideradas para evitar generalizações indevidas. A primeira é o balanceamento artificial do conjunto de teste. As 560 imagens foram divididas igualmente entre positivas e negativas, o que favorece a comparação entre modelos, mas não representa necessariamente a proporção real de imagens com resíduos em vias públicas. Em um cenário real, a prevalência de imagens sem resíduos pode ser maior, alterando o impacto operacional dos falsos positivos.</w:t>
      </w:r>
    </w:p>
    <w:p>
      <w:pPr>
        <w:pStyle w:val="normal1"/>
        <w:rPr>
          <w:lang w:val="pt-BR"/>
        </w:rPr>
      </w:pPr>
      <w:r>
        <w:rPr>
          <w:lang w:val="pt-BR"/>
        </w:rPr>
        <w:t>A segunda limitação refere-se à escolha da proporção de imagens negativas no treinamento do YOLOv11m. O conjunto de treino teve 15,6% de background, dentro da faixa adotada como referência interna para exemplos negativos. Essa decisão favoreceu o controle de falsos positivos, mas pode ter contribuído para um comportamento mais conservador do detector e para a redução do recall. Estudos futuros podem comparar diferentes proporções de background e diferentes limiares de confiança para verificar o melhor equilíbrio entre especificidade e sensibilidade.</w:t>
      </w:r>
    </w:p>
    <w:p>
      <w:pPr>
        <w:pStyle w:val="normal1"/>
        <w:rPr>
          <w:lang w:val="pt-BR"/>
        </w:rPr>
      </w:pPr>
      <w:r>
        <w:rPr>
          <w:lang w:val="pt-BR"/>
        </w:rPr>
        <w:t>A terceira limitação diz respeito ao viés de anotação. Como algumas anotações foram feitas por região de descarte e podem ignorar resíduos muito pequenos, certos falsos positivos do Gemma podem corresponder a detecções corretas não representadas no ground truth. A inspeção visual dos 45 falsos positivos do modelo, realizada neste trabalho, indicou que a maior parte corresponde a cenas efetivamente sem resíduos, e não a resíduos pequenos não anotados, o que reduz o peso dessa limitação, ainda que não a elimine por completo, uma vez que a avaliação visual também envolve julgamento do observador.</w:t>
      </w:r>
    </w:p>
    <w:p>
      <w:pPr>
        <w:pStyle w:val="normal1"/>
        <w:rPr>
          <w:lang w:val="pt-BR"/>
        </w:rPr>
      </w:pPr>
      <w:r>
        <w:rPr>
          <w:lang w:val="pt-BR"/>
        </w:rPr>
        <w:t>A quarta limitação está na comparação assimétrica entre os modelos. O YOLOv11m foi treinado especificamente para a classe “lixo”, enquanto o Gemma 3 27B-IT foi usado em modo zero-shot. Essa assimetria não invalida a comparação, pois representa duas estratégias reais de adoção: treinar um detector especializado ou utilizar um modelo generalista sem treinamento adicional. No entanto, os resultados não devem ser interpretados como prova de superioridade arquitetural universal do Gemma sobre o YOLO. Associada a essa questão, há ainda a limitação decorrente da lacuna de domínio entre treino e teste. O YOLOv11m foi treinado majoritariamente com imagens de bases públicas globais, enquanto o teste utilizou imagens reais de vias brasileiras em perspectiva de nível de rua. A inspeção dos falsos negativos sugeriu que parte expressiva dos erros do detector decorre dessa diferença de domínio, e não de uma incapacidade intrínseca do modelo. Assim, o desempenho do YOLOv11m observado neste estudo deve ser interpretado como específico a essa condição de domínio, podendo ser distinto caso o detector fosse treinado com imagens do mesmo domínio das utilizadas no teste.</w:t>
      </w:r>
    </w:p>
    <w:p>
      <w:pPr>
        <w:pStyle w:val="normal1"/>
        <w:rPr>
          <w:lang w:val="pt-BR"/>
        </w:rPr>
      </w:pPr>
      <w:r>
        <w:rPr>
          <w:lang w:val="pt-BR"/>
        </w:rPr>
        <w:t>A quinta limitação refere-se ao hardware utilizado. A execução ocorreu em uma GPU RTX 5090, que não representa necessariamente a infraestrutura típica de uma prefeitura ou órgão municipal. Assim, a latência absoluta medida no experimento deve ser entendida como referência de comparação controlada, e não como previsão direta de desempenho em ambiente institucional.</w:t>
      </w:r>
    </w:p>
    <w:p>
      <w:pPr>
        <w:pStyle w:val="normal1"/>
        <w:rPr>
          <w:lang w:val="pt-BR"/>
        </w:rPr>
      </w:pPr>
      <w:r>
        <w:rPr>
          <w:lang w:val="pt-BR"/>
        </w:rPr>
        <w:t>Por fim, o domínio visual das imagens de treinamento e teste pode influenciar os resultados. Embora o teste tenha utilizado imagens reais de ruas brasileiras, parte relevante do treinamento veio de datasets abertos com origem heterogênea. A ampliação de dados locais, especialmente de Fortaleza e de outras cidades brasileiras, pode melhorar a validade externa dos modelos e permitir avaliações mais próximas das condições reais de implantação.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4.11 Síntese da discussão</w:t>
      </w:r>
    </w:p>
    <w:p>
      <w:pPr>
        <w:pStyle w:val="normal1"/>
        <w:rPr>
          <w:lang w:val="pt-BR"/>
        </w:rPr>
      </w:pPr>
      <w:r>
        <w:rPr>
          <w:lang w:val="pt-BR"/>
        </w:rP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pPr>
        <w:pStyle w:val="normal1"/>
        <w:rPr>
          <w:lang w:val="pt-BR"/>
        </w:rPr>
      </w:pPr>
      <w:r>
        <w:rPr>
          <w:lang w:val="pt-BR"/>
        </w:rPr>
        <w:t>O YOLOv11m, por sua vez, apresentou vantagem decisiva em eficiência computacional, processando imagens aproximadamente 141 vezes mais rápido que o Gemma 3 27B-IT. Esse desempenho o torna mais adequado a cenários de triagem em larga escala, monitoramento contínuo e tempo real. Além disso, sua capacidade de gerar caixas delimitadoras oferece vantagem de rastreabilidade visual para auditoria e validação humana.</w:t>
      </w:r>
    </w:p>
    <w:p>
      <w:pPr>
        <w:pStyle w:val="normal1"/>
        <w:rPr>
          <w:lang w:val="pt-BR"/>
        </w:rPr>
      </w:pPr>
      <w:r>
        <w:rPr>
          <w:lang w:val="pt-BR"/>
        </w:rP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pPr>
        <w:pStyle w:val="normal1"/>
        <w:rPr>
          <w:lang w:val="pt-BR"/>
        </w:rPr>
      </w:pPr>
      <w:r>
        <w:rPr>
          <w:lang w:val="pt-B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pPr>
        <w:pStyle w:val="normal1"/>
        <w:rPr>
          <w:lang w:val="pt-BR"/>
        </w:rPr>
      </w:pPr>
      <w:r>
        <w:rPr>
          <w:lang w:val="pt-BR"/>
        </w:rPr>
      </w:r>
      <w:r>
        <w:br w:type="page"/>
      </w:r>
    </w:p>
    <w:p>
      <w:pPr>
        <w:pStyle w:val="Heading1"/>
        <w:numPr>
          <w:ilvl w:val="0"/>
          <w:numId w:val="1"/>
        </w:numPr>
        <w:spacing w:before="0" w:after="240"/>
        <w:rPr>
          <w:lang w:val="pt-BR"/>
        </w:rPr>
      </w:pPr>
      <w:r>
        <w:rPr>
          <w:lang w:val="pt-BR"/>
        </w:rPr>
        <w:t>5 CONSIDERAÇÕES FINAIS</w:t>
      </w:r>
    </w:p>
    <w:p>
      <w:pPr>
        <w:pStyle w:val="normal1"/>
        <w:rPr>
          <w:lang w:val="pt-BR"/>
        </w:rPr>
      </w:pPr>
      <w:r>
        <w:rPr>
          <w:lang w:val="pt-BR"/>
        </w:rPr>
        <w:t>A presente pesquisa analisou a viabilidade do uso de inteligência artificial no monitoramento de resíduos urbanos em vias públicas, a partir da comparação entre dois paradigmas distintos: o YOLOv11m, utilizado como detector especializado após fine-tuning para a classe única “lixo”, e o Gemma 3 27B-IT, utilizado como modelo visão-linguagem generalista em regime zero-shot. O estudo partiu da compreensão de que a gestão dos resíduos sólidos urbanos representa um desafio relevante para a Administração Pública, especialmente em razão de seus impactos ambientais, sanitários, operacionais e financeiros.</w:t>
      </w:r>
    </w:p>
    <w:p>
      <w:pPr>
        <w:pStyle w:val="normal1"/>
        <w:rPr>
          <w:lang w:val="pt-BR"/>
        </w:rPr>
      </w:pPr>
      <w:r>
        <w:rPr>
          <w:lang w:val="pt-BR"/>
        </w:rPr>
        <w:t>Ao longo do trabalho, discutiu-se que o monitoramento de resíduos em vias públicas depende não apenas da existência de serviços de limpeza urbana, mas também da capacidade de produzir informações úteis para planejamento, fiscalização e tomada de decisão. Nesse contexto, a inteligência artificial e a visão computacional foram analisadas como possíveis ferramentas de apoio à gestão pública urbana, desde que avaliadas com base em critérios técnicos e administrativos, como desempenho preditivo, eficiência computacional, controle de erros, rastreabilidade e viabilidade operacional.</w:t>
      </w:r>
    </w:p>
    <w:p>
      <w:pPr>
        <w:pStyle w:val="normal1"/>
        <w:rPr>
          <w:lang w:val="pt-BR"/>
        </w:rPr>
      </w:pPr>
      <w:r>
        <w:rPr>
          <w:lang w:val="pt-BR"/>
        </w:rPr>
        <w:t>O objetivo geral do estudo foi alcançado, uma vez que foi possível analisar a viabilidade do uso de inteligência artificial no monitoramento de resíduos urbanos em vias públicas por meio da comparação entre os modelos YOLOv11m e Gemma 3 27B-IT em imagens reais de ruas brasileiras. Os objetivos específicos também foram contemplados. O primeiro objetivo, de construir e validar um conjunto de teste de imagens reais de vias públicas brasileiras, foi atendido na preparação dos dados descrita no capítulo metodológico. O segundo objetivo, de mensurar e comparar o desempenho preditivo dos modelos por meio de métricas binárias e testes estatísticos para amostras pareadas, foi realizado no capítulo de resultados e discussão. O terceiro objetivo, de mensurar e comparar a eficiência computacional dos modelos, foi igualmente tratado no capítulo de resultados. O quarto objetivo, de caracterizar os padrões de erro de cada modelo e discutir suas implicações para a gestão pública, foi desenvolvido na análise qualitativa da seção 4.7 e na discussão subsequente.</w:t>
      </w:r>
    </w:p>
    <w:p>
      <w:pPr>
        <w:pStyle w:val="normal1"/>
        <w:rPr>
          <w:lang w:val="pt-BR"/>
        </w:rPr>
      </w:pPr>
      <w:r>
        <w:rPr>
          <w:lang w:val="pt-BR"/>
        </w:rPr>
        <w:t>O problema de pesquisa questionava em que medida modelos de inteligência artificial são viáveis para apoiar o monitoramento de resíduos urbanos em vias públicas, considerando desempenho preditivo e eficiência computacional. A resposta obtida indica que ambos os modelos são viáveis, mas em regimes administrativos distintos: o Gemma 3 27B-IT mostrou-se mais adequado a análises pontuais que demandam maior confiabilidade preditiva, enquanto o YOLOv11m mostrou-se mais compatível com triagem em larga escala, tempo real e situações em que a rastreabilidade visual por caixas delimitadoras seja relevante.</w:t>
      </w:r>
    </w:p>
    <w:p>
      <w:pPr>
        <w:pStyle w:val="normal1"/>
        <w:rPr>
          <w:lang w:val="pt-BR"/>
        </w:rPr>
      </w:pPr>
      <w:r>
        <w:rPr>
          <w:lang w:val="pt-BR"/>
        </w:rPr>
        <w:t>A hipótese provisória afirmava que modelos especializados de detecção, como o YOLOv11m, tenderiam a apresentar maior viabilidade operacional do que modelos visão-linguagem generalistas em modo zero-shot, especialmente quanto ao tempo de inferência e ao controle de falsos positivos. Os resultados permitiram confirmar parcialmente essa hipótese. A expectativa foi confirmada em relação ao tempo de inferência, pois o YOLOv11m apresentou desempenho computacional muito superior, processando imagens aproximadamente 141 vezes mais rápido que o Gemma 3 27B-IT. Contudo, a hipótese foi refutada quanto ao controle de falsos positivos, uma vez que o modelo visão-linguagem apresentou menor taxa de alarmes falsos no conjunto de teste.</w:t>
      </w:r>
    </w:p>
    <w:p>
      <w:pPr>
        <w:pStyle w:val="normal1"/>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sem autorizar, contudo, a conclusão de superioridade arquitetural universal do modelo visão-linguagem.</w:t>
      </w:r>
    </w:p>
    <w:p>
      <w:pPr>
        <w:pStyle w:val="normal1"/>
        <w:rPr>
          <w:lang w:val="pt-BR"/>
        </w:rPr>
      </w:pPr>
      <w:r>
        <w:rPr>
          <w:lang w:val="pt-BR"/>
        </w:rPr>
        <w:t>Por outro lado, o YOLOv11m apresentou vantagem expressiva em eficiência computacional. Sua baixa latência e seu alto throughput indicam maior adequação a cenários que exigem processamento rápido, como monitoramento em rede, análise contínua de imagens ou aplicações com grande volume de dados. Além disso, por se tratar de um detector de objetos, o YOLO oferece rastreabilidade visual por meio de caixas delimitadoras, o que pode ser útil para auditoria, validação humana e integração com sistemas de informação territorial.</w:t>
      </w:r>
    </w:p>
    <w:p>
      <w:pPr>
        <w:pStyle w:val="normal1"/>
        <w:rPr>
          <w:lang w:val="pt-BR"/>
        </w:rPr>
      </w:pPr>
      <w:r>
        <w:rPr>
          <w:rFonts w:eastAsia="Times New Roman" w:cs="Times New Roman"/>
          <w:lang w:val="pt-BR"/>
        </w:rPr>
        <w:t>A comparação entre os modelos revelou, portanto, que a viabilidade da inteligência artificial no monitoramento de resíduos urbanos não deve ser definida por uma única métrica. No contexto da Administração Pública, a escolha da tecnologia deve considerar a finalidade do serviço, o volume de imagens, a infraestrutura disponível, o custo operacional dos erros, a possibilidade de auditoria, o controle humano, a adequação institucional e a capacidade real de manutenção do sistema. Nesse ponto, o porte do Gemma 3 27B-IT representa uma restrição prática importante: ainda que o modelo tenha apresentado melhor desempenho preditivo, sua adoção em prefeituras com infraestrutura computacional limitada pode exigir centralização, contratação de capacidade externa ou uso apenas em etapas de confirmação, enquanto o YOLOv11m tende a ser mais viável para processamento contínuo e de menor custo relativo.</w:t>
      </w:r>
    </w:p>
    <w:p>
      <w:pPr>
        <w:pStyle w:val="normal1"/>
        <w:rPr>
          <w:lang w:val="pt-BR"/>
        </w:rPr>
      </w:pPr>
      <w:r>
        <w:rPr>
          <w:lang w:val="pt-BR"/>
        </w:rPr>
        <w:t>O estudo também indicou a possibilidade de uso complementar entre os modelos. Como houve discordâncias relevantes entre as predições, os resultados sugerem que uma arquitetura híbrida pode ser explorada em pesquisas futuras. Nessa configuração, o YOLOv11m poderia atuar como etapa inicial de triagem rápida, enquanto o Gemma 3 27B-IT poderia ser utilizado para confirmar casos positivos ou duvidosos. Essa possibilidade não foi testada diretamente neste trabalho, mas decorre da complementaridade observada nos padrões de erro dos modelos.</w:t>
      </w:r>
    </w:p>
    <w:p>
      <w:pPr>
        <w:pStyle w:val="normal1"/>
        <w:rPr>
          <w:lang w:val="pt-BR"/>
        </w:rPr>
      </w:pPr>
      <w:r>
        <w:rPr>
          <w:lang w:val="pt-BR"/>
        </w:rPr>
        <w:t>Como contribuição, esta pesquisa aproxima a discussão sobre inteligência artificial das necessidades práticas da Administração Pública urbana. O trabalho demonstra que a avaliação de tecnologias para gestão pública precisa ultrapassar a análise puramente técnica, incorporando finalidade do serviço, custo operacional, risco de falsos alarmes, possibilidade de auditoria, infraestrutura disponível, controle humano e adequação institucional. Além disso, o estudo contribui ao comparar um detector especializado e um modelo visão-linguagem em uma tarefa aplicada ao monitoramento de resíduos em ruas brasileiras, oferecendo evidências empíricas para orientar novas investigações.</w:t>
      </w:r>
    </w:p>
    <w:p>
      <w:pPr>
        <w:pStyle w:val="normal1"/>
        <w:rPr>
          <w:lang w:val="pt-BR"/>
        </w:rPr>
      </w:pPr>
      <w:r>
        <w:rPr>
          <w:lang w:val="pt-BR"/>
        </w:rPr>
        <w:t>Algumas limitações devem ser reconhecidas. O conjunto de teste foi balanceado artificialmente entre imagens com e sem resíduos, o que favorece a comparação entre modelos, mas não representa necessariamente a prevalência real de resíduos em vias públicas. A comparação também foi assimétrica por desenho metodológico, pois o YOLOv11m foi treinado especificamente para a classe “lixo”, enquanto o Gemma 3 27B-IT foi utilizado em modo zero-shot. Essa assimetria reflete alternativas reais de adoção tecnológica, mas impede afirmar superioridade arquitetural universal de um modelo sobre o outro.</w:t>
      </w:r>
    </w:p>
    <w:p>
      <w:pPr>
        <w:pStyle w:val="normal1"/>
        <w:rPr>
          <w:lang w:val="pt-BR"/>
        </w:rPr>
      </w:pPr>
      <w:r>
        <w:rPr>
          <w:lang w:val="pt-BR"/>
        </w:rPr>
        <w:t>Outra limitação refere-se à heterogeneidade das imagens utilizadas, provenientes de diferentes fontes, ângulos, resoluções e condições visuais. Embora essa diversidade aproxime o experimento de situações reais, também pode influenciar o desempenho dos modelos. Além disso, as medições de tempo de inferência foram realizadas em hardware de alto desempenho, o que significa que os valores absolutos de latência não devem ser automaticamente generalizados para a infraestrutura típica de órgãos municipais. Por fim, embora os falsos positivos e os falsos negativos do modelo visão-linguagem tenham sido inspecionados visualmente de forma sistemática, essa verificação foi conduzida por um único observador, de modo que a distinção entre erros interpretativos do modelo e resíduos não contemplados no ground truth permanece sujeita ao julgamento do anotador. Estudos futuros podem adotar anotação independente por múltiplos avaliadores, com medida de concordância entre eles, para fortalecer a confiabilidade dessa caracterização qualitativa.</w:t>
      </w:r>
    </w:p>
    <w:p>
      <w:pPr>
        <w:pStyle w:val="normal1"/>
        <w:rPr>
          <w:lang w:val="pt-BR"/>
        </w:rPr>
      </w:pPr>
      <w:r>
        <w:rPr>
          <w:lang w:val="pt-BR"/>
        </w:rPr>
        <w:t>Diante dessas limitações, recomenda-se que estudos futuros ampliem o conjunto de imagens brasileiras, especialmente com maior diversidade de cidades, bairros, condições climáticas e horários de coleta. Também seria relevante testar os modelos em cenários com prevalência mais próxima da realidade operacional, nos quais a maioria das imagens pode não conter resíduos visíveis. Outra possibilidade é realizar novo treinamento do YOLOv11m com maior variedade de cenas urbanas limpas e diferentes proporções de imagens negativas e limiares de confiança, a fim de avaliar o impacto dessas escolhas sobre a taxa de falsos positivos, a especificidade e o recall.</w:t>
      </w:r>
    </w:p>
    <w:p>
      <w:pPr>
        <w:pStyle w:val="normal1"/>
        <w:rPr>
          <w:lang w:val="pt-BR"/>
        </w:rPr>
      </w:pPr>
      <w:r>
        <w:rPr>
          <w:lang w:val="pt-BR"/>
        </w:rPr>
        <w:t>A inspeção visual dos erros realizada neste trabalho indicou que os dois modelos falham por motivos distintos, o que sugere que pesquisas futuras possam aprofundar a caracterização desses padrões em conjuntos maiores e mais diversos, inclusive quantificando a frequência de cada tipo de erro. Recomenda-se também investigar o impacto do treinamento do detector com imagens do próprio domínio de aplicação, de modo a verificar em que medida a lacuna de domínio observada pode ser reduzida. Além disso, pesquisas futuras podem testar arquiteturas híbridas entre detectores especializados e modelos visão-linguagem, bem como avaliar versões menores dos modelos, diferentes hardwares e estratégias de implantação em contexto municipal. Esses caminhos podem contribuir para transformar a análise experimental em soluções mais próximas das condições reais de uso pela Administração Pública.</w:t>
      </w:r>
    </w:p>
    <w:p>
      <w:pPr>
        <w:pStyle w:val="normal1"/>
        <w:rPr>
          <w:lang w:val="pt-BR"/>
        </w:rPr>
      </w:pPr>
      <w:r>
        <w:rPr>
          <w:rFonts w:eastAsia="Times New Roman" w:cs="Times New Roman"/>
          <w:lang w:val="pt-BR"/>
        </w:rPr>
        <w:t>Conclui-se, portanto, que a inteligência artificial apresenta potencial para apoiar o monitoramento de resíduos urbanos em vias públicas, desde que sua adoção seja orientada por critérios técnicos, administrativos, financeiros e éticos. A viabilidade da IA no contexto estudado não está na escolha absoluta de um único modelo, mas na adequação entre tecnologia, finalidade pública, infraestrutura disponível, risco aceitável de erro, custo de implantação e forma de uso pretendida. Nesse sentido, o Gemma 3 27B-IT demonstrou maior confiabilidade preditiva no experimento, mas seu porte computacional limita a adoção direta em muitos contextos municipais; o YOLOv11m, por sua vez, mostrou-se menos robusto preditivamente, porém mais compatível com cenários de maior escala, menor latência e maior necessidade de rastreabilidade visual.</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REFERÊNCIAS</w:t>
      </w:r>
    </w:p>
    <w:p>
      <w:pPr>
        <w:pStyle w:val="normal1"/>
        <w:rPr>
          <w:lang w:val="pt-BR"/>
        </w:rPr>
      </w:pPr>
      <w:r>
        <w:rPr>
          <w:lang w:val="pt-BR"/>
        </w:rPr>
      </w:r>
    </w:p>
    <w:p>
      <w:pPr>
        <w:pStyle w:val="normal1"/>
        <w:spacing w:lineRule="auto" w:line="240" w:before="0" w:after="120"/>
        <w:ind w:hanging="0"/>
        <w:jc w:val="left"/>
        <w:rPr>
          <w:rFonts w:eastAsia="Times New Roman" w:cs="Times New Roman"/>
          <w:lang w:val="pt-BR"/>
        </w:rPr>
      </w:pPr>
      <w:r>
        <w:rPr>
          <w:rFonts w:eastAsia="Times New Roman" w:cs="Times New Roman"/>
          <w:b/>
          <w:bCs/>
          <w:lang w:val="pt-BR"/>
        </w:rPr>
        <w:t>ABDU, Haruna; MOHD NOOR, Mohd Halim.</w:t>
      </w:r>
      <w:r>
        <w:rPr>
          <w:rFonts w:eastAsia="Times New Roman" w:cs="Times New Roman"/>
          <w:lang w:val="pt-BR"/>
        </w:rPr>
        <w:t xml:space="preserve"> A Survey on Waste Detection and Classification Using Deep Learning. </w:t>
      </w:r>
      <w:r>
        <w:rPr>
          <w:rFonts w:eastAsia="Times New Roman" w:cs="Times New Roman"/>
          <w:b/>
          <w:bCs/>
          <w:lang w:val="pt-BR"/>
        </w:rPr>
        <w:t>IEEE Access</w:t>
      </w:r>
      <w:r>
        <w:rPr>
          <w:rFonts w:eastAsia="Times New Roman" w:cs="Times New Roman"/>
          <w:lang w:val="pt-BR"/>
        </w:rPr>
        <w:t>, v. 10, p. 128151-128165, 2022. DOI: 10.1109/ACCESS.2022.3226682.</w:t>
      </w:r>
    </w:p>
    <w:p>
      <w:pPr>
        <w:pStyle w:val="normal1"/>
        <w:spacing w:lineRule="auto" w:line="240" w:before="0" w:after="120"/>
        <w:ind w:hanging="0"/>
        <w:jc w:val="left"/>
        <w:rPr>
          <w:lang w:val="pt-BR"/>
        </w:rPr>
      </w:pPr>
      <w:r>
        <w:rPr>
          <w:rFonts w:eastAsia="Times New Roman" w:cs="Times New Roman"/>
          <w:lang w:val="pt-BR"/>
        </w:rPr>
        <w:t xml:space="preserve">ASSOCIAÇÃO BRASILEIRA DE NORMAS TÉCNICAS. </w:t>
      </w:r>
      <w:r>
        <w:rPr>
          <w:rFonts w:eastAsia="Times New Roman" w:cs="Times New Roman"/>
          <w:b/>
          <w:bCs/>
          <w:lang w:val="pt-BR"/>
        </w:rPr>
        <w:t>NBR 10004: resíduos sólidos: classificação</w:t>
      </w:r>
      <w:r>
        <w:rPr>
          <w:rFonts w:eastAsia="Times New Roman" w:cs="Times New Roman"/>
          <w:lang w:val="pt-BR"/>
        </w:rPr>
        <w:t>. Rio de Janeiro: ABNT, 2004.</w:t>
      </w:r>
    </w:p>
    <w:p>
      <w:pPr>
        <w:pStyle w:val="normal1"/>
        <w:spacing w:lineRule="auto" w:line="240" w:before="0" w:after="120"/>
        <w:ind w:hanging="0"/>
        <w:jc w:val="left"/>
        <w:rPr>
          <w:lang w:val="pt-BR"/>
        </w:rPr>
      </w:pPr>
      <w:r>
        <w:rPr>
          <w:rFonts w:eastAsia="Times New Roman" w:cs="Times New Roman"/>
          <w:lang w:val="pt-BR"/>
        </w:rPr>
        <w:t xml:space="preserve">BRASIL. </w:t>
      </w:r>
      <w:r>
        <w:rPr>
          <w:rFonts w:eastAsia="Times New Roman" w:cs="Times New Roman"/>
          <w:b/>
          <w:bCs/>
          <w:lang w:val="pt-BR"/>
        </w:rPr>
        <w:t>Lei nº 12.305, de 2 de agosto de 2010</w:t>
      </w:r>
      <w:r>
        <w:rPr>
          <w:rFonts w:eastAsia="Times New Roman" w:cs="Times New Roman"/>
          <w:lang w:val="pt-BR"/>
        </w:rPr>
        <w:t>. Institui a Política Nacional de Resíduos Sólidos. Brasília, DF: Presidência da República, 2010. Disponível em: https://www.planalto.gov.br/ccivil_03/_ato2007-2010/2010/lei/l12305.htm. Acesso em: 8 jun. 2026.</w:t>
      </w:r>
    </w:p>
    <w:p>
      <w:pPr>
        <w:pStyle w:val="normal1"/>
        <w:spacing w:lineRule="auto" w:line="240" w:before="0" w:after="120"/>
        <w:ind w:hanging="0"/>
        <w:jc w:val="left"/>
        <w:rPr>
          <w:lang w:val="pt-BR"/>
        </w:rPr>
      </w:pPr>
      <w:r>
        <w:rPr>
          <w:rFonts w:eastAsia="Times New Roman" w:cs="Times New Roman"/>
          <w:lang w:val="pt-BR"/>
        </w:rPr>
        <w:t xml:space="preserve">CARDOSO, F. C. A. I.; CARDOSO, J. C. O problema do lixo e algumas perspectivas para redução de impactos. </w:t>
      </w:r>
      <w:r>
        <w:rPr>
          <w:rFonts w:eastAsia="Times New Roman" w:cs="Times New Roman"/>
          <w:b/>
          <w:bCs/>
          <w:lang w:val="pt-BR"/>
        </w:rPr>
        <w:t>Ciência e Cultura</w:t>
      </w:r>
      <w:r>
        <w:rPr>
          <w:rFonts w:eastAsia="Times New Roman" w:cs="Times New Roman"/>
          <w:lang w:val="pt-BR"/>
        </w:rPr>
        <w:t>, São Paulo, v. 68, n. 4, p. 25-29, 2016.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CÓRDOVA, M.; PINTO, A.; HELLEVIK, C. C.; ALALIYAT, S. A.-A.; HAMEED, I. A.; PEDRINI, H.; TORRES, R. S. Litter detection with deep learning: a comparative study. </w:t>
      </w:r>
      <w:r>
        <w:rPr>
          <w:rFonts w:eastAsia="Times New Roman" w:cs="Times New Roman"/>
          <w:b/>
          <w:bCs/>
          <w:lang w:val="pt-BR"/>
        </w:rPr>
        <w:t>Sensors</w:t>
      </w:r>
      <w:r>
        <w:rPr>
          <w:rFonts w:eastAsia="Times New Roman" w:cs="Times New Roman"/>
          <w:lang w:val="pt-BR"/>
        </w:rPr>
        <w:t xml:space="preserve">, Basel, v. 22, n. 2, artigo 548, 2022. DOI: </w:t>
      </w:r>
      <w:hyperlink r:id="rId23">
        <w:r>
          <w:rPr>
            <w:rStyle w:val="Hyperlink"/>
            <w:rFonts w:eastAsia="Times New Roman" w:cs="Times New Roman"/>
            <w:lang w:val="pt-BR"/>
          </w:rPr>
          <w:t>https://doi.org/10.3390/s22020548</w:t>
        </w:r>
      </w:hyperlink>
      <w:r>
        <w:rPr>
          <w:rFonts w:eastAsia="Times New Roman" w:cs="Times New Roman"/>
          <w:lang w:val="pt-BR"/>
        </w:rPr>
        <w:t>.</w:t>
      </w:r>
    </w:p>
    <w:p>
      <w:pPr>
        <w:pStyle w:val="normal1"/>
        <w:spacing w:lineRule="auto" w:line="240" w:before="0" w:after="120"/>
        <w:ind w:hanging="0"/>
        <w:jc w:val="left"/>
        <w:rPr>
          <w:lang w:val="pt-BR"/>
        </w:rPr>
      </w:pPr>
      <w:r>
        <w:rPr>
          <w:b/>
          <w:bCs/>
          <w:lang w:val="pt-BR"/>
        </w:rPr>
        <w:t>FERREIRA, Ana Carla; BARROS, Raphael Tobias Vasconcelos.</w:t>
      </w:r>
      <w:r>
        <w:rPr>
          <w:lang w:val="pt-BR"/>
        </w:rPr>
        <w:t xml:space="preserve"> Panorama dos gastos públicos municipais com os serviços de limpeza urbana e manejo de resíduos sólidos: uma análise da Região Metropolitana de Belo Horizonte (MG). </w:t>
      </w:r>
      <w:r>
        <w:rPr>
          <w:b/>
          <w:bCs/>
          <w:lang w:val="pt-BR"/>
        </w:rPr>
        <w:t>Engenharia Sanitária e Ambiental</w:t>
      </w:r>
      <w:r>
        <w:rPr>
          <w:lang w:val="pt-BR"/>
        </w:rPr>
        <w:t xml:space="preserve">, v. 26, n. 4, p. 659-668, jul./ago. 2021. DOI: 10.1590/S1413-415220200022. Disponível em: </w:t>
      </w:r>
      <w:hyperlink r:id="rId24" w:tgtFrame="_new">
        <w:r>
          <w:rPr>
            <w:rStyle w:val="Hyperlink"/>
            <w:lang w:val="pt-BR"/>
          </w:rPr>
          <w:t>https://www.scielo.br/j/esa/a/9CmBjrLMQpCRBZWttpDLtcJ/</w:t>
        </w:r>
      </w:hyperlink>
      <w:r>
        <w:rPr>
          <w:lang w:val="pt-BR"/>
        </w:rPr>
        <w:t>. Acesso em: 12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FORTALEZA. Autarquia de Regulação, Fiscalização e Controle dos Serviços Públicos de Saneamento Ambiental de Fortaleza. </w:t>
      </w:r>
      <w:r>
        <w:rPr>
          <w:rFonts w:eastAsia="Times New Roman" w:cs="Times New Roman"/>
          <w:b/>
          <w:bCs/>
          <w:lang w:val="pt-BR"/>
        </w:rPr>
        <w:t>Resíduos sólidos Fortaleza</w:t>
      </w:r>
      <w:r>
        <w:rPr>
          <w:rFonts w:eastAsia="Times New Roman" w:cs="Times New Roman"/>
          <w:lang w:val="pt-BR"/>
        </w:rPr>
        <w:t>. Fortaleza: Dados Abertos Fortaleza, 2022. Disponível em: https://dados.fortaleza.ce.gov.br/dataset/residuos-solidos-fortaleza. Acesso em: 8 jun. 2026.</w:t>
      </w:r>
    </w:p>
    <w:p>
      <w:pPr>
        <w:pStyle w:val="normal1"/>
        <w:spacing w:lineRule="auto" w:line="240" w:before="0" w:after="120"/>
        <w:ind w:hanging="0"/>
        <w:jc w:val="left"/>
        <w:rPr>
          <w:lang w:val="pt-BR"/>
        </w:rPr>
      </w:pPr>
      <w:r>
        <w:rPr>
          <w:b/>
          <w:bCs/>
          <w:lang w:val="pt-BR"/>
        </w:rPr>
        <w:t>FORTALEZA.</w:t>
      </w:r>
      <w:r>
        <w:rPr>
          <w:lang w:val="pt-BR"/>
        </w:rPr>
        <w:t xml:space="preserve"> </w:t>
      </w:r>
      <w:r>
        <w:rPr>
          <w:i/>
          <w:iCs/>
          <w:lang w:val="pt-BR"/>
        </w:rPr>
        <w:t>Plano Municipal de Gestão Integrada de Resíduos Sólidos de Fortaleza: estado do Ceará</w:t>
      </w:r>
      <w:r>
        <w:rPr>
          <w:lang w:val="pt-BR"/>
        </w:rPr>
        <w:t xml:space="preserve">. Fortaleza: Prefeitura Municipal de Fortaleza, 2012. Disponível em: </w:t>
      </w:r>
      <w:hyperlink r:id="rId25" w:tgtFrame="_new">
        <w:r>
          <w:rPr>
            <w:rStyle w:val="Hyperlink"/>
            <w:lang w:val="pt-BR"/>
          </w:rPr>
          <w:t>https://www.progere.ufc.br/wp-content/uploads/2015/08/Plano-Municipal-de-Gest%C3%A3o-Integrada-de-Res%C3%ADduos-S%C3%B3lidos-de-Fortaleza.pdf</w:t>
        </w:r>
      </w:hyperlink>
      <w:r>
        <w:rPr>
          <w:lang w:val="pt-BR"/>
        </w:rPr>
        <w:t>. Acesso em: 12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FREITAS, M. F.; PIRES, M. M.; BENINCÁ, D. Fragilidades e potencialidades na gestão dos resíduos sólidos urbanos no Brasil. </w:t>
      </w:r>
      <w:r>
        <w:rPr>
          <w:rFonts w:eastAsia="Times New Roman" w:cs="Times New Roman"/>
          <w:b/>
          <w:bCs/>
          <w:lang w:val="pt-BR"/>
        </w:rPr>
        <w:t>urbe. Revista Brasileira de Gestão Urbana</w:t>
      </w:r>
      <w:r>
        <w:rPr>
          <w:rFonts w:eastAsia="Times New Roman" w:cs="Times New Roman"/>
          <w:lang w:val="pt-BR"/>
        </w:rPr>
        <w:t xml:space="preserve">, Curitiba, v. 16, e20230271, 2024. DOI: </w:t>
      </w:r>
      <w:hyperlink r:id="rId26">
        <w:r>
          <w:rPr>
            <w:rStyle w:val="Hyperlink"/>
            <w:rFonts w:eastAsia="Times New Roman" w:cs="Times New Roman"/>
            <w:lang w:val="pt-BR"/>
          </w:rPr>
          <w:t>https://doi.org/10.1590/2175-3369.016.e20230271</w:t>
        </w:r>
      </w:hyperlink>
      <w:r>
        <w:rPr>
          <w:rFonts w:eastAsia="Times New Roman" w:cs="Times New Roman"/>
          <w:lang w:val="pt-BR"/>
        </w:rPr>
        <w:t>.</w:t>
      </w:r>
    </w:p>
    <w:p>
      <w:pPr>
        <w:pStyle w:val="normal1"/>
        <w:spacing w:lineRule="auto" w:line="240" w:before="0" w:after="120"/>
        <w:ind w:hanging="0"/>
        <w:jc w:val="left"/>
        <w:rPr>
          <w:rFonts w:eastAsia="Times New Roman" w:cs="Times New Roman"/>
          <w:lang w:val="pt-BR"/>
        </w:rPr>
      </w:pPr>
      <w:r>
        <w:rPr>
          <w:rFonts w:eastAsia="Times New Roman" w:cs="Times New Roman"/>
          <w:b/>
          <w:bCs/>
          <w:lang w:val="pt-BR"/>
        </w:rPr>
        <w:t>FOTOVVATIKHAH, Farnaz et al.</w:t>
      </w:r>
      <w:r>
        <w:rPr>
          <w:rFonts w:eastAsia="Times New Roman" w:cs="Times New Roman"/>
          <w:lang w:val="pt-BR"/>
        </w:rPr>
        <w:t xml:space="preserve"> A Systematic Review of AI-Based Techniques for Automated Waste Classification. </w:t>
      </w:r>
      <w:r>
        <w:rPr>
          <w:rFonts w:eastAsia="Times New Roman" w:cs="Times New Roman"/>
          <w:b/>
          <w:bCs/>
          <w:lang w:val="pt-BR"/>
        </w:rPr>
        <w:t>Sensors</w:t>
      </w:r>
      <w:r>
        <w:rPr>
          <w:rFonts w:eastAsia="Times New Roman" w:cs="Times New Roman"/>
          <w:lang w:val="pt-BR"/>
        </w:rPr>
        <w:t>, v. 25, n. 10, artigo 3181, 2025. DOI: 10.3390/s25103181.</w:t>
      </w:r>
    </w:p>
    <w:p>
      <w:pPr>
        <w:pStyle w:val="normal1"/>
        <w:spacing w:lineRule="auto" w:line="240" w:before="0" w:after="120"/>
        <w:ind w:hanging="0"/>
        <w:jc w:val="left"/>
        <w:rPr>
          <w:lang w:val="pt-BR"/>
        </w:rPr>
      </w:pPr>
      <w:r>
        <w:rPr>
          <w:b/>
          <w:bCs/>
          <w:lang w:val="pt-BR"/>
        </w:rPr>
        <w:t>GARCIA, Hozana Raquel de Medeiros.</w:t>
      </w:r>
      <w:r>
        <w:rPr>
          <w:lang w:val="pt-BR"/>
        </w:rPr>
        <w:t xml:space="preserve"> </w:t>
      </w:r>
      <w:r>
        <w:rPr>
          <w:i/>
          <w:iCs/>
          <w:lang w:val="pt-BR"/>
        </w:rPr>
        <w:t>Avaliação da sustentabilidade da gestão de resíduos sólidos domiciliares/comerciais do Município de Fortaleza-CE, Brasil</w:t>
      </w:r>
      <w:r>
        <w:rPr>
          <w:lang w:val="pt-BR"/>
        </w:rPr>
        <w:t xml:space="preserve">. 2021. 235 f. Tese (Doutorado em Engenharia Civil: Saneamento Ambiental) – Centro de Tecnologia, Universidade Federal do Ceará, Fortaleza, 2021. Disponível em: </w:t>
      </w:r>
      <w:hyperlink r:id="rId27" w:tgtFrame="_new">
        <w:r>
          <w:rPr>
            <w:rStyle w:val="Hyperlink"/>
            <w:lang w:val="pt-BR"/>
          </w:rPr>
          <w:t>https://repositorio.ufc.br/handle/riufc/60224</w:t>
        </w:r>
      </w:hyperlink>
      <w:r>
        <w:rPr>
          <w:lang w:val="pt-BR"/>
        </w:rPr>
        <w:t>. Acesso em: 01 jun. 2026.</w:t>
      </w:r>
    </w:p>
    <w:p>
      <w:pPr>
        <w:pStyle w:val="normal1"/>
        <w:spacing w:lineRule="auto" w:line="240" w:before="0" w:after="120"/>
        <w:ind w:hanging="0"/>
        <w:jc w:val="left"/>
        <w:rPr>
          <w:lang w:val="pt-BR"/>
        </w:rPr>
      </w:pPr>
      <w:r>
        <w:rPr>
          <w:rFonts w:eastAsia="Times New Roman" w:cs="Times New Roman"/>
          <w:lang w:val="pt-BR"/>
        </w:rPr>
        <w:t xml:space="preserve">GIL, A. C. </w:t>
      </w:r>
      <w:r>
        <w:rPr>
          <w:rFonts w:eastAsia="Times New Roman" w:cs="Times New Roman"/>
          <w:b/>
          <w:bCs/>
          <w:lang w:val="pt-BR"/>
        </w:rPr>
        <w:t>Como elaborar projetos de pesquisa</w:t>
      </w:r>
      <w:r>
        <w:rPr>
          <w:rFonts w:eastAsia="Times New Roman" w:cs="Times New Roman"/>
          <w:lang w:val="pt-BR"/>
        </w:rPr>
        <w:t>. 5. ed. São Paulo: Atlas, 2010.</w:t>
      </w:r>
    </w:p>
    <w:p>
      <w:pPr>
        <w:pStyle w:val="normal1"/>
        <w:spacing w:lineRule="auto" w:line="240" w:before="0" w:after="120"/>
        <w:ind w:hanging="0"/>
        <w:jc w:val="left"/>
        <w:rPr>
          <w:lang w:val="pt-BR"/>
        </w:rPr>
      </w:pPr>
      <w:r>
        <w:rPr>
          <w:rFonts w:eastAsia="Times New Roman" w:cs="Times New Roman"/>
          <w:lang w:val="pt-BR"/>
        </w:rPr>
        <w:t xml:space="preserve">GOMES, A. O. S.; BELÉM, M. O. O lixo como um fator de risco à saúde pública na cidade de Fortaleza, Ceará. </w:t>
      </w:r>
      <w:r>
        <w:rPr>
          <w:rFonts w:eastAsia="Times New Roman" w:cs="Times New Roman"/>
          <w:b/>
          <w:bCs/>
          <w:lang w:val="pt-BR"/>
        </w:rPr>
        <w:t>SANARE - Revista de Políticas Públicas</w:t>
      </w:r>
      <w:r>
        <w:rPr>
          <w:rFonts w:eastAsia="Times New Roman" w:cs="Times New Roman"/>
          <w:lang w:val="pt-BR"/>
        </w:rPr>
        <w:t>, Sobral, v. 21, n. 1, 2022.</w:t>
      </w:r>
    </w:p>
    <w:p>
      <w:pPr>
        <w:pStyle w:val="normal1"/>
        <w:spacing w:lineRule="auto" w:line="240" w:before="0" w:after="120"/>
        <w:ind w:hanging="0"/>
        <w:jc w:val="left"/>
        <w:rPr>
          <w:lang w:val="pt-BR"/>
        </w:rPr>
      </w:pPr>
      <w:r>
        <w:rPr>
          <w:rFonts w:eastAsia="Times New Roman" w:cs="Times New Roman"/>
          <w:lang w:val="pt-BR"/>
        </w:rPr>
        <w:t xml:space="preserve">GOODFELLOW, I.; BENGIO, Y.; COURVILLE, A. </w:t>
      </w:r>
      <w:r>
        <w:rPr>
          <w:rFonts w:eastAsia="Times New Roman" w:cs="Times New Roman"/>
          <w:b/>
          <w:bCs/>
          <w:lang w:val="pt-BR"/>
        </w:rPr>
        <w:t>Deep learning</w:t>
      </w:r>
      <w:r>
        <w:rPr>
          <w:rFonts w:eastAsia="Times New Roman" w:cs="Times New Roman"/>
          <w:lang w:val="pt-BR"/>
        </w:rPr>
        <w:t>. Cambridge: MIT Press, 2016.</w:t>
      </w:r>
    </w:p>
    <w:p>
      <w:pPr>
        <w:pStyle w:val="normal1"/>
        <w:spacing w:lineRule="auto" w:line="240" w:before="0" w:after="120"/>
        <w:ind w:hanging="0"/>
        <w:jc w:val="left"/>
        <w:rPr>
          <w:lang w:val="pt-BR"/>
        </w:rPr>
      </w:pPr>
      <w:r>
        <w:rPr>
          <w:rFonts w:eastAsia="Times New Roman" w:cs="Times New Roman"/>
          <w:lang w:val="pt-BR"/>
        </w:rPr>
        <w:t xml:space="preserve">GOOGLE. </w:t>
      </w:r>
      <w:r>
        <w:rPr>
          <w:rFonts w:eastAsia="Times New Roman" w:cs="Times New Roman"/>
          <w:b/>
          <w:bCs/>
          <w:lang w:val="pt-BR"/>
        </w:rPr>
        <w:t>Google-contributed Street View imagery policy</w:t>
      </w:r>
      <w:r>
        <w:rPr>
          <w:rFonts w:eastAsia="Times New Roman" w:cs="Times New Roman"/>
          <w:lang w:val="pt-BR"/>
        </w:rPr>
        <w:t>. [S. l.]: Google, [s.d.]. Disponível em: https://www.google.com/streetview/policy/. Acesso em: 8 jun. 2026.</w:t>
      </w:r>
    </w:p>
    <w:p>
      <w:pPr>
        <w:pStyle w:val="normal1"/>
        <w:spacing w:lineRule="auto" w:line="240" w:before="0" w:after="120"/>
        <w:ind w:hanging="0"/>
        <w:jc w:val="left"/>
        <w:rPr>
          <w:lang w:val="pt-BR"/>
        </w:rPr>
      </w:pPr>
      <w:r>
        <w:rPr>
          <w:rFonts w:eastAsia="Times New Roman" w:cs="Times New Roman"/>
          <w:lang w:val="pt-BR"/>
        </w:rPr>
        <w:t xml:space="preserve">JIAO, L.; ZHANG, F.; LIU, F.; YANG, S.; LI, L.; FENG, Z.; QU, R. A survey of deep learning-based object detection. </w:t>
      </w:r>
      <w:r>
        <w:rPr>
          <w:rFonts w:eastAsia="Times New Roman" w:cs="Times New Roman"/>
          <w:b/>
          <w:bCs/>
          <w:lang w:val="pt-BR"/>
        </w:rPr>
        <w:t>IEEE Access</w:t>
      </w:r>
      <w:r>
        <w:rPr>
          <w:rFonts w:eastAsia="Times New Roman" w:cs="Times New Roman"/>
          <w:lang w:val="pt-BR"/>
        </w:rPr>
        <w:t>, [s. l.], v. 7, p. 128837-128868, 2019. DOI: https://doi.org/10.1109/ACCESS.2019.2939201.</w:t>
      </w:r>
    </w:p>
    <w:p>
      <w:pPr>
        <w:pStyle w:val="normal1"/>
        <w:spacing w:lineRule="auto" w:line="240" w:before="0" w:after="120"/>
        <w:ind w:hanging="0"/>
        <w:jc w:val="left"/>
        <w:rPr>
          <w:lang w:val="pt-BR"/>
        </w:rPr>
      </w:pPr>
      <w:r>
        <w:rPr>
          <w:rFonts w:eastAsia="Times New Roman" w:cs="Times New Roman"/>
          <w:lang w:val="pt-BR"/>
        </w:rPr>
        <w:t xml:space="preserve">KAUR, R.; SINGH, S. A comprehensive review of object detection with deep learning. </w:t>
      </w:r>
      <w:r>
        <w:rPr>
          <w:rFonts w:eastAsia="Times New Roman" w:cs="Times New Roman"/>
          <w:b/>
          <w:bCs/>
          <w:lang w:val="pt-BR"/>
        </w:rPr>
        <w:t>Digital Signal Processing</w:t>
      </w:r>
      <w:r>
        <w:rPr>
          <w:rFonts w:eastAsia="Times New Roman" w:cs="Times New Roman"/>
          <w:lang w:val="pt-BR"/>
        </w:rPr>
        <w:t>, [s. l.], v. 132, artigo 103812, 2023. DOI: https://doi.org/10.1016/j.dsp.2022.103812.</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LECUN, Y.; BENGIO, Y.; HINTON, G. Deep learning. </w:t>
      </w:r>
      <w:r>
        <w:rPr>
          <w:rFonts w:eastAsia="Times New Roman" w:cs="Times New Roman"/>
          <w:b/>
          <w:bCs/>
          <w:lang w:val="pt-BR"/>
        </w:rPr>
        <w:t>Nature</w:t>
      </w:r>
      <w:r>
        <w:rPr>
          <w:rFonts w:eastAsia="Times New Roman" w:cs="Times New Roman"/>
          <w:lang w:val="pt-BR"/>
        </w:rPr>
        <w:t xml:space="preserve">, London, v. 521, n. 7553, p. 436-444, 2015. DOI: </w:t>
      </w:r>
      <w:hyperlink r:id="rId28">
        <w:r>
          <w:rPr>
            <w:rStyle w:val="Hyperlink"/>
            <w:rFonts w:eastAsia="Times New Roman" w:cs="Times New Roman"/>
            <w:lang w:val="pt-BR"/>
          </w:rPr>
          <w:t>https://doi.org/10.1038/nature14539</w:t>
        </w:r>
      </w:hyperlink>
      <w:r>
        <w:rPr>
          <w:rFonts w:eastAsia="Times New Roman" w:cs="Times New Roman"/>
          <w:lang w:val="pt-BR"/>
        </w:rPr>
        <w:t>.</w:t>
      </w:r>
    </w:p>
    <w:p>
      <w:pPr>
        <w:pStyle w:val="normal1"/>
        <w:spacing w:lineRule="auto" w:line="240" w:before="0" w:after="120"/>
        <w:ind w:hanging="0"/>
        <w:jc w:val="left"/>
        <w:rPr>
          <w:lang w:val="pt-BR"/>
        </w:rPr>
      </w:pPr>
      <w:r>
        <w:rPr>
          <w:b/>
          <w:bCs/>
          <w:lang w:val="pt-BR"/>
        </w:rPr>
        <w:t>LI, Junnan et al.</w:t>
      </w:r>
      <w:r>
        <w:rPr>
          <w:lang w:val="pt-BR"/>
        </w:rPr>
        <w:t xml:space="preserve"> BLIP-2: bootstrapping language-image pre-training with frozen image encoders and large language models. In: </w:t>
      </w:r>
      <w:r>
        <w:rPr>
          <w:b/>
          <w:bCs/>
          <w:lang w:val="pt-BR"/>
        </w:rPr>
        <w:t>INTERNATIONAL CONFERENCE ON MACHINE LEARNING</w:t>
      </w:r>
      <w:r>
        <w:rPr>
          <w:lang w:val="pt-BR"/>
        </w:rPr>
        <w:t xml:space="preserve">, 40., 2023. </w:t>
      </w:r>
      <w:r>
        <w:rPr>
          <w:i/>
          <w:iCs/>
          <w:lang w:val="pt-BR"/>
        </w:rPr>
        <w:t>Proceedings [...]</w:t>
      </w:r>
      <w:r>
        <w:rPr>
          <w:lang w:val="pt-BR"/>
        </w:rPr>
        <w:t xml:space="preserve">. [S. l.]: PMLR, 2023. p. 19730-19742. Disponível em: </w:t>
      </w:r>
      <w:hyperlink r:id="rId29" w:tgtFrame="_new">
        <w:r>
          <w:rPr>
            <w:rStyle w:val="Hyperlink"/>
            <w:lang w:val="pt-BR"/>
          </w:rPr>
          <w:t>https://proceedings.mlr.press/v202/li23q.html</w:t>
        </w:r>
      </w:hyperlink>
      <w:r>
        <w:rPr>
          <w:lang w:val="pt-BR"/>
        </w:rPr>
        <w:t>. Acesso em: 12 jun. 2026.</w:t>
      </w:r>
    </w:p>
    <w:p>
      <w:pPr>
        <w:pStyle w:val="normal1"/>
        <w:spacing w:lineRule="auto" w:line="240" w:before="0" w:after="120"/>
        <w:ind w:hanging="0"/>
        <w:jc w:val="left"/>
        <w:rPr>
          <w:lang w:val="pt-BR"/>
        </w:rPr>
      </w:pPr>
      <w:r>
        <w:rPr>
          <w:rFonts w:eastAsia="Times New Roman" w:cs="Times New Roman"/>
          <w:lang w:val="pt-BR"/>
        </w:rPr>
        <w:t xml:space="preserve">LI, Z.; WU, X.; DU, H.; LIU, F.; NGHIEM, H.; SHI, G. </w:t>
      </w:r>
      <w:r>
        <w:rPr>
          <w:rFonts w:eastAsia="Times New Roman" w:cs="Times New Roman"/>
          <w:b/>
          <w:bCs/>
          <w:lang w:val="pt-BR"/>
        </w:rPr>
        <w:t>A survey of state of the art large vision language models: alignment, benchmark, evaluations and challenges</w:t>
      </w:r>
      <w:r>
        <w:rPr>
          <w:rFonts w:eastAsia="Times New Roman" w:cs="Times New Roman"/>
          <w:lang w:val="pt-BR"/>
        </w:rPr>
        <w:t>. arXiv, 2025. Disponível em: https://arxiv.org/abs/2501.02189. Acesso em: 8 jun. 2026.</w:t>
      </w:r>
    </w:p>
    <w:p>
      <w:pPr>
        <w:pStyle w:val="normal1"/>
        <w:spacing w:lineRule="auto" w:line="240" w:before="0" w:after="120"/>
        <w:ind w:hanging="0"/>
        <w:jc w:val="left"/>
        <w:rPr>
          <w:lang w:val="pt-BR"/>
        </w:rPr>
      </w:pPr>
      <w:r>
        <w:rPr>
          <w:rFonts w:eastAsia="Times New Roman" w:cs="Times New Roman"/>
          <w:lang w:val="pt-BR"/>
        </w:rPr>
        <w:t xml:space="preserve">LIU, L.; OUYANG, W.; WANG, X.; FIEGUTH, P.; CHEN, J.; LIU, X.; PIETIKÄINEN, M. Deep learning for generic object detection: a survey. </w:t>
      </w:r>
      <w:r>
        <w:rPr>
          <w:rFonts w:eastAsia="Times New Roman" w:cs="Times New Roman"/>
          <w:b/>
          <w:bCs/>
          <w:lang w:val="pt-BR"/>
        </w:rPr>
        <w:t>International Journal of Computer Vision</w:t>
      </w:r>
      <w:r>
        <w:rPr>
          <w:rFonts w:eastAsia="Times New Roman" w:cs="Times New Roman"/>
          <w:lang w:val="pt-BR"/>
        </w:rPr>
        <w:t>, New York, v. 128, n. 2, p. 261-318, 2020. DOI: https://doi.org/10.1007/s11263-019-01247-4.</w:t>
      </w:r>
    </w:p>
    <w:p>
      <w:pPr>
        <w:pStyle w:val="normal1"/>
        <w:spacing w:lineRule="auto" w:line="240" w:before="0" w:after="120"/>
        <w:ind w:hanging="0"/>
        <w:jc w:val="left"/>
        <w:rPr>
          <w:lang w:val="pt-BR"/>
        </w:rPr>
      </w:pPr>
      <w:r>
        <w:rPr>
          <w:rFonts w:eastAsia="Times New Roman" w:cs="Times New Roman"/>
          <w:lang w:val="pt-BR"/>
        </w:rPr>
        <w:t xml:space="preserve">LU, W. Big data analytics to identify illegal construction waste dumping: a Hong Kong study. </w:t>
      </w:r>
      <w:r>
        <w:rPr>
          <w:rFonts w:eastAsia="Times New Roman" w:cs="Times New Roman"/>
          <w:b/>
          <w:bCs/>
          <w:lang w:val="pt-BR"/>
        </w:rPr>
        <w:t>Resources, Conservation and Recycling</w:t>
      </w:r>
      <w:r>
        <w:rPr>
          <w:rFonts w:eastAsia="Times New Roman" w:cs="Times New Roman"/>
          <w:lang w:val="pt-BR"/>
        </w:rPr>
        <w:t>, Amsterdam, v. 141, p. 264-272, 2019. DOI: https://doi.org/10.1016/j.resconrec.2018.10.039.</w:t>
      </w:r>
    </w:p>
    <w:p>
      <w:pPr>
        <w:pStyle w:val="normal1"/>
        <w:spacing w:lineRule="auto" w:line="240" w:before="0" w:after="120"/>
        <w:ind w:hanging="0"/>
        <w:jc w:val="left"/>
        <w:rPr>
          <w:lang w:val="pt-BR"/>
        </w:rPr>
      </w:pPr>
      <w:r>
        <w:rPr>
          <w:rFonts w:eastAsia="Times New Roman" w:cs="Times New Roman"/>
          <w:lang w:val="pt-BR"/>
        </w:rPr>
        <w:t xml:space="preserve">MADAN, R.; ASHOK, M. Making sense of AI benefits: a mixed-method study in Canadian public administration. </w:t>
      </w:r>
      <w:r>
        <w:rPr>
          <w:rFonts w:eastAsia="Times New Roman" w:cs="Times New Roman"/>
          <w:b/>
          <w:bCs/>
          <w:lang w:val="pt-BR"/>
        </w:rPr>
        <w:t>Information Systems Frontiers</w:t>
      </w:r>
      <w:r>
        <w:rPr>
          <w:rFonts w:eastAsia="Times New Roman" w:cs="Times New Roman"/>
          <w:lang w:val="pt-BR"/>
        </w:rPr>
        <w:t>, New York, v. 27, p. 889-923, 2025. DOI: https://doi.org/10.1007/s10796-024-10475-0.</w:t>
      </w:r>
    </w:p>
    <w:p>
      <w:pPr>
        <w:pStyle w:val="normal1"/>
        <w:spacing w:lineRule="auto" w:line="240" w:before="0" w:after="120"/>
        <w:ind w:hanging="0"/>
        <w:jc w:val="left"/>
        <w:rPr>
          <w:lang w:val="pt-BR"/>
        </w:rPr>
      </w:pPr>
      <w:r>
        <w:rPr>
          <w:rFonts w:eastAsia="Times New Roman" w:cs="Times New Roman"/>
          <w:lang w:val="pt-BR"/>
        </w:rPr>
        <w:t xml:space="preserve">MAJCHROWSKA, S.; MIKOŁAJCZYK, A.; FERLIN, M.; KLAWIKOWSKA, Z.; PLANTYKOW, M. A.; KWASIGROCH, A.; MAJEK, K. Deep learning-based waste detection in natural and urban environments. </w:t>
      </w:r>
      <w:r>
        <w:rPr>
          <w:rFonts w:eastAsia="Times New Roman" w:cs="Times New Roman"/>
          <w:b/>
          <w:bCs/>
          <w:lang w:val="pt-BR"/>
        </w:rPr>
        <w:t>Waste Management</w:t>
      </w:r>
      <w:r>
        <w:rPr>
          <w:rFonts w:eastAsia="Times New Roman" w:cs="Times New Roman"/>
          <w:lang w:val="pt-BR"/>
        </w:rPr>
        <w:t>, Oxford, v. 138, p. 274-284, 2022.</w:t>
      </w:r>
    </w:p>
    <w:p>
      <w:pPr>
        <w:pStyle w:val="normal1"/>
        <w:spacing w:lineRule="auto" w:line="240" w:before="0" w:after="120"/>
        <w:ind w:hanging="0"/>
        <w:jc w:val="left"/>
        <w:rPr>
          <w:lang w:val="pt-BR"/>
        </w:rPr>
      </w:pPr>
      <w:r>
        <w:rPr>
          <w:rFonts w:eastAsia="Times New Roman" w:cs="Times New Roman"/>
          <w:lang w:val="pt-BR"/>
        </w:rPr>
        <w:t xml:space="preserve">MARCONI, M. A.; LAKATOS, E. M. </w:t>
      </w:r>
      <w:r>
        <w:rPr>
          <w:rFonts w:eastAsia="Times New Roman" w:cs="Times New Roman"/>
          <w:b/>
          <w:bCs/>
          <w:lang w:val="pt-BR"/>
        </w:rPr>
        <w:t>Metodologia científica</w:t>
      </w:r>
      <w:r>
        <w:rPr>
          <w:rFonts w:eastAsia="Times New Roman" w:cs="Times New Roman"/>
          <w:lang w:val="pt-BR"/>
        </w:rPr>
        <w:t>. 6. ed. São Paulo: Atlas, 2011.</w:t>
      </w:r>
    </w:p>
    <w:p>
      <w:pPr>
        <w:pStyle w:val="normal1"/>
        <w:spacing w:lineRule="auto" w:line="240" w:before="0" w:after="120"/>
        <w:ind w:hanging="0"/>
        <w:jc w:val="left"/>
        <w:rPr>
          <w:lang w:val="pt-BR"/>
        </w:rPr>
      </w:pPr>
      <w:r>
        <w:rPr>
          <w:rFonts w:eastAsia="Times New Roman" w:cs="Times New Roman"/>
          <w:lang w:val="pt-BR"/>
        </w:rPr>
        <w:t xml:space="preserve">MIŠIĆ, J.; VAN EST, R.; KOOL, L. Good governance of public sector AI: a combined value framework for good order and a good society. </w:t>
      </w:r>
      <w:r>
        <w:rPr>
          <w:rFonts w:eastAsia="Times New Roman" w:cs="Times New Roman"/>
          <w:b/>
          <w:bCs/>
          <w:lang w:val="pt-BR"/>
        </w:rPr>
        <w:t>AI and Ethics</w:t>
      </w:r>
      <w:r>
        <w:rPr>
          <w:rFonts w:eastAsia="Times New Roman" w:cs="Times New Roman"/>
          <w:lang w:val="pt-BR"/>
        </w:rPr>
        <w:t>, Cham, v. 5, p. 4875-4889, 2025. DOI: https://doi.org/10.1007/s43681-025-00751-3.</w:t>
      </w:r>
    </w:p>
    <w:p>
      <w:pPr>
        <w:pStyle w:val="normal1"/>
        <w:spacing w:lineRule="auto" w:line="240" w:before="0" w:after="120"/>
        <w:ind w:hanging="0"/>
        <w:jc w:val="left"/>
        <w:rPr>
          <w:lang w:val="pt-BR"/>
        </w:rPr>
      </w:pPr>
      <w:r>
        <w:rPr>
          <w:rFonts w:eastAsia="Times New Roman" w:cs="Times New Roman"/>
          <w:lang w:val="pt-BR"/>
        </w:rPr>
        <w:t xml:space="preserve">MUCELIN, C. A.; BELLINI, M. Lixo e impactos ambientais perceptíveis no ecossistema urbano. </w:t>
      </w:r>
      <w:r>
        <w:rPr>
          <w:rFonts w:eastAsia="Times New Roman" w:cs="Times New Roman"/>
          <w:b/>
          <w:bCs/>
          <w:lang w:val="pt-BR"/>
        </w:rPr>
        <w:t>Sociedade &amp; Natureza</w:t>
      </w:r>
      <w:r>
        <w:rPr>
          <w:rFonts w:eastAsia="Times New Roman" w:cs="Times New Roman"/>
          <w:lang w:val="pt-BR"/>
        </w:rPr>
        <w:t>, Uberlândia, v. 20, n. 1, p. 111-124, 2008.</w:t>
      </w:r>
    </w:p>
    <w:p>
      <w:pPr>
        <w:pStyle w:val="normal1"/>
        <w:spacing w:lineRule="auto" w:line="240" w:before="0" w:after="120"/>
        <w:ind w:hanging="0"/>
        <w:jc w:val="left"/>
        <w:rPr>
          <w:lang w:val="pt-BR"/>
        </w:rPr>
      </w:pPr>
      <w:r>
        <w:rPr>
          <w:rFonts w:eastAsia="Times New Roman" w:cs="Times New Roman"/>
          <w:lang w:val="pt-BR"/>
        </w:rPr>
        <w:t xml:space="preserve">NASCIMENTO, V. F.; SOBRAL, A. C.; ANDRADE, P. R.; OMETTO, J. P. H. B. Evolução e desafios no gerenciamento dos resíduos sólidos urbanos no Brasil. </w:t>
      </w:r>
      <w:r>
        <w:rPr>
          <w:rFonts w:eastAsia="Times New Roman" w:cs="Times New Roman"/>
          <w:b/>
          <w:bCs/>
          <w:lang w:val="pt-BR"/>
        </w:rPr>
        <w:t>Revista Ambiente &amp; Água</w:t>
      </w:r>
      <w:r>
        <w:rPr>
          <w:rFonts w:eastAsia="Times New Roman" w:cs="Times New Roman"/>
          <w:lang w:val="pt-BR"/>
        </w:rPr>
        <w:t xml:space="preserve">, Taubaté, v. 10, n. 4, p. 889-902, 2015. DOI: </w:t>
      </w:r>
      <w:hyperlink r:id="rId30">
        <w:r>
          <w:rPr>
            <w:rStyle w:val="Hyperlink"/>
            <w:rFonts w:eastAsia="Times New Roman" w:cs="Times New Roman"/>
            <w:lang w:val="pt-BR"/>
          </w:rPr>
          <w:t>https://doi.org/10.4136/ambi-agua.1635</w:t>
        </w:r>
      </w:hyperlink>
      <w:r>
        <w:rPr>
          <w:rFonts w:eastAsia="Times New Roman" w:cs="Times New Roman"/>
          <w:lang w:val="pt-BR"/>
        </w:rPr>
        <w:t>.</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PACHECO, Renata Cristina Vasconcelos. </w:t>
      </w:r>
      <w:r>
        <w:rPr>
          <w:rStyle w:val="Strong"/>
          <w:rFonts w:eastAsia="Times New Roman" w:cs="Times New Roman"/>
          <w:lang w:val="pt-BR"/>
        </w:rPr>
        <w:t>Os principais desafios para a implementação da transformação digital na administração pública: uma revisão sistemática da literatura</w:t>
      </w:r>
      <w:r>
        <w:rPr>
          <w:rFonts w:eastAsia="Times New Roman" w:cs="Times New Roman"/>
          <w:lang w:val="pt-BR"/>
        </w:rPr>
        <w:t>. 2025. 65 f. Dissertação (Mestrado Profissional em Administração Pública) – Escola Brasileira de Administração Pública e de Empresas, Fundação Getulio Vargas, Rio de Janeiro, 2025.</w:t>
      </w:r>
    </w:p>
    <w:p>
      <w:pPr>
        <w:pStyle w:val="normal1"/>
        <w:spacing w:lineRule="auto" w:line="240" w:before="0" w:after="120"/>
        <w:ind w:hanging="0"/>
        <w:jc w:val="left"/>
        <w:rPr>
          <w:lang w:val="pt-BR"/>
        </w:rPr>
      </w:pPr>
      <w:r>
        <w:rPr>
          <w:rFonts w:eastAsia="Times New Roman" w:cs="Times New Roman"/>
          <w:lang w:val="pt-BR"/>
        </w:rPr>
        <w:t xml:space="preserve">PROENÇA, P. F.; SIMÕES, P. </w:t>
      </w:r>
      <w:r>
        <w:rPr>
          <w:rFonts w:eastAsia="Times New Roman" w:cs="Times New Roman"/>
          <w:b/>
          <w:bCs/>
          <w:lang w:val="pt-BR"/>
        </w:rPr>
        <w:t>TACO: Trash Annotations in Context for Litter Detection</w:t>
      </w:r>
      <w:r>
        <w:rPr>
          <w:rFonts w:eastAsia="Times New Roman" w:cs="Times New Roman"/>
          <w:lang w:val="pt-BR"/>
        </w:rPr>
        <w:t>. arXiv, 2020. Disponível em: https://arxiv.org/abs/2003.06975. Acesso em: 8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RADFORD, A.; KIM, J. W.; HALLACY, C.; RAMESH, A.; GOH, G.; AGARWAL, S.; SASTRY, G.; ASKELL, A.; MISHKIN, P.; CLARK, J.; KRUEGER, G.; SUTSKEVER, I. </w:t>
      </w:r>
      <w:r>
        <w:rPr>
          <w:rFonts w:eastAsia="Times New Roman" w:cs="Times New Roman"/>
          <w:b/>
          <w:bCs/>
          <w:lang w:val="pt-BR"/>
        </w:rPr>
        <w:t>Learning transferable visual models from natural language supervision</w:t>
      </w:r>
      <w:r>
        <w:rPr>
          <w:rFonts w:eastAsia="Times New Roman" w:cs="Times New Roman"/>
          <w:lang w:val="pt-BR"/>
        </w:rPr>
        <w:t>. In: INTERNATIONAL CONFERENCE ON MACHINE LEARNING, 38., 2021. Proceedings [...]. [S. l.]: PMLR, 2021. p. 8748-8763. (Proceedings of Machine Learning Research, v. 139).</w:t>
      </w:r>
    </w:p>
    <w:p>
      <w:pPr>
        <w:pStyle w:val="normal1"/>
        <w:spacing w:lineRule="auto" w:line="240" w:before="0" w:after="120"/>
        <w:ind w:hanging="0"/>
        <w:jc w:val="left"/>
        <w:rPr>
          <w:lang w:val="pt-BR"/>
        </w:rPr>
      </w:pPr>
      <w:r>
        <w:rPr>
          <w:rFonts w:eastAsia="Times New Roman" w:cs="Times New Roman"/>
          <w:lang w:val="pt-BR"/>
        </w:rPr>
        <w:t xml:space="preserve">REDMON, J.; DIVVALA, S.; GIRSHICK, R.; FARHADI, A. </w:t>
      </w:r>
      <w:r>
        <w:rPr>
          <w:rFonts w:eastAsia="Times New Roman" w:cs="Times New Roman"/>
          <w:b/>
          <w:bCs/>
          <w:lang w:val="pt-BR"/>
        </w:rPr>
        <w:t>You only look once: unified, real-time object detection</w:t>
      </w:r>
      <w:r>
        <w:rPr>
          <w:rFonts w:eastAsia="Times New Roman" w:cs="Times New Roman"/>
          <w:lang w:val="pt-BR"/>
        </w:rPr>
        <w:t>. In: IEEE CONFERENCE ON COMPUTER VISION AND PATTERN RECOGNITION, 2016, Las Vegas. Proceedings [...]. Las Vegas: IEEE, 2016. p. 779-788.</w:t>
      </w:r>
    </w:p>
    <w:p>
      <w:pPr>
        <w:pStyle w:val="normal1"/>
        <w:spacing w:lineRule="auto" w:line="240" w:before="0" w:after="120"/>
        <w:ind w:hanging="0"/>
        <w:jc w:val="left"/>
        <w:rPr>
          <w:lang w:val="pt-BR"/>
        </w:rPr>
      </w:pPr>
      <w:r>
        <w:rPr>
          <w:rFonts w:eastAsia="Times New Roman" w:cs="Times New Roman"/>
          <w:lang w:val="pt-BR"/>
        </w:rPr>
        <w:t xml:space="preserve">REIS, J.; ESPÍRITO SANTO, P.; MELÃO, N. </w:t>
      </w:r>
      <w:r>
        <w:rPr>
          <w:rFonts w:eastAsia="Times New Roman" w:cs="Times New Roman"/>
          <w:b/>
          <w:bCs/>
          <w:lang w:val="pt-BR"/>
        </w:rPr>
        <w:t>Artificial intelligence in government services: a systematic literature review</w:t>
      </w:r>
      <w:r>
        <w:rPr>
          <w:rFonts w:eastAsia="Times New Roman" w:cs="Times New Roman"/>
          <w:lang w:val="pt-BR"/>
        </w:rPr>
        <w:t>. In: ROCHA, Á. et al. (org.). New knowledge in information systems and technologies. Cham: Springer, 2019. p. 241-252. DOI: https://doi.org/10.1007/978-3-030-16181-1_23.</w:t>
      </w:r>
    </w:p>
    <w:p>
      <w:pPr>
        <w:pStyle w:val="normal1"/>
        <w:spacing w:lineRule="auto" w:line="240" w:before="0" w:after="120"/>
        <w:ind w:hanging="0"/>
        <w:jc w:val="left"/>
        <w:rPr>
          <w:lang w:val="pt-BR"/>
        </w:rPr>
      </w:pPr>
      <w:r>
        <w:rPr>
          <w:rFonts w:eastAsia="Times New Roman" w:cs="Times New Roman"/>
          <w:lang w:val="pt-BR"/>
        </w:rPr>
        <w:t xml:space="preserve">REN, Y.; LI, Y.; GAO, X. An MRS-YOLO model for high-precision waste detection and classification. </w:t>
      </w:r>
      <w:r>
        <w:rPr>
          <w:rFonts w:eastAsia="Times New Roman" w:cs="Times New Roman"/>
          <w:b/>
          <w:bCs/>
          <w:lang w:val="pt-BR"/>
        </w:rPr>
        <w:t>Sensors</w:t>
      </w:r>
      <w:r>
        <w:rPr>
          <w:rFonts w:eastAsia="Times New Roman" w:cs="Times New Roman"/>
          <w:lang w:val="pt-BR"/>
        </w:rPr>
        <w:t>, Basel, v. 24, n. 13, artigo 4339, 2024. DOI: https://doi.org/10.3390/s24134339.</w:t>
      </w:r>
    </w:p>
    <w:p>
      <w:pPr>
        <w:pStyle w:val="normal1"/>
        <w:spacing w:lineRule="auto" w:line="240" w:before="0" w:after="120"/>
        <w:ind w:hanging="0"/>
        <w:jc w:val="left"/>
        <w:rPr>
          <w:lang w:val="pt-BR"/>
        </w:rPr>
      </w:pPr>
      <w:r>
        <w:rPr>
          <w:rFonts w:eastAsia="Times New Roman" w:cs="Times New Roman"/>
          <w:lang w:val="pt-BR"/>
        </w:rPr>
        <w:t xml:space="preserve">RODRIGUES, W.; MAGALHÃES FILHO, L. N. L.; PEREIRA, R. S. Análise dos determinantes dos custos de resíduos sólidos urbanos nas capitais estaduais brasileiras. </w:t>
      </w:r>
      <w:r>
        <w:rPr>
          <w:rFonts w:eastAsia="Times New Roman" w:cs="Times New Roman"/>
          <w:b/>
          <w:bCs/>
          <w:lang w:val="pt-BR"/>
        </w:rPr>
        <w:t>urbe. Revista Brasileira de Gestão Urbana</w:t>
      </w:r>
      <w:r>
        <w:rPr>
          <w:rFonts w:eastAsia="Times New Roman" w:cs="Times New Roman"/>
          <w:lang w:val="pt-BR"/>
        </w:rPr>
        <w:t>, Curitiba, v. 8, n. 1, p. 130-141, 2016. DOI: https://doi.org/10.1590/2175-3369.008.001.AO02.</w:t>
      </w:r>
    </w:p>
    <w:p>
      <w:pPr>
        <w:pStyle w:val="normal1"/>
        <w:spacing w:lineRule="auto" w:line="240" w:before="0" w:after="120"/>
        <w:ind w:hanging="0"/>
        <w:jc w:val="left"/>
        <w:rPr>
          <w:lang w:val="pt-BR"/>
        </w:rPr>
      </w:pPr>
      <w:r>
        <w:rPr>
          <w:rFonts w:eastAsia="Times New Roman" w:cs="Times New Roman"/>
          <w:lang w:val="pt-BR"/>
        </w:rPr>
        <w:t xml:space="preserve">SIDEWALK. </w:t>
      </w:r>
      <w:r>
        <w:rPr>
          <w:rFonts w:eastAsia="Times New Roman" w:cs="Times New Roman"/>
          <w:b/>
          <w:bCs/>
          <w:lang w:val="pt-BR"/>
        </w:rPr>
        <w:t>Sidewalk Segmentation Dataset</w:t>
      </w:r>
      <w:r>
        <w:rPr>
          <w:rFonts w:eastAsia="Times New Roman" w:cs="Times New Roman"/>
          <w:lang w:val="pt-BR"/>
        </w:rPr>
        <w:t>. Roboflow Universe, dez. 2022. Disponível em: https://universe.roboflow.com/sidewalk/sidewalk-segmentation. Acesso em: 8 jun. 2026.</w:t>
      </w:r>
    </w:p>
    <w:p>
      <w:pPr>
        <w:pStyle w:val="normal1"/>
        <w:spacing w:lineRule="auto" w:line="240" w:before="0" w:after="120"/>
        <w:ind w:hanging="0"/>
        <w:jc w:val="left"/>
        <w:rPr>
          <w:lang w:val="pt-BR"/>
        </w:rPr>
      </w:pPr>
      <w:r>
        <w:rPr>
          <w:rFonts w:eastAsia="Times New Roman" w:cs="Times New Roman"/>
          <w:lang w:val="pt-BR"/>
        </w:rPr>
        <w:t xml:space="preserve">SZELISKI, R. </w:t>
      </w:r>
      <w:r>
        <w:rPr>
          <w:rFonts w:eastAsia="Times New Roman" w:cs="Times New Roman"/>
          <w:b/>
          <w:bCs/>
          <w:lang w:val="pt-BR"/>
        </w:rPr>
        <w:t>Computer vision: algorithms and applications</w:t>
      </w:r>
      <w:r>
        <w:rPr>
          <w:rFonts w:eastAsia="Times New Roman" w:cs="Times New Roman"/>
          <w:lang w:val="pt-BR"/>
        </w:rPr>
        <w:t>. 2. ed. Cham: Springer, 2022.</w:t>
      </w:r>
    </w:p>
    <w:p>
      <w:pPr>
        <w:pStyle w:val="normal1"/>
        <w:spacing w:lineRule="auto" w:line="240" w:before="0" w:after="120"/>
        <w:ind w:hanging="0"/>
        <w:jc w:val="left"/>
        <w:rPr>
          <w:lang w:val="pt-BR"/>
        </w:rPr>
      </w:pPr>
      <w:r>
        <w:rPr>
          <w:rFonts w:eastAsia="Times New Roman" w:cs="Times New Roman"/>
          <w:lang w:val="pt-BR"/>
        </w:rPr>
        <w:t xml:space="preserve">TERVEN, J.; CÓRDOVA-ESPARZA, D. M.; ROMERO-GONZÁLEZ, J. A. A comprehensive review of YOLO architectures in computer vision: from YOLOv1 to YOLOv8 and YOLO-NAS. </w:t>
      </w:r>
      <w:r>
        <w:rPr>
          <w:rFonts w:eastAsia="Times New Roman" w:cs="Times New Roman"/>
          <w:b/>
          <w:bCs/>
          <w:lang w:val="pt-BR"/>
        </w:rPr>
        <w:t>Machine Learning and Knowledge Extraction</w:t>
      </w:r>
      <w:r>
        <w:rPr>
          <w:rFonts w:eastAsia="Times New Roman" w:cs="Times New Roman"/>
          <w:lang w:val="pt-BR"/>
        </w:rPr>
        <w:t>, Basel, v. 5, n. 4, p. 1680-1716, 2023. DOI: https://doi.org/10.3390/make5040083.</w:t>
      </w:r>
    </w:p>
    <w:p>
      <w:pPr>
        <w:pStyle w:val="normal1"/>
        <w:spacing w:lineRule="auto" w:line="240" w:before="0" w:after="120"/>
        <w:ind w:hanging="0"/>
        <w:jc w:val="left"/>
        <w:rPr>
          <w:lang w:val="pt-BR"/>
        </w:rPr>
      </w:pPr>
      <w:r>
        <w:rPr>
          <w:rFonts w:eastAsia="Times New Roman" w:cs="Times New Roman"/>
          <w:lang w:val="pt-BR"/>
        </w:rPr>
        <w:t xml:space="preserve">TRASH DATASET FOR ORIENTED BOUNDED BOX. </w:t>
      </w:r>
      <w:r>
        <w:rPr>
          <w:rFonts w:eastAsia="Times New Roman" w:cs="Times New Roman"/>
          <w:b/>
          <w:bCs/>
          <w:lang w:val="pt-BR"/>
        </w:rPr>
        <w:t>Trash Detection Dataset</w:t>
      </w:r>
      <w:r>
        <w:rPr>
          <w:rFonts w:eastAsia="Times New Roman" w:cs="Times New Roman"/>
          <w:lang w:val="pt-BR"/>
        </w:rPr>
        <w:t>. Roboflow Universe, jan. 2026. Disponível em: https://universe.roboflow.com/trash-dataset-for-oriented-bounded-box/trash-detection-1fjjc. Acesso em: 8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ULTRALYTICS. </w:t>
      </w:r>
      <w:r>
        <w:rPr>
          <w:rFonts w:eastAsia="Times New Roman" w:cs="Times New Roman"/>
          <w:b/>
          <w:bCs/>
          <w:lang w:val="pt-BR"/>
        </w:rPr>
        <w:t>Ultralytics YOLO Docs</w:t>
      </w:r>
      <w:r>
        <w:rPr>
          <w:rFonts w:eastAsia="Times New Roman" w:cs="Times New Roman"/>
          <w:lang w:val="pt-BR"/>
        </w:rPr>
        <w:t>: tips for best training results. [S. l.]: Ultralytics, 2024. Disponível em: https://docs.ultralytics.com/guides/model-training-tips/. Acesso em: 8 jun. 2026.</w:t>
      </w:r>
    </w:p>
    <w:p>
      <w:pPr>
        <w:pStyle w:val="normal1"/>
        <w:spacing w:lineRule="auto" w:line="240" w:before="0" w:after="120"/>
        <w:ind w:hanging="0"/>
        <w:jc w:val="left"/>
        <w:rPr>
          <w:lang w:val="pt-BR"/>
        </w:rPr>
      </w:pPr>
      <w:r>
        <w:rPr>
          <w:b/>
          <w:bCs/>
          <w:lang w:val="pt-BR"/>
        </w:rPr>
        <w:t>XIAN, Yongqin; LAMPERT, Christoph H.; SCHIELE, Bernt; AKATA, Zeynep.</w:t>
      </w:r>
      <w:r>
        <w:rPr>
          <w:lang w:val="pt-BR"/>
        </w:rPr>
        <w:t xml:space="preserve"> Zero-shot learning: a comprehensive evaluation of the good, the bad and the ugly. </w:t>
      </w:r>
      <w:r>
        <w:rPr>
          <w:i/>
          <w:iCs/>
          <w:lang w:val="pt-BR"/>
        </w:rPr>
        <w:t>IEEE Transactions on Pattern Analysis and Machine Intelligence</w:t>
      </w:r>
      <w:r>
        <w:rPr>
          <w:lang w:val="pt-BR"/>
        </w:rPr>
        <w:t>, v. 41, n. 9, p. 2251-2265, 2019. DOI: 10.1109/TPAMI.2018.2857768. Disponível em: https://doi.org/10.1109/TPAMI.2018.2857768. Acesso em: 12 jun. 2026.</w:t>
      </w:r>
    </w:p>
    <w:p>
      <w:pPr>
        <w:pStyle w:val="normal1"/>
        <w:spacing w:lineRule="auto" w:line="240" w:before="0" w:after="120"/>
        <w:ind w:hanging="0"/>
        <w:jc w:val="left"/>
        <w:rPr>
          <w:lang w:val="pt-BR"/>
        </w:rPr>
      </w:pPr>
      <w:r>
        <w:rPr>
          <w:rFonts w:eastAsia="Times New Roman" w:cs="Times New Roman"/>
          <w:lang w:val="pt-BR"/>
        </w:rPr>
        <w:t xml:space="preserve">ZAILAN, N. A.; AZIZAN, M. M.; HASIKIN, K.; MOHD KHAIRUDDIN, A. S.; KHAIRUDDIN, U. An automated solid waste detection using the optimized YOLO model for riverine management. </w:t>
      </w:r>
      <w:r>
        <w:rPr>
          <w:rFonts w:eastAsia="Times New Roman" w:cs="Times New Roman"/>
          <w:b/>
          <w:bCs/>
          <w:lang w:val="pt-BR"/>
        </w:rPr>
        <w:t>Frontiers in Public Health</w:t>
      </w:r>
      <w:r>
        <w:rPr>
          <w:rFonts w:eastAsia="Times New Roman" w:cs="Times New Roman"/>
          <w:lang w:val="pt-BR"/>
        </w:rPr>
        <w:t>, Lausanne, v. 10, artigo 907280, 2022. DOI: https://doi.org/10.3389/fpubh.2022.907280.</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ZHANG, J.; HUANG, J.; JIN, S.; LU, S. </w:t>
      </w:r>
      <w:r>
        <w:rPr>
          <w:rFonts w:eastAsia="Times New Roman" w:cs="Times New Roman"/>
          <w:b/>
          <w:bCs/>
          <w:lang w:val="pt-BR"/>
        </w:rPr>
        <w:t>Vision-language models for vision tasks: a survey</w:t>
      </w:r>
      <w:r>
        <w:rPr>
          <w:rFonts w:eastAsia="Times New Roman" w:cs="Times New Roman"/>
          <w:lang w:val="pt-BR"/>
        </w:rPr>
        <w:t>. arXiv, 2024. Disponível em: https://arxiv.org/abs/2304.00685. Acesso em: 8 jun. 2026.</w:t>
      </w:r>
    </w:p>
    <w:p>
      <w:pPr>
        <w:pStyle w:val="normal1"/>
        <w:spacing w:lineRule="auto" w:line="240" w:before="0" w:after="120"/>
        <w:ind w:hanging="0"/>
        <w:jc w:val="left"/>
        <w:rPr>
          <w:lang w:val="pt-BR"/>
        </w:rPr>
      </w:pPr>
      <w:r>
        <w:rPr>
          <w:b/>
          <w:bCs/>
          <w:lang w:val="pt-BR"/>
        </w:rPr>
        <w:t>ZHANG, Xinyu; ZHU, Daqi; GAN, Wenyang.</w:t>
      </w:r>
      <w:r>
        <w:rPr>
          <w:lang w:val="pt-BR"/>
        </w:rPr>
        <w:t xml:space="preserve"> YOLOv7t-CEBC Network for Underwater Litter Detection. </w:t>
      </w:r>
      <w:r>
        <w:rPr>
          <w:b/>
          <w:bCs/>
          <w:lang w:val="pt-BR"/>
        </w:rPr>
        <w:t>Journal of Marine Science and Engineering</w:t>
      </w:r>
      <w:r>
        <w:rPr>
          <w:lang w:val="pt-BR"/>
        </w:rPr>
        <w:t>, v. 12, n. 4, artigo 524, 2024. DOI: 10.3390/jmse12040524.</w:t>
      </w:r>
    </w:p>
    <w:p>
      <w:pPr>
        <w:pStyle w:val="normal1"/>
        <w:spacing w:lineRule="auto" w:line="240" w:before="0" w:after="120"/>
        <w:ind w:hanging="0"/>
        <w:jc w:val="left"/>
        <w:rPr>
          <w:lang w:val="pt-BR"/>
        </w:rPr>
      </w:pPr>
      <w:r>
        <w:rPr>
          <w:rFonts w:eastAsia="Times New Roman" w:cs="Times New Roman"/>
          <w:lang w:val="pt-BR"/>
        </w:rPr>
        <w:t xml:space="preserve">ZOU, Z.; CHEN, K.; SHI, Z.; GUO, Y.; YE, J. Object detection in 20 years: a survey. </w:t>
      </w:r>
      <w:r>
        <w:rPr>
          <w:rFonts w:eastAsia="Times New Roman" w:cs="Times New Roman"/>
          <w:b/>
          <w:bCs/>
          <w:lang w:val="pt-BR"/>
        </w:rPr>
        <w:t>Proceedings of the IEEE</w:t>
      </w:r>
      <w:r>
        <w:rPr>
          <w:rFonts w:eastAsia="Times New Roman" w:cs="Times New Roman"/>
          <w:lang w:val="pt-BR"/>
        </w:rPr>
        <w:t>, New York, v. 111, n. 3, p. 257-276, 2023. DOI: https://doi.org/10.1109/JPROC.2023.3238524.</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ZUIDERWIJK, A.; CHEN, Y.-C.; SALEM, F. Implications of the use of artificial intelligence in public governance: a systematic literature review and a research agenda. </w:t>
      </w:r>
      <w:r>
        <w:rPr>
          <w:rFonts w:eastAsia="Times New Roman" w:cs="Times New Roman"/>
          <w:b/>
          <w:bCs/>
          <w:lang w:val="pt-BR"/>
        </w:rPr>
        <w:t>Government Information Quarterly</w:t>
      </w:r>
      <w:r>
        <w:rPr>
          <w:rFonts w:eastAsia="Times New Roman" w:cs="Times New Roman"/>
          <w:lang w:val="pt-BR"/>
        </w:rPr>
        <w:t xml:space="preserve">, Amsterdam, v. 38, n. 3, artigo 101577, 2021. DOI: </w:t>
      </w:r>
      <w:hyperlink r:id="rId31">
        <w:r>
          <w:rPr>
            <w:rStyle w:val="Hyperlink"/>
            <w:rFonts w:eastAsia="Times New Roman" w:cs="Times New Roman"/>
            <w:lang w:val="pt-BR"/>
          </w:rPr>
          <w:t>https://doi.org/10.1016/j.giq.2021.101577</w:t>
        </w:r>
      </w:hyperlink>
      <w:r>
        <w:rPr>
          <w:rFonts w:eastAsia="Times New Roman" w:cs="Times New Roman"/>
          <w:lang w:val="pt-BR"/>
        </w:rPr>
        <w:t>.</w:t>
      </w:r>
    </w:p>
    <w:p>
      <w:pPr>
        <w:pStyle w:val="normal1"/>
        <w:spacing w:before="0" w:after="120"/>
        <w:rPr/>
      </w:pPr>
      <w:r>
        <w:rPr>
          <w:b/>
          <w:bCs/>
        </w:rPr>
        <w:t>TORNEIRO, André; MONTEIRO, Diogo; NOVAIS, Paulo; HENRIQUES, Pedro Rangel; RODRIGUES, Nuno F.</w:t>
      </w:r>
      <w:r>
        <w:rPr/>
        <w:t xml:space="preserve"> Towards general urban monitoring with vision-language models: a review, evaluation, and a research agenda. </w:t>
      </w:r>
      <w:r>
        <w:rPr>
          <w:i/>
          <w:iCs/>
        </w:rPr>
        <w:t>arXiv</w:t>
      </w:r>
      <w:r>
        <w:rPr/>
        <w:t xml:space="preserve">, 2025. DOI: 10.48550/arXiv.2510.12400. Disponível em: </w:t>
      </w:r>
      <w:hyperlink r:id="rId32" w:tgtFrame="_new">
        <w:r>
          <w:rPr>
            <w:rStyle w:val="Hyperlink"/>
          </w:rPr>
          <w:t>https://arxiv.org/abs/2510.12400</w:t>
        </w:r>
      </w:hyperlink>
      <w:r>
        <w:rPr/>
        <w:t>. Acesso em: 12 jun. 2026.</w:t>
      </w:r>
    </w:p>
    <w:p>
      <w:pPr>
        <w:pStyle w:val="normal1"/>
        <w:spacing w:before="0" w:after="120"/>
        <w:rPr/>
      </w:pPr>
      <w:r>
        <w:rPr>
          <w:b/>
          <w:bCs/>
        </w:rPr>
        <w:t>MALLA, Hiranya Jeet; BAZLI, Milad; ARASHPOUR, Mehrdad.</w:t>
      </w:r>
      <w:r>
        <w:rPr/>
        <w:t xml:space="preserve"> Prompt-stable knowledge distillation of vision-language models for efficient waste classification in material recovery facilities. </w:t>
      </w:r>
      <w:r>
        <w:rPr>
          <w:i/>
          <w:iCs/>
        </w:rPr>
        <w:t>Resources, Conservation and Recycling</w:t>
      </w:r>
      <w:r>
        <w:rPr/>
        <w:t>, v. 230, art. 108885, p. 1-13, 2026. DOI: 10.1016/j.resconrec.2026.108885. Disponível em: https://doi.org/10.1016/j.resconrec.2026.108885. Acesso em: 12 jun. 2026.</w:t>
      </w:r>
    </w:p>
    <w:p>
      <w:pPr>
        <w:pStyle w:val="normal1"/>
        <w:spacing w:before="0" w:after="120"/>
        <w:rPr/>
      </w:pPr>
      <w:r>
        <w:rPr>
          <w:b/>
          <w:bCs/>
        </w:rPr>
        <w:t>FUNK, Jonas et al.</w:t>
      </w:r>
      <w:r>
        <w:rPr/>
        <w:t xml:space="preserve"> A comparative evaluation of vision language models for waste classification in few-shot settings. In: </w:t>
      </w:r>
      <w:r>
        <w:rPr>
          <w:b/>
          <w:bCs/>
        </w:rPr>
        <w:t>WORLD CONGRESS ON ELECTRICAL ENGINEERING AND COMPUTER SYSTEMS AND SCIENCE</w:t>
      </w:r>
      <w:r>
        <w:rPr/>
        <w:t xml:space="preserve">, 11., 2025. </w:t>
      </w:r>
      <w:r>
        <w:rPr>
          <w:i/>
          <w:iCs/>
        </w:rPr>
        <w:t>Proceedings [...]</w:t>
      </w:r>
      <w:r>
        <w:rPr/>
        <w:t>. [S. l.]: EECSS, 2025. DOI: 10.11159/mvml25.113. Disponível em: https://doi.org/10.11159/mvml25.113. Acesso em: 12 jun. 2026.</w:t>
      </w:r>
    </w:p>
    <w:p>
      <w:pPr>
        <w:pStyle w:val="normal1"/>
        <w:spacing w:before="0" w:after="120"/>
        <w:rPr/>
      </w:pPr>
      <w:r>
        <w:rPr>
          <w:b/>
          <w:bCs/>
        </w:rPr>
        <w:t>RAJABI, Navid; KOSECKA, Jana.</w:t>
      </w:r>
      <w:r>
        <w:rPr/>
        <w:t xml:space="preserve"> Towards grounded visual spatial reasoning in multi-modal vision language models. </w:t>
      </w:r>
      <w:r>
        <w:rPr>
          <w:i/>
          <w:iCs/>
        </w:rPr>
        <w:t>arXiv</w:t>
      </w:r>
      <w:r>
        <w:rPr/>
        <w:t xml:space="preserve">, 2023. DOI: 10.48550/arXiv.2308.09778. Disponível em: </w:t>
      </w:r>
      <w:hyperlink r:id="rId33" w:tgtFrame="_new">
        <w:r>
          <w:rPr>
            <w:rStyle w:val="Hyperlink"/>
          </w:rPr>
          <w:t>https://arxiv.org/abs/2308.09778</w:t>
        </w:r>
      </w:hyperlink>
      <w:r>
        <w:rPr/>
        <w:t>. Acesso em: 12 jun. 2026.</w:t>
      </w:r>
    </w:p>
    <w:p>
      <w:pPr>
        <w:pStyle w:val="normal1"/>
        <w:spacing w:before="0" w:after="120"/>
        <w:rPr/>
      </w:pPr>
      <w:r>
        <w:rPr>
          <w:b/>
          <w:bCs/>
        </w:rPr>
        <w:t>WAN, David; CHO, Jaemin; STENGEL-ESKIN, Elias; BANSAL, Mohit.</w:t>
      </w:r>
      <w:r>
        <w:rPr/>
        <w:t xml:space="preserve"> Contrastive region guidance: improving grounding in vision-language models without training. In: </w:t>
      </w:r>
      <w:r>
        <w:rPr>
          <w:b/>
          <w:bCs/>
        </w:rPr>
        <w:t>EUROPEAN CONFERENCE ON COMPUTER VISION</w:t>
      </w:r>
      <w:r>
        <w:rPr/>
        <w:t xml:space="preserve">, 2024. </w:t>
      </w:r>
      <w:r>
        <w:rPr>
          <w:i/>
          <w:iCs/>
        </w:rPr>
        <w:t>Proceedings [...]</w:t>
      </w:r>
      <w:r>
        <w:rPr/>
        <w:t xml:space="preserve">. [S. l.]: Springer, 2024. Disponível em: </w:t>
      </w:r>
      <w:hyperlink r:id="rId34" w:tgtFrame="_new">
        <w:r>
          <w:rPr>
            <w:rStyle w:val="Hyperlink"/>
          </w:rPr>
          <w:t>https://www.ecva.net/papers/eccv_2024/papers_ECCV/papers/10172.pdf</w:t>
        </w:r>
      </w:hyperlink>
      <w:r>
        <w:rPr/>
        <w:t>. Acesso em: 12 jun. 2026.</w:t>
      </w:r>
    </w:p>
    <w:p>
      <w:pPr>
        <w:pStyle w:val="BodyText"/>
        <w:spacing w:lineRule="auto" w:line="240" w:before="0" w:after="120"/>
        <w:ind w:hanging="0"/>
        <w:jc w:val="left"/>
        <w:rPr>
          <w:lang w:val="pt-BR"/>
        </w:rPr>
      </w:pPr>
      <w:r>
        <w:rPr>
          <w:lang w:val="pt-BR"/>
        </w:rPr>
        <w:tab/>
        <w:t xml:space="preserve">MADAN, R.; ASHOK, M. Making sense of AI benefits: a mixed-method study in Canadian public administration. </w:t>
      </w:r>
      <w:r>
        <w:rPr>
          <w:rStyle w:val="Strong"/>
          <w:lang w:val="pt-BR"/>
        </w:rPr>
        <w:t>Information Systems Frontiers</w:t>
      </w:r>
      <w:r>
        <w:rPr>
          <w:lang w:val="pt-BR"/>
        </w:rPr>
        <w:t xml:space="preserve">, New York, v. 27, p. 889-923, 2025. DOI: </w:t>
      </w:r>
      <w:hyperlink r:id="rId35" w:tgtFrame="_new">
        <w:r>
          <w:rPr>
            <w:rStyle w:val="Hyperlink"/>
            <w:lang w:val="pt-BR"/>
          </w:rPr>
          <w:t>https://doi.org/10.1007/s10796-024-10475-0</w:t>
        </w:r>
      </w:hyperlink>
      <w:r>
        <w:rPr>
          <w:lang w:val="pt-BR"/>
        </w:rPr>
        <w:t>.</w:t>
      </w:r>
    </w:p>
    <w:p>
      <w:pPr>
        <w:pStyle w:val="BodyText"/>
        <w:rPr/>
      </w:pPr>
      <w:r>
        <w:rPr/>
        <w:t xml:space="preserve">MAJCHROWSKA, S.; MIKOŁAJCZYK, A.; FERLIN, M.; KLAWIKOWSKA, Z.; PLANTYKOW, M. A.; KWASIGROCH, A.; MAJEK, K. Deep learning-based waste detection in natural and urban environments. </w:t>
      </w:r>
      <w:r>
        <w:rPr>
          <w:rStyle w:val="Strong"/>
        </w:rPr>
        <w:t>Waste Management</w:t>
      </w:r>
      <w:r>
        <w:rPr/>
        <w:t>, Oxford, v. 138, p. 274-284, 2022.</w:t>
      </w:r>
    </w:p>
    <w:p>
      <w:pPr>
        <w:pStyle w:val="BodyText"/>
        <w:rPr/>
      </w:pPr>
      <w:r>
        <w:rPr/>
        <w:t xml:space="preserve">ZAILAN, N. A.; AZIZAN, M. M.; HASIKIN, K.; MOHD KHAIRUDDIN, A. S.; KHAIRUDDIN, U. An automated solid waste detection using the optimized YOLO model for riverine management. </w:t>
      </w:r>
      <w:r>
        <w:rPr>
          <w:rStyle w:val="Strong"/>
        </w:rPr>
        <w:t>Frontiers in Public Health</w:t>
      </w:r>
      <w:r>
        <w:rPr/>
        <w:t xml:space="preserve">, Lausanne, v. 10, artigo 907280, 2022. DOI: </w:t>
      </w:r>
      <w:hyperlink r:id="rId36" w:tgtFrame="_new">
        <w:r>
          <w:rPr>
            <w:rStyle w:val="Hyperlink"/>
          </w:rPr>
          <w:t>https://doi.org/10.3389/fpubh.2022.907280</w:t>
        </w:r>
      </w:hyperlink>
      <w:r>
        <w:rPr/>
        <w:t>.</w:t>
      </w:r>
    </w:p>
    <w:p>
      <w:pPr>
        <w:pStyle w:val="normal1"/>
        <w:spacing w:lineRule="auto" w:line="240" w:before="0" w:after="120"/>
        <w:ind w:hanging="0"/>
        <w:jc w:val="left"/>
        <w:rPr>
          <w:lang w:val="pt-BR"/>
        </w:rPr>
      </w:pPr>
      <w:r>
        <w:rPr>
          <w:lang w:val="pt-BR"/>
        </w:rPr>
      </w:r>
    </w:p>
    <w:p>
      <w:pPr>
        <w:pStyle w:val="normal1"/>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APÊNDICE A – MATERIAIS PARA REPRODUTIBILIDADE DO EXPERIMENTO</w:t>
      </w:r>
    </w:p>
    <w:p>
      <w:pPr>
        <w:pStyle w:val="normal1"/>
        <w:spacing w:before="0" w:after="120"/>
        <w:rPr>
          <w:lang w:val="pt-BR"/>
        </w:rPr>
      </w:pPr>
      <w:r>
        <w:rPr/>
      </w:r>
    </w:p>
    <w:p>
      <w:pPr>
        <w:pStyle w:val="normal1"/>
        <w:spacing w:before="0" w:after="120"/>
        <w:rPr>
          <w:lang w:val="pt-BR"/>
        </w:rPr>
      </w:pPr>
      <w:r>
        <w:rPr>
          <w:lang w:val="pt-BR"/>
        </w:rPr>
        <w:t>Este apêndice reúne os elementos necessários à auditoria e à reprodução do experimento computacional descrito no Capítulo 3, em conformidade com o compromisso de reprodutibilidade assumido na seção 3.7. São disponibilizados os artefatos de configuração, os hiperparâmetros de treinamento, o prompt de inferência e as instruções de acesso ao código e aos dados.</w:t>
      </w:r>
    </w:p>
    <w:p>
      <w:pPr>
        <w:pStyle w:val="normal1"/>
        <w:spacing w:before="0" w:after="120"/>
        <w:rPr>
          <w:lang w:val="pt-BR"/>
        </w:rPr>
      </w:pPr>
      <w:r>
        <w:rPr>
          <w:lang w:val="pt-BR"/>
        </w:rPr>
        <w:t>O experimento foi executado em ambiente com GPU NVIDIA GeForce RTX 5090 (32 GB de VRAM GDDR7, CUDA 12.8, arquitetura Blackwell). O treinamento do YOLOv11m partiu dos pesos pré-treinados yolo11m.pt e adotou os seguintes hiperparâmetros: 100 épocas; batch size de 12; resolução de entrada de 640×640 pixels; otimizador AdamW com taxa de aprendizado inicial de 0,001; paciência de parada antecipada de 20 épocas; augmentation de mosaico (mosaic=1,0) e espelhamento horizontal (fliplr=0,5). O checkpoint de melhor desempenho na validação (best.pt) foi preservado para a etapa de inferência.</w:t>
      </w:r>
    </w:p>
    <w:p>
      <w:pPr>
        <w:pStyle w:val="normal1"/>
        <w:spacing w:before="0" w:after="120"/>
        <w:rPr>
          <w:lang w:val="pt-BR"/>
        </w:rPr>
      </w:pPr>
      <w:r>
        <w:rPr>
          <w:lang w:val="pt-BR"/>
        </w:rPr>
        <w:t>A inferência com o Gemma 3 27B-IT foi realizada via LM Studio, em regime zero-shot, com temperatura igual a 0, seed igual a 42 e saída estruturada em formato JSON. O prompt padronizado, o controle por cache, o registro do hash SHA-256 do prompt e o nível de quantização empregado encontram-se descritos na seção 3.8 e reproduzidos nos arquivos de configuração do repositório.</w:t>
      </w:r>
    </w:p>
    <w:p>
      <w:pPr>
        <w:pStyle w:val="normal1"/>
        <w:spacing w:before="0" w:after="120"/>
        <w:rPr/>
      </w:pPr>
      <w:r>
        <w:rPr>
          <w:lang w:val="pt-BR"/>
        </w:rPr>
        <w:t>Os scripts de preparação dos dados, treinamento, inferência e cálculo das métricas, bem como os arquivos de configuração, os pesos finais, os registros de execução e as instruções de obtenção das bases de imagens, estão disponíveis no repositório do projeto: https://github.com/jaimejrs/residuos_yolov11m_gemma3. As bases públicas de terceiros (TACO, Trash Detection e Sidewalk Segmentation)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p>
      <w:pPr>
        <w:pStyle w:val="normal1"/>
        <w:spacing w:before="0" w:after="120"/>
        <w:rPr/>
      </w:pPr>
      <w:r>
        <w:rPr/>
        <w:t>Prompt utilizado “</w:t>
      </w:r>
      <w:r>
        <w:rPr/>
        <w:t>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 ou contêineres fechados em uso normal, veículos, pessoas, vegetação, mobiliário urbano em bom estado ou pavimentação normal. Responda estritamente em JSON válido, sem markdown e sem texto fora do JSON: {"tem_lixo": true, "descricao_breve": "...", "confianca": 0.0}. Caso não haja lixo visível, retorne "tem_lixo": false.”</w:t>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sectPr>
      <w:headerReference w:type="default" r:id="rId37"/>
      <w:headerReference w:type="first" r:id="rId38"/>
      <w:footerReference w:type="default" r:id="rId39"/>
      <w:footerReference w:type="first" r:id="rId40"/>
      <w:type w:val="nextPage"/>
      <w:pgSz w:w="11906" w:h="16838"/>
      <w:pgMar w:left="1701" w:right="1134" w:gutter="0" w:header="709" w:top="1701" w:footer="709" w:bottom="1134"/>
      <w:pgNumType w:start="14"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Mono">
    <w:altName w:val="Courier New"/>
    <w:charset w:val="01"/>
    <w:family w:val="modern"/>
    <w:pitch w:val="fixed"/>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Georgia">
    <w:charset w:val="01"/>
    <w:family w:val="roman"/>
    <w:pitch w:val="variable"/>
    <w:embedRegular r:id="rId21" w:fontKey="{15014A78-CABC-4EF0-12AC-5CD89AEFDE15}"/>
    <w:embedBold r:id="rId22" w:fontKey="{16014A78-CABC-4EF0-12AC-5CD89AEFDE16}"/>
    <w:embedItalic r:id="rId23" w:fontKey="{17014A78-CABC-4EF0-12AC-5CD89AEFDE17}"/>
    <w:embedBoldItalic r:id="rId24" w:fontKey="{18014A78-CABC-4EF0-12AC-5CD89AEFDE18}"/>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lang w:val="pt-BR"/>
      </w:rPr>
    </w:pPr>
    <w:r>
      <w:rPr>
        <w:lang w:val="pt-BR"/>
      </w:rPr>
      <w:fldChar w:fldCharType="begin"/>
    </w:r>
    <w:r>
      <w:rPr>
        <w:lang w:val="pt-BR"/>
      </w:rPr>
      <w:instrText xml:space="preserve"> PAGE </w:instrText>
    </w:r>
    <w:r>
      <w:rPr>
        <w:lang w:val="pt-BR"/>
      </w:rPr>
      <w:fldChar w:fldCharType="separate"/>
    </w:r>
    <w:r>
      <w:rPr>
        <w:lang w:val="pt-BR"/>
      </w:rPr>
      <w:t>64</w:t>
    </w:r>
    <w:r>
      <w:rPr>
        <w:lang w:val="pt-B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left"/>
      <w:pPr>
        <w:tabs>
          <w:tab w:val="num" w:pos="0"/>
        </w:tabs>
        <w:ind w:left="0" w:hanging="0"/>
      </w:pPr>
      <w:rPr/>
    </w:lvl>
    <w:lvl w:ilvl="1">
      <w:start w:val="1"/>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isplayBackgroundShape/>
  <w:embedTrueType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pt-BR" w:eastAsia="zh-CN" w:bidi="hi-IN"/>
    </w:rPr>
  </w:style>
  <w:style w:type="paragraph" w:styleId="Heading1">
    <w:name w:val="Heading 1"/>
    <w:basedOn w:val="normal1"/>
    <w:next w:val="normal1"/>
    <w:uiPriority w:val="9"/>
    <w:qFormat/>
    <w:pPr>
      <w:keepNext w:val="true"/>
      <w:spacing w:lineRule="auto" w:line="240" w:before="240" w:after="240"/>
      <w:ind w:hanging="0"/>
      <w:jc w:val="left"/>
      <w:outlineLvl w:val="0"/>
    </w:pPr>
    <w:rPr>
      <w:rFonts w:eastAsia="Times New Roman" w:cs="Times New Roman"/>
      <w:b/>
      <w:bCs/>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sz w:val="22"/>
      <w:szCs w:val="22"/>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Emphasis">
    <w:name w:val="Emphasis"/>
    <w:uiPriority w:val="20"/>
    <w:qFormat/>
    <w:rPr>
      <w:i/>
      <w:iCs/>
    </w:rPr>
  </w:style>
  <w:style w:type="character" w:styleId="Strong">
    <w:name w:val="Strong"/>
    <w:uiPriority w:val="22"/>
    <w:qFormat/>
    <w:rPr>
      <w:b/>
      <w:bCs/>
    </w:rPr>
  </w:style>
  <w:style w:type="character" w:styleId="UnresolvedMention">
    <w:name w:val="Unresolved Mention"/>
    <w:basedOn w:val="DefaultParagraphFont"/>
    <w:uiPriority w:val="99"/>
    <w:semiHidden/>
    <w:unhideWhenUsed/>
    <w:qFormat/>
    <w:rsid w:val="00ef4f90"/>
    <w:rPr>
      <w:color w:val="605E5C"/>
      <w:shd w:fill="E1DFDD" w:val="clear"/>
    </w:rPr>
  </w:style>
  <w:style w:type="character" w:styleId="Cdigo-fonte">
    <w:name w:val="Código-fonte"/>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Title">
    <w:name w:val="Title"/>
    <w:basedOn w:val="normal1"/>
    <w:next w:val="BodyText"/>
    <w:uiPriority w:val="10"/>
    <w:qFormat/>
    <w:pPr>
      <w:keepNext w:val="true"/>
      <w:keepLines/>
      <w:spacing w:lineRule="auto" w:line="240" w:before="480" w:after="120"/>
    </w:pPr>
    <w:rPr>
      <w:b/>
      <w:bCs/>
      <w:sz w:val="72"/>
      <w:szCs w:val="72"/>
    </w:rPr>
  </w:style>
  <w:style w:type="paragraph" w:styleId="normal1" w:customStyle="1">
    <w:name w:val="normal1"/>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Cabealhoerodap" w:customStyle="1">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atabela" w:customStyle="1">
    <w:name w:val="Conteúdo da tabela"/>
    <w:basedOn w:val="Normal"/>
    <w:qFormat/>
    <w:pPr>
      <w:suppressLineNumbers/>
    </w:pPr>
    <w:rPr/>
  </w:style>
  <w:style w:type="paragraph" w:styleId="Ttulodetabela" w:customStyle="1">
    <w:name w:val="Título de tabela"/>
    <w:basedOn w:val="Contedodatabela"/>
    <w:qFormat/>
    <w:pPr>
      <w:jc w:val="center"/>
    </w:pPr>
    <w:rPr>
      <w:b/>
      <w:bCs/>
    </w:rPr>
  </w:style>
  <w:style w:type="paragraph" w:styleId="Anotao">
    <w:name w:val="Anotação"/>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biblioteca.ufc.br/servicos-e-produtos/1137-elaboracao-de-ficha-catalografica" TargetMode="External"/><Relationship Id="rId4" Type="http://schemas.openxmlformats.org/officeDocument/2006/relationships/hyperlink" Target="http://www.fichacatalografica.ufc.br/"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https://doi.org/10.3390/s22020548" TargetMode="External"/><Relationship Id="rId24" Type="http://schemas.openxmlformats.org/officeDocument/2006/relationships/hyperlink" Target="https://www.scielo.br/j/esa/a/9CmBjrLMQpCRBZWttpDLtcJ/" TargetMode="External"/><Relationship Id="rId25" Type="http://schemas.openxmlformats.org/officeDocument/2006/relationships/hyperlink" Target="https://www.progere.ufc.br/wp-content/uploads/2015/08/Plano-Municipal-de-Gest&#227;o-Integrada-de-Res&#237;duos-S&#243;lidos-de-Fortaleza.pdf" TargetMode="External"/><Relationship Id="rId26" Type="http://schemas.openxmlformats.org/officeDocument/2006/relationships/hyperlink" Target="https://doi.org/10.1590/2175-3369.016.e20230271" TargetMode="External"/><Relationship Id="rId27" Type="http://schemas.openxmlformats.org/officeDocument/2006/relationships/hyperlink" Target="https://repositorio.ufc.br/handle/riufc/60224" TargetMode="External"/><Relationship Id="rId28" Type="http://schemas.openxmlformats.org/officeDocument/2006/relationships/hyperlink" Target="https://doi.org/10.1038/nature14539" TargetMode="External"/><Relationship Id="rId29" Type="http://schemas.openxmlformats.org/officeDocument/2006/relationships/hyperlink" Target="https://proceedings.mlr.press/v202/li23q.html" TargetMode="External"/><Relationship Id="rId30" Type="http://schemas.openxmlformats.org/officeDocument/2006/relationships/hyperlink" Target="https://doi.org/10.4136/ambi-agua.1635" TargetMode="External"/><Relationship Id="rId31" Type="http://schemas.openxmlformats.org/officeDocument/2006/relationships/hyperlink" Target="https://doi.org/10.1016/j.giq.2021.101577" TargetMode="External"/><Relationship Id="rId32" Type="http://schemas.openxmlformats.org/officeDocument/2006/relationships/hyperlink" Target="https://arxiv.org/abs/2510.12400?utm_source=chatgpt.com" TargetMode="External"/><Relationship Id="rId33" Type="http://schemas.openxmlformats.org/officeDocument/2006/relationships/hyperlink" Target="https://arxiv.org/abs/2308.09778?utm_source=chatgpt.com" TargetMode="External"/><Relationship Id="rId34" Type="http://schemas.openxmlformats.org/officeDocument/2006/relationships/hyperlink" Target="https://www.ecva.net/papers/eccv_2024/papers_ECCV/papers/10172.pdf?utm_source=chatgpt.com" TargetMode="External"/><Relationship Id="rId35" Type="http://schemas.openxmlformats.org/officeDocument/2006/relationships/hyperlink" Target="https://doi.org/10.1007/s10796-024-10475-0" TargetMode="External"/><Relationship Id="rId36" Type="http://schemas.openxmlformats.org/officeDocument/2006/relationships/hyperlink" Target="https://doi.org/10.3389/fpubh.2022.907280" TargetMode="Externa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footer" Target="footer4.xml"/><Relationship Id="rId40" Type="http://schemas.openxmlformats.org/officeDocument/2006/relationships/footer" Target="footer5.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776</TotalTime>
  <Application>LibreOffice/24.2.7.2$Linux_X86_64 LibreOffice_project/420$Build-2</Application>
  <AppVersion>15.0000</AppVersion>
  <Pages>65</Pages>
  <Words>19563</Words>
  <Characters>118841</Characters>
  <CharactersWithSpaces>137783</CharactersWithSpaces>
  <Paragraphs>746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2026-06-11T13:07:00Z</dcterms:created>
  <dc:creator/>
  <dc:description/>
  <dc:language>pt-BR</dc:language>
  <cp:lastModifiedBy/>
  <dcterms:modified xsi:type="dcterms:W3CDTF">2026-06-13T11:37:43Z</dcterms:modified>
  <cp:revision>96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