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3.odttf" ContentType="application/vnd.openxmlformats-officedocument.obfuscatedFont"/>
  <Override PartName="/word/fonts/font2.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pPr>
      <w:r>
        <w:rPr/>
        <w:drawing>
          <wp:inline distT="0" distB="0" distL="0" distR="0">
            <wp:extent cx="685800" cy="96139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961390"/>
                    </a:xfrm>
                    <a:prstGeom prst="rect">
                      <a:avLst/>
                    </a:prstGeom>
                  </pic:spPr>
                </pic:pic>
              </a:graphicData>
            </a:graphic>
          </wp:inline>
        </w:drawing>
      </w:r>
    </w:p>
    <w:p>
      <w:pPr>
        <w:pStyle w:val="normal1"/>
        <w:widowControl/>
        <w:ind w:hanging="0"/>
        <w:jc w:val="center"/>
        <w:rPr/>
      </w:pPr>
      <w:r>
        <w:rPr>
          <w:b/>
          <w:bCs/>
        </w:rPr>
        <w:t xml:space="preserve"> </w:t>
      </w:r>
      <w:r>
        <w:rPr>
          <w:b/>
          <w:bCs/>
        </w:rPr>
        <w:t>UNIVERSIDADE FEDERAL DO CEARÁ</w:t>
      </w:r>
    </w:p>
    <w:p>
      <w:pPr>
        <w:pStyle w:val="normal1"/>
        <w:widowControl/>
        <w:ind w:hanging="0"/>
        <w:jc w:val="center"/>
        <w:rPr/>
      </w:pPr>
      <w:r>
        <w:rPr>
          <w:b/>
          <w:bCs/>
        </w:rPr>
        <w:t>FACULDADE DE ECONOMIA, ADMINISTRAÇÃO, ATUÁRIA E CONTABILIDADE</w:t>
      </w:r>
    </w:p>
    <w:p>
      <w:pPr>
        <w:pStyle w:val="normal1"/>
        <w:widowControl/>
        <w:ind w:hanging="0"/>
        <w:jc w:val="center"/>
        <w:rPr/>
      </w:pPr>
      <w:r>
        <w:rPr>
          <w:b/>
          <w:bCs/>
        </w:rPr>
        <w:t>DEPARTAMENTO DE ADMINISTRAÇÃO</w:t>
      </w:r>
    </w:p>
    <w:p>
      <w:pPr>
        <w:pStyle w:val="normal1"/>
        <w:widowControl/>
        <w:ind w:hanging="0"/>
        <w:jc w:val="center"/>
        <w:rPr/>
      </w:pPr>
      <w:r>
        <w:rPr>
          <w:b/>
          <w:bCs/>
        </w:rPr>
        <w:t>CURSO DE ADMINISTRAÇÃO</w:t>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bookmarkStart w:id="0" w:name="_cb96basbvott"/>
      <w:bookmarkStart w:id="1" w:name="_cb96basbvott"/>
      <w:bookmarkEnd w:id="1"/>
    </w:p>
    <w:p>
      <w:pPr>
        <w:pStyle w:val="normal1"/>
        <w:jc w:val="center"/>
        <w:rPr/>
      </w:pPr>
      <w:r>
        <w:rPr>
          <w:b/>
          <w:bCs/>
        </w:rPr>
        <w:t>JAIME TEIXEIRA DE ARAÚJO JÚNIOR</w:t>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bookmarkStart w:id="2" w:name="_jw0fgduhsaew"/>
      <w:bookmarkStart w:id="3" w:name="_jw0fgduhsaew"/>
      <w:bookmarkEnd w:id="3"/>
    </w:p>
    <w:p>
      <w:pPr>
        <w:pStyle w:val="normal1"/>
        <w:ind w:hanging="0"/>
        <w:jc w:val="center"/>
        <w:rPr/>
      </w:pPr>
      <w:r>
        <w:rPr>
          <w:b/>
          <w:bCs/>
        </w:rPr>
        <w:t>VIABILIDADE DA INTELIGÊNCIA ARTIFICIAL NO MONITORAMENTO DE RESÍDUOS URBANOS EM VIAS PÚBLICAS: COMPARAÇÃO ENTRE YOLOV11M E GEMMA 3 27B-IT</w:t>
      </w:r>
    </w:p>
    <w:p>
      <w:pPr>
        <w:pStyle w:val="normal1"/>
        <w:widowControl/>
        <w:ind w:hanging="0"/>
        <w:jc w:val="left"/>
        <w:rPr/>
      </w:pPr>
      <w:r>
        <w:rPr/>
      </w:r>
    </w:p>
    <w:p>
      <w:pPr>
        <w:pStyle w:val="normal1"/>
        <w:widowControl/>
        <w:ind w:hanging="0"/>
        <w:jc w:val="center"/>
        <w:rPr/>
      </w:pPr>
      <w:r>
        <w:rPr/>
      </w:r>
    </w:p>
    <w:p>
      <w:pPr>
        <w:pStyle w:val="normal1"/>
        <w:widowControl/>
        <w:ind w:hanging="0"/>
        <w:jc w:val="left"/>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spacing w:lineRule="auto" w:line="240"/>
        <w:ind w:hanging="0"/>
        <w:jc w:val="center"/>
        <w:rPr/>
      </w:pPr>
      <w:r>
        <w:rPr/>
      </w:r>
    </w:p>
    <w:p>
      <w:pPr>
        <w:pStyle w:val="normal1"/>
        <w:widowControl/>
        <w:ind w:hanging="0"/>
        <w:jc w:val="center"/>
        <w:rPr/>
      </w:pPr>
      <w:r>
        <w:rPr>
          <w:b/>
          <w:bCs/>
        </w:rPr>
        <w:t>FORTALEZA</w:t>
      </w:r>
    </w:p>
    <w:p>
      <w:pPr>
        <w:pStyle w:val="normal1"/>
        <w:widowControl/>
        <w:spacing w:lineRule="auto" w:line="240"/>
        <w:ind w:hanging="0"/>
        <w:jc w:val="center"/>
        <w:rPr/>
      </w:pPr>
      <w:bookmarkStart w:id="4" w:name="_uhjrzothi7pa"/>
      <w:bookmarkEnd w:id="4"/>
      <w:r>
        <w:rPr>
          <w:b/>
          <w:bCs/>
        </w:rPr>
        <w:t>2026</w:t>
      </w:r>
    </w:p>
    <w:p>
      <w:pPr>
        <w:pStyle w:val="normal1"/>
        <w:widowControl/>
        <w:spacing w:lineRule="auto" w:line="240"/>
        <w:ind w:hanging="0"/>
        <w:jc w:val="center"/>
        <w:rPr>
          <w:b/>
          <w:bCs/>
        </w:rPr>
      </w:pPr>
      <w:r>
        <w:rPr>
          <w:b/>
          <w:bCs/>
        </w:rPr>
      </w:r>
    </w:p>
    <w:p>
      <w:pPr>
        <w:pStyle w:val="normal1"/>
        <w:widowControl/>
        <w:spacing w:lineRule="auto" w:line="240"/>
        <w:ind w:hanging="0"/>
        <w:jc w:val="center"/>
        <w:rPr/>
      </w:pPr>
      <w:bookmarkStart w:id="5" w:name="_l2bv9k5n7hzb"/>
      <w:bookmarkEnd w:id="5"/>
      <w:r>
        <w:rPr/>
        <w:t>JAIME TEIXEIRA DE ARAÚJO JÚNIO</w:t>
      </w:r>
      <w:bookmarkStart w:id="6" w:name="_ejvh8egvipo0"/>
      <w:bookmarkEnd w:id="6"/>
      <w:r>
        <w:rPr/>
        <w:t>R</w:t>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spacing w:lineRule="auto" w:line="360" w:before="0" w:after="0"/>
        <w:ind w:hanging="0"/>
        <w:jc w:val="center"/>
        <w:rPr/>
      </w:pPr>
      <w:r>
        <w:rPr>
          <w:sz w:val="24"/>
          <w:szCs w:val="24"/>
        </w:rPr>
        <w:t>VIABILIDADE DA INTELIGÊNCIA ARTIFICIAL NO MONITORAMENTO DE RESÍDUOS URBANOS EM VIAS PÚBLICAS: COMPARAÇÃO ENTRE YOLOV11M E GEMMA 3 27B-IT</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spacing w:lineRule="auto" w:line="240"/>
        <w:ind w:hanging="0" w:left="4535"/>
        <w:rPr/>
      </w:pPr>
      <w: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pPr>
      <w:r>
        <w:rPr/>
      </w:r>
    </w:p>
    <w:p>
      <w:pPr>
        <w:pStyle w:val="normal1"/>
        <w:spacing w:lineRule="auto" w:line="240"/>
        <w:ind w:hanging="0" w:left="4535"/>
        <w:rPr/>
      </w:pPr>
      <w:r>
        <w:rPr/>
        <w:t>Orientador: Prof. Dr. Carlos de Oliveira Caminha Neto.</w:t>
      </w:r>
    </w:p>
    <w:p>
      <w:pPr>
        <w:pStyle w:val="normal1"/>
        <w:rPr/>
      </w:pPr>
      <w:r>
        <w:rPr/>
      </w:r>
    </w:p>
    <w:p>
      <w:pPr>
        <w:pStyle w:val="normal1"/>
        <w:ind w:hanging="0" w:left="0"/>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jc w:val="center"/>
        <w:rPr/>
      </w:pPr>
      <w:r>
        <w:rPr/>
        <w:t>FORTALEZA</w:t>
      </w:r>
    </w:p>
    <w:p>
      <w:pPr>
        <w:pStyle w:val="normal1"/>
        <w:jc w:val="center"/>
        <w:rPr/>
      </w:pPr>
      <w:r>
        <w:rPr/>
        <w:t>2026</w:t>
      </w:r>
    </w:p>
    <w:p>
      <w:pPr>
        <w:pStyle w:val="normal1"/>
        <w:rPr/>
      </w:pPr>
      <w:r>
        <w:rPr/>
      </w:r>
      <w:r>
        <w:br w:type="page"/>
      </w:r>
    </w:p>
    <w:p>
      <w:pPr>
        <w:pStyle w:val="normal1"/>
        <w:spacing w:before="0" w:after="0"/>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widowControl/>
        <w:ind w:hanging="0"/>
        <w:jc w:val="center"/>
        <w:rPr/>
      </w:pPr>
      <w:r>
        <w:rPr/>
      </w:r>
    </w:p>
    <w:p>
      <w:pPr>
        <w:pStyle w:val="normal1"/>
        <w:widowControl/>
        <w:spacing w:lineRule="auto" w:line="288"/>
        <w:ind w:hanging="0"/>
        <w:jc w:val="left"/>
        <w:rPr/>
      </w:pPr>
      <w:r>
        <w:rPr/>
        <w:t>___________________________________________________________________________</w:t>
      </w:r>
    </w:p>
    <w:p>
      <w:pPr>
        <w:pStyle w:val="normal1"/>
        <w:widowControl/>
        <w:spacing w:lineRule="auto" w:line="288"/>
        <w:ind w:hanging="0"/>
        <w:jc w:val="left"/>
        <w:rPr/>
      </w:pPr>
      <w:r>
        <w:rPr/>
      </w:r>
    </w:p>
    <w:p>
      <w:pPr>
        <w:pStyle w:val="normal1"/>
        <w:widowControl/>
        <w:spacing w:lineRule="auto" w:line="288"/>
        <w:ind w:hanging="0"/>
        <w:jc w:val="center"/>
        <w:rPr/>
      </w:pPr>
      <w:r>
        <w:rPr/>
      </w:r>
    </w:p>
    <w:p>
      <w:pPr>
        <w:pStyle w:val="normal1"/>
        <w:widowControl/>
        <w:ind w:hanging="0"/>
        <w:jc w:val="center"/>
        <w:rPr/>
      </w:pPr>
      <w:r>
        <w:rPr/>
        <w:t>Página reservada para ficha catalográfica.</w:t>
      </w:r>
    </w:p>
    <w:p>
      <w:pPr>
        <w:pStyle w:val="normal1"/>
        <w:widowControl/>
        <w:ind w:hanging="0"/>
        <w:jc w:val="center"/>
        <w:rPr>
          <w:color w:val="000000"/>
          <w:shd w:fill="F9F9F9" w:val="clear"/>
        </w:rPr>
      </w:pPr>
      <w:r>
        <w:rPr>
          <w:shd w:fill="F9F9F9" w:val="clear"/>
        </w:rPr>
        <w:t>Utilize a ferramenta </w:t>
      </w:r>
      <w:r>
        <w:rPr>
          <w:i/>
          <w:iCs/>
          <w:shd w:fill="F9F9F9" w:val="clear"/>
        </w:rPr>
        <w:t>online</w:t>
      </w:r>
      <w:r>
        <w:rPr>
          <w:color w:val="000000"/>
          <w:shd w:fill="F9F9F9" w:val="clear"/>
        </w:rPr>
        <w:t> </w:t>
      </w:r>
      <w:hyperlink r:id="rId3">
        <w:r>
          <w:rPr>
            <w:rStyle w:val="ListLabel19"/>
            <w:color w:val="000000"/>
            <w:u w:val="single"/>
            <w:shd w:fill="F9F9F9" w:val="clear"/>
          </w:rPr>
          <w:t>Catalog!</w:t>
        </w:r>
      </w:hyperlink>
      <w:r>
        <w:rPr>
          <w:color w:val="000000"/>
          <w:shd w:fill="F9F9F9" w:val="clear"/>
        </w:rPr>
        <w:t> </w:t>
      </w:r>
      <w:r>
        <w:rPr>
          <w:shd w:fill="F9F9F9" w:val="clear"/>
        </w:rPr>
        <w:t>para elaborar a ficha catalográfica de seu trabalho acadêmico, gerando-a em arquivo PDF, disponível para download e/ou impressão. (</w:t>
      </w:r>
      <w:hyperlink r:id="rId4">
        <w:r>
          <w:rPr>
            <w:rStyle w:val="ListLabel19"/>
            <w:color w:val="000000"/>
            <w:u w:val="single"/>
            <w:shd w:fill="F9F9F9" w:val="clear"/>
          </w:rPr>
          <w:t>http://www.fichacatalografica.ufc.br/</w:t>
        </w:r>
      </w:hyperlink>
      <w:r>
        <w:rPr>
          <w:shd w:fill="F9F9F9" w:val="clear"/>
        </w:rPr>
        <w:t>)</w:t>
      </w:r>
    </w:p>
    <w:p>
      <w:pPr>
        <w:pStyle w:val="normal1"/>
        <w:widowControl/>
        <w:ind w:hanging="0"/>
        <w:jc w:val="center"/>
        <w:rPr/>
      </w:pPr>
      <w:r>
        <w:rPr/>
      </w:r>
    </w:p>
    <w:p>
      <w:pPr>
        <w:pStyle w:val="normal1"/>
        <w:widowControl/>
        <w:spacing w:lineRule="auto" w:line="288"/>
        <w:ind w:hanging="0"/>
        <w:jc w:val="left"/>
        <w:rPr/>
      </w:pPr>
      <w:r>
        <w:rPr/>
        <w:t>___________________________________________________________________________</w:t>
      </w:r>
    </w:p>
    <w:p>
      <w:pPr>
        <w:pStyle w:val="normal1"/>
        <w:jc w:val="center"/>
        <w:rPr>
          <w:sz w:val="20"/>
          <w:szCs w:val="20"/>
        </w:rPr>
      </w:pPr>
      <w:r>
        <w:rPr>
          <w:sz w:val="20"/>
          <w:szCs w:val="20"/>
        </w:rPr>
      </w:r>
    </w:p>
    <w:p>
      <w:pPr>
        <w:pStyle w:val="normal1"/>
        <w:ind w:hanging="0" w:left="0"/>
        <w:jc w:val="left"/>
        <w:rPr/>
      </w:pPr>
      <w:r>
        <w:rPr/>
      </w:r>
    </w:p>
    <w:p>
      <w:pPr>
        <w:pStyle w:val="normal1"/>
        <w:ind w:hanging="0" w:left="0"/>
        <w:jc w:val="left"/>
        <w:rPr/>
      </w:pPr>
      <w:r>
        <w:rPr/>
      </w:r>
    </w:p>
    <w:p>
      <w:pPr>
        <w:pStyle w:val="normal1"/>
        <w:ind w:hanging="0" w:left="0"/>
        <w:jc w:val="left"/>
        <w:rPr/>
      </w:pPr>
      <w:r>
        <w:rPr/>
      </w:r>
    </w:p>
    <w:p>
      <w:pPr>
        <w:pStyle w:val="normal1"/>
        <w:ind w:hanging="0" w:left="0"/>
        <w:jc w:val="center"/>
        <w:rPr/>
      </w:pPr>
      <w:r>
        <w:rPr/>
        <w:t>JAIME TEIXEIRA DE ARAÚJO JÚNIOR</w:t>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ind w:hanging="0"/>
        <w:jc w:val="center"/>
        <w:rPr/>
      </w:pPr>
      <w:r>
        <w:rPr/>
        <w:t>VIABILIDADE DA INTELIGÊNCIA ARTIFICIAL NO MONITORAMENTO DE RESÍDUOS URBANOS EM VIAS PÚBLICAS: COMPARAÇÃO ENTRE YOLOV11M E GEMMA 3 27B-IT</w:t>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spacing w:lineRule="auto" w:line="240"/>
        <w:ind w:hanging="0" w:left="4535"/>
        <w:rPr/>
      </w:pPr>
      <w: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pPr>
      <w:r>
        <w:rPr/>
      </w:r>
    </w:p>
    <w:p>
      <w:pPr>
        <w:pStyle w:val="normal1"/>
        <w:widowControl/>
        <w:spacing w:lineRule="auto" w:line="288"/>
        <w:ind w:hanging="0" w:left="4515"/>
        <w:rPr/>
      </w:pPr>
      <w:r>
        <w:rPr/>
      </w:r>
    </w:p>
    <w:p>
      <w:pPr>
        <w:pStyle w:val="normal1"/>
        <w:widowControl/>
        <w:spacing w:lineRule="auto" w:line="288"/>
        <w:ind w:hanging="0"/>
        <w:jc w:val="left"/>
        <w:rPr/>
      </w:pPr>
      <w:r>
        <w:rPr/>
        <w:t>Aprovada em: xx/xx/xxxx.</w:t>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center"/>
        <w:rPr/>
      </w:pPr>
      <w:r>
        <w:rPr/>
        <w:t>BANCA EXAMINADORA</w:t>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40"/>
        <w:ind w:hanging="0"/>
        <w:jc w:val="center"/>
        <w:rPr/>
      </w:pPr>
      <w:r>
        <w:rPr/>
        <w:t>________________________________________</w:t>
      </w:r>
    </w:p>
    <w:p>
      <w:pPr>
        <w:pStyle w:val="normal1"/>
        <w:widowControl/>
        <w:spacing w:lineRule="auto" w:line="240"/>
        <w:ind w:hanging="0"/>
        <w:jc w:val="center"/>
        <w:rPr/>
      </w:pPr>
      <w:r>
        <w:rPr/>
        <w:t>Prof. Dr. Carlos de Oliveira Caminha Neto. (Orientador)</w:t>
      </w:r>
    </w:p>
    <w:p>
      <w:pPr>
        <w:pStyle w:val="normal1"/>
        <w:widowControl/>
        <w:spacing w:lineRule="auto" w:line="240"/>
        <w:ind w:hanging="0"/>
        <w:jc w:val="center"/>
        <w:rPr/>
      </w:pPr>
      <w:r>
        <w:rPr/>
        <w:t>Universidade Federal do Ceará (UFC)</w:t>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t>_________________________________________</w:t>
      </w:r>
    </w:p>
    <w:p>
      <w:pPr>
        <w:pStyle w:val="normal1"/>
        <w:widowControl/>
        <w:spacing w:lineRule="auto" w:line="240"/>
        <w:ind w:hanging="0"/>
        <w:jc w:val="center"/>
        <w:rPr/>
      </w:pPr>
      <w:r>
        <w:rPr/>
        <w:t>Prof. Dr. Xxxxxxxxx Xxxxxxx</w:t>
      </w:r>
    </w:p>
    <w:p>
      <w:pPr>
        <w:pStyle w:val="normal1"/>
        <w:widowControl/>
        <w:spacing w:lineRule="auto" w:line="240"/>
        <w:ind w:hanging="0"/>
        <w:jc w:val="center"/>
        <w:rPr/>
      </w:pPr>
      <w:r>
        <w:rPr/>
        <w:t>Universidade Federal do Ceará (UFC)</w:t>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t>_________________________________________</w:t>
      </w:r>
    </w:p>
    <w:p>
      <w:pPr>
        <w:pStyle w:val="normal1"/>
        <w:widowControl/>
        <w:spacing w:lineRule="auto" w:line="240"/>
        <w:ind w:hanging="0"/>
        <w:jc w:val="center"/>
        <w:rPr/>
      </w:pPr>
      <w:r>
        <w:rPr/>
        <w:t>Prof. Dr. Xxxxxxxxx Xxxxxxx</w:t>
      </w:r>
    </w:p>
    <w:p>
      <w:pPr>
        <w:pStyle w:val="normal1"/>
        <w:widowControl/>
        <w:spacing w:lineRule="auto" w:line="240"/>
        <w:ind w:hanging="0"/>
        <w:jc w:val="center"/>
        <w:rPr/>
      </w:pPr>
      <w:r>
        <w:rPr/>
        <w:t>Universidade Estadual do Ceará (UECE)</w:t>
      </w:r>
    </w:p>
    <w:p>
      <w:pPr>
        <w:pStyle w:val="normal1"/>
        <w:widowControl/>
        <w:spacing w:lineRule="auto" w:line="288"/>
        <w:ind w:hanging="0"/>
        <w:jc w:val="left"/>
        <w:rPr/>
      </w:pPr>
      <w:r>
        <w:rPr/>
      </w:r>
    </w:p>
    <w:p>
      <w:pPr>
        <w:pStyle w:val="normal1"/>
        <w:jc w:val="center"/>
        <w:rPr>
          <w:b/>
          <w:bCs/>
        </w:rPr>
      </w:pPr>
      <w:r>
        <w:rPr>
          <w:b/>
          <w:bCs/>
        </w:rPr>
      </w:r>
    </w:p>
    <w:p>
      <w:pPr>
        <w:pStyle w:val="normal1"/>
        <w:rPr/>
      </w:pPr>
      <w:r>
        <w:rPr/>
      </w:r>
      <w:r>
        <w:br w:type="page"/>
      </w:r>
    </w:p>
    <w:p>
      <w:pPr>
        <w:pStyle w:val="normal1"/>
        <w:spacing w:lineRule="auto" w:line="360" w:before="0" w:after="0"/>
        <w:ind w:hanging="0"/>
        <w:jc w:val="center"/>
        <w:rPr/>
      </w:pPr>
      <w:r>
        <w:rPr>
          <w:rFonts w:eastAsia="Times New Roman" w:cs="Times New Roman"/>
          <w:b/>
          <w:bCs/>
          <w:sz w:val="24"/>
          <w:szCs w:val="24"/>
        </w:rPr>
        <w:t>RESUMO</w:t>
      </w:r>
    </w:p>
    <w:p>
      <w:pPr>
        <w:pStyle w:val="normal1"/>
        <w:spacing w:lineRule="auto" w:line="360" w:before="0" w:after="0"/>
        <w:ind w:hanging="0" w:left="0"/>
        <w:jc w:val="both"/>
        <w:rPr/>
      </w:pPr>
      <w:r>
        <w:rPr>
          <w:rFonts w:eastAsia="Times New Roman" w:cs="Times New Roman"/>
          <w:sz w:val="24"/>
          <w:szCs w:val="24"/>
        </w:rPr>
        <w:t>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zero-shot.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fine-tuning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throughput.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os modelos são viáveis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pPr>
        <w:pStyle w:val="normal1"/>
        <w:spacing w:lineRule="auto" w:line="360" w:before="0" w:after="0"/>
        <w:ind w:hanging="0" w:left="0"/>
        <w:jc w:val="both"/>
        <w:rPr>
          <w:rFonts w:ascii="Times New Roman" w:hAnsi="Times New Roman" w:eastAsia="Times New Roman" w:cs="Times New Roman"/>
          <w:sz w:val="24"/>
          <w:szCs w:val="24"/>
        </w:rPr>
      </w:pPr>
      <w:r>
        <w:rPr>
          <w:rFonts w:eastAsia="Times New Roman" w:cs="Times New Roman"/>
          <w:sz w:val="24"/>
          <w:szCs w:val="24"/>
        </w:rPr>
      </w:r>
    </w:p>
    <w:p>
      <w:pPr>
        <w:pStyle w:val="normal1"/>
        <w:spacing w:lineRule="auto" w:line="360" w:before="0" w:after="0"/>
        <w:ind w:hanging="0"/>
        <w:jc w:val="both"/>
        <w:rPr/>
      </w:pPr>
      <w:r>
        <w:rPr>
          <w:rFonts w:eastAsia="Times New Roman" w:cs="Times New Roman"/>
          <w:sz w:val="24"/>
          <w:szCs w:val="24"/>
        </w:rPr>
        <w:t>Palavras-chave: inteligência artificial; gestão pública; resíduos urbanos; visão computacional; modelos visão-linguagem.</w:t>
      </w:r>
    </w:p>
    <w:p>
      <w:pPr>
        <w:pStyle w:val="normal1"/>
        <w:rPr/>
      </w:pPr>
      <w:r>
        <w:rPr/>
      </w:r>
      <w:r>
        <w:br w:type="page"/>
      </w:r>
    </w:p>
    <w:p>
      <w:pPr>
        <w:pStyle w:val="normal1"/>
        <w:spacing w:lineRule="auto" w:line="360" w:before="0" w:after="0"/>
        <w:ind w:hanging="0"/>
        <w:jc w:val="center"/>
        <w:rPr/>
      </w:pPr>
      <w:r>
        <w:rPr>
          <w:rFonts w:eastAsia="Times New Roman" w:cs="Times New Roman"/>
          <w:b/>
          <w:bCs/>
          <w:sz w:val="24"/>
          <w:szCs w:val="24"/>
        </w:rPr>
        <w:t>ABSTRACT</w:t>
      </w:r>
    </w:p>
    <w:p>
      <w:pPr>
        <w:pStyle w:val="normal1"/>
        <w:spacing w:lineRule="auto" w:line="360" w:before="0" w:after="0"/>
        <w:ind w:hanging="0" w:left="0"/>
        <w:jc w:val="both"/>
        <w:rPr/>
      </w:pPr>
      <w:r>
        <w:rPr>
          <w:rFonts w:eastAsia="Times New Roman" w:cs="Times New Roman"/>
          <w:sz w:val="24"/>
          <w:szCs w:val="24"/>
        </w:rPr>
        <w:t>Urban waste management on public roads is a relevant challenge for Public Administration because it involves environmental, sanitary, operational and financial impacts. In this context, this study aimed to analyze the feasibility of using artificial intelligence to monitor urban waste in real images of Brazilian streets by comparing the YOLOv11m model, used as a specialized object detector, and the Gemma 3 27B-IT model, used as a vision-language model in a zero-shot setting. The research was characterized as applied, descriptive and exploratory, with a quantitative approach, guided by the hypothetical-deductive method and developed through an experimental-computational procedure. The experiment was carried out with 560 real images of Brazilian public roads, evenly distributed between images with and without visible waste. YOLOv11m was fine-tuned for the single class “waste”, while Gemma 3 27B-IT was evaluated without task-specific training on the project dataset. The comparison considered binary metrics, such as accuracy, precision, sensitivity, specificity, F1-score, false positive rate, confusion matrix, inference time and throughput. Under the adopted experimental conditions and for the binary image-level task, the results indicated that Gemma 3 27B-IT achieved better predictive performance, with higher accuracy, sensitivity, specificity and F1-score, as well as a lower false positive rate. Conversely, YOLOv11m showed greater computational efficiency, processing images approximately 141 times faster. It was concluded that both models are feasible for supporting urban waste monitoring, although under different usage regimes: Gemma 3 27B-IT was more suitable for punctual analyses requiring higher reliability, whereas YOLOv11m was more suitable for large-scale screening, real-time use and scenarios that require visual traceability.</w:t>
      </w:r>
    </w:p>
    <w:p>
      <w:pPr>
        <w:pStyle w:val="normal1"/>
        <w:spacing w:lineRule="auto" w:line="360" w:before="0" w:after="0"/>
        <w:ind w:hanging="0"/>
        <w:jc w:val="both"/>
        <w:rPr/>
      </w:pPr>
      <w:r>
        <w:rPr>
          <w:rFonts w:eastAsia="Times New Roman" w:cs="Times New Roman"/>
          <w:sz w:val="24"/>
          <w:szCs w:val="24"/>
        </w:rPr>
        <w:t>Keywords: artificial intelligence; public administration; urban waste; computer vision; vision-language models.</w:t>
      </w:r>
      <w:r>
        <w:br w:type="page"/>
      </w:r>
    </w:p>
    <w:p>
      <w:pPr>
        <w:pStyle w:val="normal1"/>
        <w:spacing w:lineRule="auto" w:line="360" w:before="0" w:after="0"/>
        <w:ind w:hanging="0"/>
        <w:jc w:val="center"/>
        <w:rPr/>
      </w:pPr>
      <w:r>
        <w:rPr>
          <w:rFonts w:eastAsia="Times New Roman" w:cs="Times New Roman"/>
          <w:b/>
          <w:bCs/>
          <w:sz w:val="24"/>
          <w:szCs w:val="24"/>
        </w:rPr>
        <w:t>LISTA DE FIGURAS</w:t>
      </w:r>
    </w:p>
    <w:p>
      <w:pPr>
        <w:pStyle w:val="normal1"/>
        <w:jc w:val="left"/>
        <w:rPr/>
      </w:pPr>
      <w:r>
        <w:rPr/>
      </w:r>
    </w:p>
    <w:p>
      <w:pPr>
        <w:pStyle w:val="normal1"/>
        <w:spacing w:lineRule="auto" w:line="360" w:before="0" w:after="0"/>
        <w:ind w:hanging="0"/>
        <w:jc w:val="left"/>
        <w:rPr/>
      </w:pPr>
      <w:r>
        <w:rPr>
          <w:rFonts w:eastAsia="Times New Roman" w:cs="Times New Roman"/>
          <w:sz w:val="24"/>
          <w:szCs w:val="24"/>
        </w:rPr>
        <w:t>Figura 1 – Curvas de treinamento do YOLOv11m — funções de perda e precisão de validação ao longo das 100 épocas</w:t>
      </w:r>
      <w:r>
        <w:rPr/>
        <w:t>………………………………………………………………………</w:t>
      </w:r>
      <w:r>
        <w:rPr>
          <w:rFonts w:eastAsia="Times New Roman" w:cs="Times New Roman"/>
          <w:sz w:val="24"/>
          <w:szCs w:val="24"/>
        </w:rPr>
        <w:t>41</w:t>
      </w:r>
    </w:p>
    <w:p>
      <w:pPr>
        <w:pStyle w:val="normal1"/>
        <w:spacing w:lineRule="auto" w:line="360" w:before="0" w:after="0"/>
        <w:ind w:hanging="0"/>
        <w:jc w:val="left"/>
        <w:rPr/>
      </w:pPr>
      <w:r>
        <w:rPr>
          <w:rFonts w:eastAsia="Times New Roman" w:cs="Times New Roman"/>
          <w:sz w:val="24"/>
          <w:szCs w:val="24"/>
        </w:rPr>
        <w:t>Figura 2 – Composição do conjunto de teste e distribuição de bounding boxes por imagem positiva</w:t>
      </w:r>
      <w:r>
        <w:rPr/>
        <w:t>………………………………………………………………………………………..</w:t>
      </w:r>
      <w:r>
        <w:rPr>
          <w:rFonts w:eastAsia="Times New Roman" w:cs="Times New Roman"/>
          <w:sz w:val="24"/>
          <w:szCs w:val="24"/>
        </w:rPr>
        <w:t>42</w:t>
      </w:r>
    </w:p>
    <w:p>
      <w:pPr>
        <w:pStyle w:val="normal1"/>
        <w:spacing w:lineRule="auto" w:line="360" w:before="0" w:after="0"/>
        <w:ind w:hanging="0"/>
        <w:jc w:val="left"/>
        <w:rPr/>
      </w:pPr>
      <w:r>
        <w:rPr>
          <w:rFonts w:eastAsia="Times New Roman" w:cs="Times New Roman"/>
          <w:sz w:val="24"/>
          <w:szCs w:val="24"/>
        </w:rPr>
        <w:t>Figura 3 – Amostras do conjunto de teste — linha superior: imagens com resíduos; linha inferior: imagens sem resíduos</w:t>
      </w:r>
      <w:r>
        <w:rPr/>
        <w:t>……………………………………………………………….</w:t>
      </w:r>
      <w:r>
        <w:rPr>
          <w:rFonts w:eastAsia="Times New Roman" w:cs="Times New Roman"/>
          <w:sz w:val="24"/>
          <w:szCs w:val="24"/>
        </w:rPr>
        <w:t>42</w:t>
      </w:r>
    </w:p>
    <w:p>
      <w:pPr>
        <w:pStyle w:val="normal1"/>
        <w:spacing w:lineRule="auto" w:line="360" w:before="0" w:after="0"/>
        <w:ind w:hanging="0"/>
        <w:jc w:val="left"/>
        <w:rPr/>
      </w:pPr>
      <w:r>
        <w:rPr>
          <w:rFonts w:eastAsia="Times New Roman" w:cs="Times New Roman"/>
          <w:sz w:val="24"/>
          <w:szCs w:val="24"/>
        </w:rPr>
        <w:t>Figura 4 – Comparação de métricas preditivas entre YOLOv11m e Gemma 3 27B-IT</w:t>
      </w:r>
      <w:r>
        <w:rPr/>
        <w:t>….…..</w:t>
      </w:r>
      <w:r>
        <w:rPr>
          <w:rFonts w:eastAsia="Times New Roman" w:cs="Times New Roman"/>
          <w:sz w:val="24"/>
          <w:szCs w:val="24"/>
        </w:rPr>
        <w:t>44</w:t>
      </w:r>
    </w:p>
    <w:p>
      <w:pPr>
        <w:pStyle w:val="normal1"/>
        <w:spacing w:lineRule="auto" w:line="360" w:before="0" w:after="0"/>
        <w:ind w:hanging="0"/>
        <w:jc w:val="left"/>
        <w:rPr/>
      </w:pPr>
      <w:r>
        <w:rPr>
          <w:rFonts w:eastAsia="Times New Roman" w:cs="Times New Roman"/>
          <w:sz w:val="24"/>
          <w:szCs w:val="24"/>
        </w:rPr>
        <w:t>Figura 5 – Matrizes de confusão — classificação binária por imagem (YOLOv11m, limiar 0,25, e Gemma 3 27B-IT, zeroshot)</w:t>
      </w:r>
      <w:r>
        <w:rPr/>
        <w:t>.........................................................................................</w:t>
      </w:r>
      <w:r>
        <w:rPr>
          <w:rFonts w:eastAsia="Times New Roman" w:cs="Times New Roman"/>
          <w:sz w:val="24"/>
          <w:szCs w:val="24"/>
        </w:rPr>
        <w:t>45</w:t>
      </w:r>
    </w:p>
    <w:p>
      <w:pPr>
        <w:pStyle w:val="normal1"/>
        <w:spacing w:lineRule="auto" w:line="360" w:before="0" w:after="0"/>
        <w:ind w:hanging="0"/>
        <w:jc w:val="left"/>
        <w:rPr/>
      </w:pPr>
      <w:r>
        <w:rPr>
          <w:rFonts w:eastAsia="Times New Roman" w:cs="Times New Roman"/>
          <w:sz w:val="24"/>
          <w:szCs w:val="24"/>
        </w:rPr>
        <w:t>Figura 6 – Exemplos de acerto conjunto — imagens com resíduos detectadas por ambos os modelos (GT=1, Y=1, V=1)</w:t>
      </w:r>
      <w:r>
        <w:rPr/>
        <w:t>......................................................................................................</w:t>
      </w:r>
      <w:r>
        <w:rPr>
          <w:rFonts w:eastAsia="Times New Roman" w:cs="Times New Roman"/>
          <w:sz w:val="24"/>
          <w:szCs w:val="24"/>
        </w:rPr>
        <w:t>50</w:t>
      </w:r>
    </w:p>
    <w:p>
      <w:pPr>
        <w:pStyle w:val="normal1"/>
        <w:spacing w:lineRule="auto" w:line="360" w:before="0" w:after="0"/>
        <w:ind w:hanging="0"/>
        <w:jc w:val="left"/>
        <w:rPr/>
      </w:pPr>
      <w:r>
        <w:rPr>
          <w:rFonts w:eastAsia="Times New Roman" w:cs="Times New Roman"/>
          <w:sz w:val="24"/>
          <w:szCs w:val="24"/>
        </w:rPr>
        <w:t>Figura 7 – Exemplos de acerto conjunto — imagens sem resíduos classificadas corretamente por ambos os modelos (GT=0, Y=0, V=0)</w:t>
      </w:r>
      <w:r>
        <w:rPr/>
        <w:t>...............................................................................</w:t>
      </w:r>
      <w:r>
        <w:rPr>
          <w:rFonts w:eastAsia="Times New Roman" w:cs="Times New Roman"/>
          <w:sz w:val="24"/>
          <w:szCs w:val="24"/>
        </w:rPr>
        <w:t>50</w:t>
      </w:r>
    </w:p>
    <w:p>
      <w:pPr>
        <w:pStyle w:val="normal1"/>
        <w:spacing w:lineRule="auto" w:line="360" w:before="0" w:after="0"/>
        <w:ind w:hanging="0"/>
        <w:jc w:val="left"/>
        <w:rPr/>
      </w:pPr>
      <w:r>
        <w:rPr>
          <w:rFonts w:eastAsia="Times New Roman" w:cs="Times New Roman"/>
          <w:sz w:val="24"/>
          <w:szCs w:val="24"/>
        </w:rPr>
        <w:t>Figura 8 – Exemplos de erro exclusivo do YOLOv11m — imagens com resíduos identificadas pelo VLM mas não pelo detector (FN YOLO: GT=1, Y=0, V=1)</w:t>
      </w:r>
      <w:r>
        <w:rPr/>
        <w:t>......................</w:t>
      </w:r>
      <w:r>
        <w:rPr>
          <w:rFonts w:eastAsia="Times New Roman" w:cs="Times New Roman"/>
          <w:sz w:val="24"/>
          <w:szCs w:val="24"/>
        </w:rPr>
        <w:t>50</w:t>
      </w:r>
    </w:p>
    <w:p>
      <w:pPr>
        <w:pStyle w:val="normal1"/>
        <w:spacing w:lineRule="auto" w:line="360" w:before="0" w:after="0"/>
        <w:ind w:hanging="0"/>
        <w:jc w:val="left"/>
        <w:rPr/>
      </w:pPr>
      <w:r>
        <w:rPr>
          <w:rFonts w:eastAsia="Times New Roman" w:cs="Times New Roman"/>
          <w:sz w:val="24"/>
          <w:szCs w:val="24"/>
        </w:rPr>
        <w:t>Figura 9 – Exemplo de erro exclusivo do VLM — imagem com resíduos detectada pelo YOLO mas não identificada pelo Gemma (FN VLM: GT=1, Y=1, V=0)</w:t>
      </w:r>
      <w:r>
        <w:rPr/>
        <w:t>...............................</w:t>
      </w:r>
      <w:r>
        <w:rPr>
          <w:rFonts w:eastAsia="Times New Roman" w:cs="Times New Roman"/>
          <w:sz w:val="24"/>
          <w:szCs w:val="24"/>
        </w:rPr>
        <w:t>51</w:t>
      </w:r>
    </w:p>
    <w:p>
      <w:pPr>
        <w:pStyle w:val="normal1"/>
        <w:spacing w:lineRule="auto" w:line="360" w:before="0" w:after="0"/>
        <w:ind w:hanging="0"/>
        <w:jc w:val="left"/>
        <w:rPr/>
      </w:pPr>
      <w:r>
        <w:rPr>
          <w:rFonts w:eastAsia="Times New Roman" w:cs="Times New Roman"/>
          <w:sz w:val="24"/>
          <w:szCs w:val="24"/>
        </w:rPr>
        <w:t>Figura 10 – Exemplos de falso positivo exclusivo do YOLOv11m — cenas sem resíduos classificadas erroneamente pelo detector (GT=0, Y=1, V=0)</w:t>
      </w:r>
      <w:r>
        <w:rPr/>
        <w:t>..................................................</w:t>
      </w:r>
      <w:r>
        <w:rPr>
          <w:rFonts w:eastAsia="Times New Roman" w:cs="Times New Roman"/>
          <w:sz w:val="24"/>
          <w:szCs w:val="24"/>
        </w:rPr>
        <w:t>51</w:t>
      </w:r>
    </w:p>
    <w:p>
      <w:pPr>
        <w:pStyle w:val="normal1"/>
        <w:spacing w:lineRule="auto" w:line="360" w:before="0" w:after="0"/>
        <w:ind w:hanging="0"/>
        <w:jc w:val="left"/>
        <w:rPr/>
      </w:pPr>
      <w:r>
        <w:rPr>
          <w:rFonts w:eastAsia="Times New Roman" w:cs="Times New Roman"/>
          <w:sz w:val="24"/>
          <w:szCs w:val="24"/>
        </w:rPr>
        <w:t>Figura 11 – Exemplos de falso positivo exclusivo do Gemma 3 27B-IT — cenas sem resíduos classificadas erroneamente pelo VLM (GT=0, Y=0, V=1)</w:t>
      </w:r>
      <w:r>
        <w:rPr/>
        <w:t>......................................................</w:t>
      </w:r>
      <w:r>
        <w:rPr>
          <w:rFonts w:eastAsia="Times New Roman" w:cs="Times New Roman"/>
          <w:sz w:val="24"/>
          <w:szCs w:val="24"/>
        </w:rPr>
        <w:t>51</w:t>
      </w:r>
    </w:p>
    <w:p>
      <w:pPr>
        <w:pStyle w:val="normal1"/>
        <w:spacing w:lineRule="auto" w:line="360" w:before="0" w:after="0"/>
        <w:ind w:hanging="0"/>
        <w:jc w:val="left"/>
        <w:rPr/>
      </w:pPr>
      <w:r>
        <w:rPr>
          <w:rFonts w:eastAsia="Times New Roman" w:cs="Times New Roman"/>
          <w:sz w:val="24"/>
          <w:szCs w:val="24"/>
        </w:rPr>
        <w:t>Figura 12 – Exemplos de falso positivo de ambos os modelos — cenas sem resíduos classificadas erroneamente por YOLO e VLM (GT=0, Y=1, V=1)</w:t>
      </w:r>
      <w:r>
        <w:rPr/>
        <w:t>.........................................</w:t>
      </w:r>
      <w:r>
        <w:rPr>
          <w:rFonts w:eastAsia="Times New Roman" w:cs="Times New Roman"/>
          <w:sz w:val="24"/>
          <w:szCs w:val="24"/>
        </w:rPr>
        <w:t>52</w:t>
      </w:r>
    </w:p>
    <w:p>
      <w:pPr>
        <w:pStyle w:val="normal1"/>
        <w:jc w:val="left"/>
        <w:rPr/>
      </w:pPr>
      <w:r>
        <w:rPr/>
      </w:r>
      <w:r>
        <w:br w:type="page"/>
      </w:r>
    </w:p>
    <w:p>
      <w:pPr>
        <w:pStyle w:val="normal1"/>
        <w:spacing w:lineRule="auto" w:line="360" w:before="0" w:after="0"/>
        <w:ind w:hanging="0"/>
        <w:jc w:val="center"/>
        <w:rPr/>
      </w:pPr>
      <w:r>
        <w:rPr>
          <w:rFonts w:eastAsia="Times New Roman" w:cs="Times New Roman"/>
          <w:b/>
          <w:bCs/>
          <w:sz w:val="24"/>
          <w:szCs w:val="24"/>
        </w:rPr>
        <w:t>LISTA DE QUADROS</w:t>
      </w:r>
    </w:p>
    <w:p>
      <w:pPr>
        <w:pStyle w:val="normal1"/>
        <w:jc w:val="left"/>
        <w:rPr/>
      </w:pPr>
      <w:r>
        <w:rPr/>
      </w:r>
    </w:p>
    <w:p>
      <w:pPr>
        <w:pStyle w:val="normal1"/>
        <w:spacing w:lineRule="auto" w:line="360" w:before="0" w:after="0"/>
        <w:ind w:hanging="0"/>
        <w:jc w:val="left"/>
        <w:rPr/>
      </w:pPr>
      <w:r>
        <w:rPr>
          <w:rFonts w:eastAsia="Times New Roman" w:cs="Times New Roman"/>
          <w:sz w:val="24"/>
          <w:szCs w:val="24"/>
        </w:rPr>
        <w:t>Quadro 1 – Métricas e estatísticas utilizadas na avaliação</w:t>
      </w:r>
      <w:r>
        <w:rPr/>
        <w:t>…………………………………</w:t>
      </w:r>
      <w:r>
        <w:rPr>
          <w:rFonts w:eastAsia="Times New Roman" w:cs="Times New Roman"/>
          <w:sz w:val="24"/>
          <w:szCs w:val="24"/>
        </w:rPr>
        <w:t>36</w:t>
      </w:r>
    </w:p>
    <w:p>
      <w:pPr>
        <w:pStyle w:val="normal1"/>
        <w:spacing w:lineRule="auto" w:line="360" w:before="0" w:after="0"/>
        <w:ind w:hanging="0"/>
        <w:jc w:val="left"/>
        <w:rPr/>
      </w:pPr>
      <w:r>
        <w:rPr>
          <w:rFonts w:eastAsia="Times New Roman" w:cs="Times New Roman"/>
          <w:sz w:val="24"/>
          <w:szCs w:val="24"/>
        </w:rPr>
        <w:t>Quadro 2 – Matriz de viabilidade dos modelos</w:t>
      </w:r>
      <w:r>
        <w:rPr/>
        <w:t>………………………………………………</w:t>
      </w:r>
      <w:r>
        <w:rPr>
          <w:rFonts w:eastAsia="Times New Roman" w:cs="Times New Roman"/>
          <w:sz w:val="24"/>
          <w:szCs w:val="24"/>
        </w:rPr>
        <w:t>55</w:t>
      </w:r>
    </w:p>
    <w:p>
      <w:pPr>
        <w:pStyle w:val="normal1"/>
        <w:spacing w:lineRule="auto" w:line="360" w:before="0" w:after="0"/>
        <w:ind w:hanging="0"/>
        <w:jc w:val="left"/>
        <w:rPr/>
      </w:pPr>
      <w:r>
        <w:rPr>
          <w:rFonts w:eastAsia="Times New Roman" w:cs="Times New Roman"/>
          <w:sz w:val="24"/>
          <w:szCs w:val="24"/>
        </w:rPr>
        <w:t>Quadro 3 – Síntese gerencial dos cenários de uso</w:t>
      </w:r>
      <w:r>
        <w:rPr/>
        <w:t>……………………………………………</w:t>
      </w:r>
      <w:r>
        <w:rPr>
          <w:rFonts w:eastAsia="Times New Roman" w:cs="Times New Roman"/>
          <w:sz w:val="24"/>
          <w:szCs w:val="24"/>
        </w:rPr>
        <w:t>57</w:t>
      </w:r>
    </w:p>
    <w:p>
      <w:pPr>
        <w:pStyle w:val="normal1"/>
        <w:jc w:val="left"/>
        <w:rPr/>
      </w:pPr>
      <w:r>
        <w:rPr/>
      </w:r>
      <w:r>
        <w:br w:type="page"/>
      </w:r>
    </w:p>
    <w:p>
      <w:pPr>
        <w:pStyle w:val="normal1"/>
        <w:spacing w:lineRule="auto" w:line="360" w:before="0" w:after="0"/>
        <w:ind w:hanging="0"/>
        <w:jc w:val="center"/>
        <w:rPr/>
      </w:pPr>
      <w:r>
        <w:rPr>
          <w:rFonts w:eastAsia="Times New Roman" w:cs="Times New Roman"/>
          <w:b/>
          <w:bCs/>
          <w:sz w:val="24"/>
          <w:szCs w:val="24"/>
        </w:rPr>
        <w:t>LISTA DE TABELAS</w:t>
      </w:r>
    </w:p>
    <w:p>
      <w:pPr>
        <w:pStyle w:val="normal1"/>
        <w:jc w:val="left"/>
        <w:rPr/>
      </w:pPr>
      <w:r>
        <w:rPr/>
      </w:r>
    </w:p>
    <w:p>
      <w:pPr>
        <w:pStyle w:val="normal1"/>
        <w:spacing w:lineRule="auto" w:line="360" w:before="0" w:after="0"/>
        <w:ind w:hanging="0"/>
        <w:jc w:val="left"/>
        <w:rPr/>
      </w:pPr>
      <w:r>
        <w:rPr>
          <w:rFonts w:eastAsia="Times New Roman" w:cs="Times New Roman"/>
          <w:sz w:val="24"/>
          <w:szCs w:val="24"/>
        </w:rPr>
        <w:t>Tabela 1 – Fontes de dados utilizadas no experimento</w:t>
      </w:r>
      <w:r>
        <w:rPr/>
        <w:t>……………………………………….</w:t>
      </w:r>
      <w:r>
        <w:rPr>
          <w:rFonts w:eastAsia="Times New Roman" w:cs="Times New Roman"/>
          <w:sz w:val="24"/>
          <w:szCs w:val="24"/>
        </w:rPr>
        <w:t>31</w:t>
      </w:r>
    </w:p>
    <w:p>
      <w:pPr>
        <w:pStyle w:val="normal1"/>
        <w:spacing w:lineRule="auto" w:line="360" w:before="0" w:after="0"/>
        <w:ind w:hanging="0"/>
        <w:jc w:val="left"/>
        <w:rPr/>
      </w:pPr>
      <w:r>
        <w:rPr>
          <w:rFonts w:eastAsia="Times New Roman" w:cs="Times New Roman"/>
          <w:sz w:val="24"/>
          <w:szCs w:val="24"/>
        </w:rPr>
        <w:t>Tabela 2 – Composição final dos conjuntos após preparação dos dados</w:t>
      </w:r>
      <w:r>
        <w:rPr/>
        <w:t>……………………..</w:t>
      </w:r>
      <w:r>
        <w:rPr>
          <w:rFonts w:eastAsia="Times New Roman" w:cs="Times New Roman"/>
          <w:sz w:val="24"/>
          <w:szCs w:val="24"/>
        </w:rPr>
        <w:t>33</w:t>
      </w:r>
    </w:p>
    <w:p>
      <w:pPr>
        <w:pStyle w:val="normal1"/>
        <w:spacing w:lineRule="auto" w:line="360" w:before="0" w:after="0"/>
        <w:ind w:hanging="0"/>
        <w:jc w:val="left"/>
        <w:rPr/>
      </w:pPr>
      <w:r>
        <w:rPr>
          <w:rFonts w:eastAsia="Times New Roman" w:cs="Times New Roman"/>
          <w:sz w:val="24"/>
          <w:szCs w:val="24"/>
        </w:rPr>
        <w:t>Tabela 3 – Composição dos conjuntos utilizados no experimento</w:t>
      </w:r>
      <w:r>
        <w:rPr/>
        <w:t>………………………...…</w:t>
      </w:r>
      <w:r>
        <w:rPr>
          <w:rFonts w:eastAsia="Times New Roman" w:cs="Times New Roman"/>
          <w:sz w:val="24"/>
          <w:szCs w:val="24"/>
        </w:rPr>
        <w:t>42</w:t>
      </w:r>
    </w:p>
    <w:p>
      <w:pPr>
        <w:pStyle w:val="normal1"/>
        <w:spacing w:lineRule="auto" w:line="360" w:before="0" w:after="0"/>
        <w:ind w:hanging="0"/>
        <w:jc w:val="left"/>
        <w:rPr/>
      </w:pPr>
      <w:r>
        <w:rPr>
          <w:rFonts w:eastAsia="Times New Roman" w:cs="Times New Roman"/>
          <w:sz w:val="24"/>
          <w:szCs w:val="24"/>
        </w:rPr>
        <w:t>Tabela 4 – Comparação das métricas preditivas entre YOLOv11m e Gemma 3 27B-IT</w:t>
      </w:r>
      <w:r>
        <w:rPr/>
        <w:t>…….</w:t>
      </w:r>
      <w:r>
        <w:rPr>
          <w:rFonts w:eastAsia="Times New Roman" w:cs="Times New Roman"/>
          <w:sz w:val="24"/>
          <w:szCs w:val="24"/>
        </w:rPr>
        <w:t>43</w:t>
      </w:r>
    </w:p>
    <w:p>
      <w:pPr>
        <w:pStyle w:val="normal1"/>
        <w:spacing w:lineRule="auto" w:line="360" w:before="0" w:after="0"/>
        <w:ind w:hanging="0"/>
        <w:jc w:val="left"/>
        <w:rPr/>
      </w:pPr>
      <w:r>
        <w:rPr>
          <w:rFonts w:eastAsia="Times New Roman" w:cs="Times New Roman"/>
          <w:sz w:val="24"/>
          <w:szCs w:val="24"/>
        </w:rPr>
        <w:t>Tabela 5 – Matriz de confusão do YOLOv11m</w:t>
      </w:r>
      <w:r>
        <w:rPr/>
        <w:t>………………………………………………</w:t>
      </w:r>
      <w:r>
        <w:rPr>
          <w:rFonts w:eastAsia="Times New Roman" w:cs="Times New Roman"/>
          <w:sz w:val="24"/>
          <w:szCs w:val="24"/>
        </w:rPr>
        <w:t>44</w:t>
      </w:r>
    </w:p>
    <w:p>
      <w:pPr>
        <w:pStyle w:val="normal1"/>
        <w:spacing w:lineRule="auto" w:line="360" w:before="0" w:after="0"/>
        <w:ind w:hanging="0"/>
        <w:jc w:val="left"/>
        <w:rPr/>
      </w:pPr>
      <w:r>
        <w:rPr>
          <w:rFonts w:eastAsia="Times New Roman" w:cs="Times New Roman"/>
          <w:sz w:val="24"/>
          <w:szCs w:val="24"/>
        </w:rPr>
        <w:t>Tabela 6 – Matriz de confusão do Gemma 3 27B-IT</w:t>
      </w:r>
      <w:r>
        <w:rPr/>
        <w:t>………………………………………</w:t>
      </w:r>
      <w:r>
        <w:rPr>
          <w:rFonts w:eastAsia="Times New Roman" w:cs="Times New Roman"/>
          <w:sz w:val="24"/>
          <w:szCs w:val="24"/>
        </w:rPr>
        <w:t>44</w:t>
      </w:r>
    </w:p>
    <w:p>
      <w:pPr>
        <w:pStyle w:val="normal1"/>
        <w:spacing w:lineRule="auto" w:line="360" w:before="0" w:after="0"/>
        <w:ind w:hanging="0"/>
        <w:jc w:val="left"/>
        <w:rPr/>
      </w:pPr>
      <w:r>
        <w:rPr>
          <w:rFonts w:eastAsia="Times New Roman" w:cs="Times New Roman"/>
          <w:sz w:val="24"/>
          <w:szCs w:val="24"/>
        </w:rPr>
        <w:t>Tabela 7 – Análise de sensibilidade ao limiar de confiança (YOLOv11m)</w:t>
      </w:r>
      <w:r>
        <w:rPr/>
        <w:t>.............................</w:t>
      </w:r>
      <w:r>
        <w:rPr>
          <w:rFonts w:eastAsia="Times New Roman" w:cs="Times New Roman"/>
          <w:sz w:val="24"/>
          <w:szCs w:val="24"/>
        </w:rPr>
        <w:t>45</w:t>
      </w:r>
    </w:p>
    <w:p>
      <w:pPr>
        <w:pStyle w:val="normal1"/>
        <w:spacing w:lineRule="auto" w:line="360" w:before="0" w:after="0"/>
        <w:ind w:hanging="0"/>
        <w:jc w:val="left"/>
        <w:rPr/>
      </w:pPr>
      <w:r>
        <w:rPr>
          <w:rFonts w:eastAsia="Times New Roman" w:cs="Times New Roman"/>
          <w:sz w:val="24"/>
          <w:szCs w:val="24"/>
        </w:rPr>
        <w:t>Tabela 8 – Métricas com intervalos de confiança de 95%</w:t>
      </w:r>
      <w:r>
        <w:rPr/>
        <w:t>........................................................</w:t>
      </w:r>
      <w:r>
        <w:rPr>
          <w:rFonts w:eastAsia="Times New Roman" w:cs="Times New Roman"/>
          <w:sz w:val="24"/>
          <w:szCs w:val="24"/>
        </w:rPr>
        <w:t>46</w:t>
      </w:r>
    </w:p>
    <w:p>
      <w:pPr>
        <w:pStyle w:val="normal1"/>
        <w:spacing w:lineRule="auto" w:line="360" w:before="0" w:after="0"/>
        <w:ind w:hanging="0"/>
        <w:jc w:val="left"/>
        <w:rPr/>
      </w:pPr>
      <w:r>
        <w:rPr>
          <w:rFonts w:eastAsia="Times New Roman" w:cs="Times New Roman"/>
          <w:sz w:val="24"/>
          <w:szCs w:val="24"/>
        </w:rPr>
        <w:t>Tabela 9 – Indicadores complementares de concordância e discriminação</w:t>
      </w:r>
      <w:r>
        <w:rPr/>
        <w:t>…………………..</w:t>
      </w:r>
      <w:r>
        <w:rPr>
          <w:rFonts w:eastAsia="Times New Roman" w:cs="Times New Roman"/>
          <w:sz w:val="24"/>
          <w:szCs w:val="24"/>
        </w:rPr>
        <w:t>47</w:t>
      </w:r>
    </w:p>
    <w:p>
      <w:pPr>
        <w:pStyle w:val="normal1"/>
        <w:spacing w:lineRule="auto" w:line="360" w:before="0" w:after="0"/>
        <w:ind w:hanging="0"/>
        <w:jc w:val="left"/>
        <w:rPr/>
      </w:pPr>
      <w:r>
        <w:rPr>
          <w:rFonts w:eastAsia="Times New Roman" w:cs="Times New Roman"/>
          <w:sz w:val="24"/>
          <w:szCs w:val="24"/>
        </w:rPr>
        <w:t>Tabela 10 – Eficiência computacional dos modelo</w:t>
      </w:r>
      <w:r>
        <w:rPr/>
        <w:t>……………….………………………...</w:t>
      </w:r>
      <w:r>
        <w:rPr>
          <w:rFonts w:eastAsia="Times New Roman" w:cs="Times New Roman"/>
          <w:sz w:val="24"/>
          <w:szCs w:val="24"/>
        </w:rPr>
        <w:t>47</w:t>
      </w:r>
    </w:p>
    <w:p>
      <w:pPr>
        <w:pStyle w:val="normal1"/>
        <w:spacing w:lineRule="auto" w:line="360" w:before="0" w:after="0"/>
        <w:ind w:hanging="0"/>
        <w:jc w:val="left"/>
        <w:rPr/>
      </w:pPr>
      <w:r>
        <w:rPr>
          <w:rFonts w:eastAsia="Times New Roman" w:cs="Times New Roman"/>
          <w:sz w:val="24"/>
          <w:szCs w:val="24"/>
        </w:rPr>
        <w:t>Tabela 11 – Distribuição conjunta dos casos de acerto e erro………</w:t>
      </w:r>
      <w:r>
        <w:rPr/>
        <w:t>……………………...</w:t>
      </w:r>
      <w:r>
        <w:rPr>
          <w:rFonts w:eastAsia="Times New Roman" w:cs="Times New Roman"/>
          <w:sz w:val="24"/>
          <w:szCs w:val="24"/>
        </w:rPr>
        <w:t>49</w:t>
      </w:r>
    </w:p>
    <w:p>
      <w:pPr>
        <w:pStyle w:val="normal1"/>
        <w:jc w:val="left"/>
        <w:rPr/>
      </w:pPr>
      <w:r>
        <w:rPr/>
      </w:r>
      <w:r>
        <w:br w:type="page"/>
      </w:r>
    </w:p>
    <w:p>
      <w:pPr>
        <w:pStyle w:val="normal1"/>
        <w:spacing w:lineRule="auto" w:line="360" w:before="0" w:after="0"/>
        <w:ind w:hanging="0"/>
        <w:jc w:val="center"/>
        <w:rPr/>
      </w:pPr>
      <w:r>
        <w:rPr>
          <w:rFonts w:eastAsia="Times New Roman" w:cs="Times New Roman"/>
          <w:b/>
          <w:bCs/>
          <w:sz w:val="24"/>
          <w:szCs w:val="24"/>
        </w:rPr>
        <w:t>LISTA DE ABREVIATURAS E SIGLAS</w:t>
      </w:r>
    </w:p>
    <w:p>
      <w:pPr>
        <w:pStyle w:val="normal1"/>
        <w:rPr/>
      </w:pPr>
      <w:r>
        <w:rPr/>
      </w:r>
    </w:p>
    <w:tbl>
      <w:tblPr>
        <w:tblStyle w:val="Table1"/>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pacing w:lineRule="auto" w:line="240" w:before="0" w:after="0"/>
              <w:ind w:hanging="0"/>
              <w:jc w:val="left"/>
              <w:rPr/>
            </w:pPr>
            <w:r>
              <w:rPr>
                <w:rFonts w:eastAsia="Times New Roman" w:cs="Times New Roman"/>
                <w:b/>
                <w:bCs/>
                <w:sz w:val="24"/>
                <w:szCs w:val="24"/>
              </w:rPr>
              <w:t>ABNT</w:t>
            </w:r>
          </w:p>
        </w:tc>
        <w:tc>
          <w:tcPr>
            <w:tcW w:w="4124" w:type="dxa"/>
            <w:tcBorders/>
          </w:tcPr>
          <w:p>
            <w:pPr>
              <w:pStyle w:val="normal1"/>
              <w:spacing w:lineRule="auto" w:line="240" w:before="0" w:after="0"/>
              <w:ind w:hanging="0"/>
              <w:jc w:val="left"/>
              <w:rPr/>
            </w:pPr>
            <w:r>
              <w:rPr>
                <w:rFonts w:eastAsia="Times New Roman" w:cs="Times New Roman"/>
                <w:sz w:val="24"/>
                <w:szCs w:val="24"/>
              </w:rPr>
              <w:t>Associação Brasileira de Normas Técnicas</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COCO</w:t>
            </w:r>
          </w:p>
        </w:tc>
        <w:tc>
          <w:tcPr>
            <w:tcW w:w="4124" w:type="dxa"/>
            <w:tcBorders/>
          </w:tcPr>
          <w:p>
            <w:pPr>
              <w:pStyle w:val="normal1"/>
              <w:spacing w:lineRule="auto" w:line="240" w:before="0" w:after="0"/>
              <w:ind w:hanging="0"/>
              <w:jc w:val="left"/>
              <w:rPr/>
            </w:pPr>
            <w:r>
              <w:rPr>
                <w:rFonts w:eastAsia="Times New Roman" w:cs="Times New Roman"/>
                <w:sz w:val="24"/>
                <w:szCs w:val="24"/>
              </w:rPr>
              <w:t>Common Objects in Context</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CUDA</w:t>
            </w:r>
          </w:p>
        </w:tc>
        <w:tc>
          <w:tcPr>
            <w:tcW w:w="4124" w:type="dxa"/>
            <w:tcBorders/>
          </w:tcPr>
          <w:p>
            <w:pPr>
              <w:pStyle w:val="normal1"/>
              <w:spacing w:lineRule="auto" w:line="240" w:before="0" w:after="0"/>
              <w:ind w:hanging="0"/>
              <w:jc w:val="left"/>
              <w:rPr/>
            </w:pPr>
            <w:r>
              <w:rPr>
                <w:rFonts w:eastAsia="Times New Roman" w:cs="Times New Roman"/>
                <w:sz w:val="24"/>
                <w:szCs w:val="24"/>
              </w:rPr>
              <w:t>Compute Unified Device Architecture</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F1-score</w:t>
            </w:r>
          </w:p>
        </w:tc>
        <w:tc>
          <w:tcPr>
            <w:tcW w:w="4124" w:type="dxa"/>
            <w:tcBorders/>
          </w:tcPr>
          <w:p>
            <w:pPr>
              <w:pStyle w:val="normal1"/>
              <w:spacing w:lineRule="auto" w:line="240" w:before="0" w:after="0"/>
              <w:ind w:hanging="0"/>
              <w:jc w:val="left"/>
              <w:rPr/>
            </w:pPr>
            <w:r>
              <w:rPr>
                <w:rFonts w:eastAsia="Times New Roman" w:cs="Times New Roman"/>
                <w:sz w:val="24"/>
                <w:szCs w:val="24"/>
              </w:rPr>
              <w:t>Medida harmônica entre precisão e sensibilidade</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GPU</w:t>
            </w:r>
          </w:p>
        </w:tc>
        <w:tc>
          <w:tcPr>
            <w:tcW w:w="4124" w:type="dxa"/>
            <w:tcBorders/>
          </w:tcPr>
          <w:p>
            <w:pPr>
              <w:pStyle w:val="normal1"/>
              <w:spacing w:lineRule="auto" w:line="240" w:before="0" w:after="0"/>
              <w:ind w:hanging="0"/>
              <w:jc w:val="left"/>
              <w:rPr/>
            </w:pPr>
            <w:r>
              <w:rPr>
                <w:rFonts w:eastAsia="Times New Roman" w:cs="Times New Roman"/>
                <w:sz w:val="24"/>
                <w:szCs w:val="24"/>
              </w:rPr>
              <w:t>Graphics Processing Unit</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IA</w:t>
            </w:r>
          </w:p>
        </w:tc>
        <w:tc>
          <w:tcPr>
            <w:tcW w:w="4124" w:type="dxa"/>
            <w:tcBorders/>
          </w:tcPr>
          <w:p>
            <w:pPr>
              <w:pStyle w:val="normal1"/>
              <w:spacing w:lineRule="auto" w:line="240" w:before="0" w:after="0"/>
              <w:ind w:hanging="0"/>
              <w:jc w:val="left"/>
              <w:rPr/>
            </w:pPr>
            <w:r>
              <w:rPr>
                <w:rFonts w:eastAsia="Times New Roman" w:cs="Times New Roman"/>
                <w:sz w:val="24"/>
                <w:szCs w:val="24"/>
              </w:rPr>
              <w:t>Inteligência artificial</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JSON</w:t>
            </w:r>
          </w:p>
        </w:tc>
        <w:tc>
          <w:tcPr>
            <w:tcW w:w="4124" w:type="dxa"/>
            <w:tcBorders/>
          </w:tcPr>
          <w:p>
            <w:pPr>
              <w:pStyle w:val="normal1"/>
              <w:spacing w:lineRule="auto" w:line="240" w:before="0" w:after="0"/>
              <w:ind w:hanging="0"/>
              <w:jc w:val="left"/>
              <w:rPr/>
            </w:pPr>
            <w:r>
              <w:rPr>
                <w:rFonts w:eastAsia="Times New Roman" w:cs="Times New Roman"/>
                <w:sz w:val="24"/>
                <w:szCs w:val="24"/>
              </w:rPr>
              <w:t>JavaScript Object Notation</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MCC</w:t>
            </w:r>
          </w:p>
        </w:tc>
        <w:tc>
          <w:tcPr>
            <w:tcW w:w="4124" w:type="dxa"/>
            <w:tcBorders/>
          </w:tcPr>
          <w:p>
            <w:pPr>
              <w:pStyle w:val="normal1"/>
              <w:spacing w:lineRule="auto" w:line="240" w:before="0" w:after="0"/>
              <w:ind w:hanging="0"/>
              <w:jc w:val="left"/>
              <w:rPr/>
            </w:pPr>
            <w:r>
              <w:rPr>
                <w:rFonts w:eastAsia="Times New Roman" w:cs="Times New Roman"/>
                <w:sz w:val="24"/>
                <w:szCs w:val="24"/>
              </w:rPr>
              <w:t>Coeficiente de correlação de Matthews</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PNRS</w:t>
            </w:r>
          </w:p>
        </w:tc>
        <w:tc>
          <w:tcPr>
            <w:tcW w:w="4124" w:type="dxa"/>
            <w:tcBorders/>
          </w:tcPr>
          <w:p>
            <w:pPr>
              <w:pStyle w:val="normal1"/>
              <w:spacing w:lineRule="auto" w:line="240" w:before="0" w:after="0"/>
              <w:ind w:hanging="0"/>
              <w:jc w:val="left"/>
              <w:rPr/>
            </w:pPr>
            <w:r>
              <w:rPr>
                <w:rFonts w:eastAsia="Times New Roman" w:cs="Times New Roman"/>
                <w:sz w:val="24"/>
                <w:szCs w:val="24"/>
              </w:rPr>
              <w:t>Política Nacional de Resíduos Sólidos</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RSU</w:t>
            </w:r>
          </w:p>
        </w:tc>
        <w:tc>
          <w:tcPr>
            <w:tcW w:w="4124" w:type="dxa"/>
            <w:tcBorders/>
          </w:tcPr>
          <w:p>
            <w:pPr>
              <w:pStyle w:val="normal1"/>
              <w:spacing w:lineRule="auto" w:line="240" w:before="0" w:after="0"/>
              <w:ind w:hanging="0"/>
              <w:jc w:val="left"/>
              <w:rPr/>
            </w:pPr>
            <w:r>
              <w:rPr>
                <w:rFonts w:eastAsia="Times New Roman" w:cs="Times New Roman"/>
                <w:sz w:val="24"/>
                <w:szCs w:val="24"/>
              </w:rPr>
              <w:t>Resíduos sólidos urbanos</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TACO</w:t>
            </w:r>
          </w:p>
        </w:tc>
        <w:tc>
          <w:tcPr>
            <w:tcW w:w="4124" w:type="dxa"/>
            <w:tcBorders/>
          </w:tcPr>
          <w:p>
            <w:pPr>
              <w:pStyle w:val="normal1"/>
              <w:spacing w:lineRule="auto" w:line="240" w:before="0" w:after="0"/>
              <w:ind w:hanging="0"/>
              <w:jc w:val="left"/>
              <w:rPr/>
            </w:pPr>
            <w:r>
              <w:rPr>
                <w:rFonts w:eastAsia="Times New Roman" w:cs="Times New Roman"/>
                <w:sz w:val="24"/>
                <w:szCs w:val="24"/>
              </w:rPr>
              <w:t>Trash Annotations in Context</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VLM</w:t>
            </w:r>
          </w:p>
        </w:tc>
        <w:tc>
          <w:tcPr>
            <w:tcW w:w="4124" w:type="dxa"/>
            <w:tcBorders/>
          </w:tcPr>
          <w:p>
            <w:pPr>
              <w:pStyle w:val="normal1"/>
              <w:spacing w:lineRule="auto" w:line="240" w:before="0" w:after="0"/>
              <w:ind w:hanging="0"/>
              <w:jc w:val="left"/>
              <w:rPr/>
            </w:pPr>
            <w:r>
              <w:rPr>
                <w:rFonts w:eastAsia="Times New Roman" w:cs="Times New Roman"/>
                <w:sz w:val="24"/>
                <w:szCs w:val="24"/>
              </w:rPr>
              <w:t>Vision-Language Model</w:t>
            </w:r>
          </w:p>
        </w:tc>
      </w:tr>
      <w:tr>
        <w:trPr/>
        <w:tc>
          <w:tcPr>
            <w:tcW w:w="4095" w:type="dxa"/>
            <w:tcBorders/>
          </w:tcPr>
          <w:p>
            <w:pPr>
              <w:pStyle w:val="normal1"/>
              <w:spacing w:lineRule="auto" w:line="240" w:before="0" w:after="0"/>
              <w:ind w:hanging="0"/>
              <w:jc w:val="left"/>
              <w:rPr/>
            </w:pPr>
            <w:r>
              <w:rPr>
                <w:rFonts w:eastAsia="Times New Roman" w:cs="Times New Roman"/>
                <w:b/>
                <w:bCs/>
                <w:sz w:val="24"/>
                <w:szCs w:val="24"/>
              </w:rPr>
              <w:t>YOLO</w:t>
            </w:r>
          </w:p>
        </w:tc>
        <w:tc>
          <w:tcPr>
            <w:tcW w:w="4124" w:type="dxa"/>
            <w:tcBorders/>
          </w:tcPr>
          <w:p>
            <w:pPr>
              <w:pStyle w:val="normal1"/>
              <w:spacing w:lineRule="auto" w:line="240" w:before="0" w:after="0"/>
              <w:ind w:hanging="0"/>
              <w:jc w:val="left"/>
              <w:rPr/>
            </w:pPr>
            <w:r>
              <w:rPr>
                <w:rFonts w:eastAsia="Times New Roman" w:cs="Times New Roman"/>
                <w:sz w:val="24"/>
                <w:szCs w:val="24"/>
              </w:rPr>
              <w:t>You Only Look Once</w:t>
            </w:r>
          </w:p>
        </w:tc>
      </w:tr>
    </w:tbl>
    <w:p>
      <w:pPr>
        <w:pStyle w:val="normal1"/>
        <w:rPr/>
      </w:pPr>
      <w:r>
        <w:rPr/>
      </w:r>
      <w:r>
        <w:br w:type="page"/>
      </w:r>
    </w:p>
    <w:p>
      <w:pPr>
        <w:pStyle w:val="normal1"/>
        <w:spacing w:lineRule="auto" w:line="360" w:before="0" w:after="0"/>
        <w:ind w:hanging="0"/>
        <w:jc w:val="center"/>
        <w:rPr/>
      </w:pPr>
      <w:r>
        <w:rPr>
          <w:rFonts w:eastAsia="Times New Roman" w:cs="Times New Roman"/>
          <w:b/>
          <w:bCs/>
          <w:sz w:val="24"/>
          <w:szCs w:val="24"/>
        </w:rPr>
        <w:t>SUMÁRIO</w:t>
      </w:r>
    </w:p>
    <w:p>
      <w:pPr>
        <w:pStyle w:val="normal1"/>
        <w:rPr/>
      </w:pPr>
      <w:r>
        <w:rPr/>
      </w:r>
    </w:p>
    <w:p>
      <w:pPr>
        <w:pStyle w:val="normal1"/>
        <w:tabs>
          <w:tab w:val="clear" w:pos="720"/>
          <w:tab w:val="right" w:pos="8957" w:leader="none"/>
        </w:tabs>
        <w:spacing w:lineRule="auto" w:line="360" w:before="0" w:after="0"/>
        <w:ind w:hanging="0"/>
        <w:jc w:val="left"/>
        <w:rPr/>
      </w:pPr>
      <w:r>
        <w:rPr>
          <w:rFonts w:eastAsia="Times New Roman" w:cs="Times New Roman"/>
          <w:sz w:val="24"/>
          <w:szCs w:val="24"/>
        </w:rPr>
        <w:t>1 INTRODUÇÃO</w:t>
        <w:tab/>
        <w:t>13</w:t>
      </w:r>
    </w:p>
    <w:p>
      <w:pPr>
        <w:pStyle w:val="normal1"/>
        <w:tabs>
          <w:tab w:val="clear" w:pos="720"/>
          <w:tab w:val="right" w:pos="8957" w:leader="none"/>
        </w:tabs>
        <w:spacing w:lineRule="auto" w:line="360" w:before="0" w:after="0"/>
        <w:ind w:hanging="0"/>
        <w:jc w:val="left"/>
        <w:rPr/>
      </w:pPr>
      <w:r>
        <w:rPr>
          <w:rFonts w:eastAsia="Times New Roman" w:cs="Times New Roman"/>
          <w:sz w:val="24"/>
          <w:szCs w:val="24"/>
        </w:rPr>
        <w:t>2 REFERENCIAL TEÓRICO</w:t>
        <w:tab/>
        <w:t>16</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2.1 Gestão pública, resíduos sólidos urbanos e produção de informações</w:t>
        <w:tab/>
        <w:t>16</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2.2 Inteligência artificial, transformação digital e governança pública</w:t>
        <w:tab/>
        <w:t>18</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2.3 Visão computacional e detecção de objetos</w:t>
        <w:tab/>
        <w:t>20</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2.4 Detecção automatizada de resíduos urbanos</w:t>
        <w:tab/>
        <w:t>22</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2.5 Modelos visão-linguagem e classificação zero-shot</w:t>
        <w:tab/>
        <w:t>23</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2.6 Articulação teórica da pesquisa</w:t>
        <w:tab/>
        <w:t>25</w:t>
      </w:r>
    </w:p>
    <w:p>
      <w:pPr>
        <w:pStyle w:val="normal1"/>
        <w:tabs>
          <w:tab w:val="clear" w:pos="720"/>
          <w:tab w:val="right" w:pos="8957" w:leader="none"/>
        </w:tabs>
        <w:spacing w:lineRule="auto" w:line="360" w:before="0" w:after="0"/>
        <w:ind w:hanging="0"/>
        <w:jc w:val="left"/>
        <w:rPr/>
      </w:pPr>
      <w:r>
        <w:rPr>
          <w:rFonts w:eastAsia="Times New Roman" w:cs="Times New Roman"/>
          <w:sz w:val="24"/>
          <w:szCs w:val="24"/>
        </w:rPr>
        <w:t>3 METODOLOGIA</w:t>
        <w:tab/>
        <w:t>27</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3.1 Classificação da pesquisa</w:t>
        <w:tab/>
        <w:t>27</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3.2 Objeto de estudo e unidade de análise</w:t>
        <w:tab/>
        <w:t>28</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3.3 Modelos comparados</w:t>
        <w:tab/>
        <w:t>28</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3.4 Fontes de imagens e bases de dados utilizadas</w:t>
        <w:tab/>
        <w:t>29</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3.5 Critérios éticos, privacidade e uso das imagens</w:t>
        <w:tab/>
        <w:t>31</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3.6 Preparação e padronização dos dados</w:t>
        <w:tab/>
        <w:t>32</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3.7 Treinamento do YOLOv11m</w:t>
        <w:tab/>
        <w:t>34</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3.8 Inferência com Gemma 3 27B-IT</w:t>
        <w:tab/>
        <w:t>35</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3.9 Métricas de avaliação</w:t>
        <w:tab/>
        <w:t>35</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3.10 Critério de comparação</w:t>
        <w:tab/>
        <w:t>37</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3.11 Limitações metodológicas</w:t>
        <w:tab/>
        <w:t>37</w:t>
      </w:r>
    </w:p>
    <w:p>
      <w:pPr>
        <w:pStyle w:val="normal1"/>
        <w:tabs>
          <w:tab w:val="clear" w:pos="720"/>
          <w:tab w:val="right" w:pos="8957" w:leader="none"/>
        </w:tabs>
        <w:spacing w:lineRule="auto" w:line="360" w:before="0" w:after="0"/>
        <w:ind w:hanging="0"/>
        <w:jc w:val="left"/>
        <w:rPr/>
      </w:pPr>
      <w:r>
        <w:rPr>
          <w:rFonts w:eastAsia="Times New Roman" w:cs="Times New Roman"/>
          <w:sz w:val="24"/>
          <w:szCs w:val="24"/>
        </w:rPr>
        <w:t>4 RESULTADOS E DISCUSSÃO</w:t>
        <w:tab/>
        <w:t>40</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4.1 Caracterização do experimento</w:t>
        <w:tab/>
        <w:t>40</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4.2 Composição e integridade dos dados</w:t>
        <w:tab/>
        <w:t>41</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4.3 Desempenho preditivo dos modelos</w:t>
        <w:tab/>
        <w:t>43</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4.4 Significância estatística dos resultados</w:t>
        <w:tab/>
        <w:t>46</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4.5 Eficiência computacional</w:t>
        <w:tab/>
        <w:t>47</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4.6 Teste da hipótese de pesquisa</w:t>
        <w:tab/>
        <w:t>48</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4.7 Análise de erros e complementaridade entre os modelos</w:t>
        <w:tab/>
        <w:t>49</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4.8 Discussão dos resultados à luz do referencial teórico</w:t>
        <w:tab/>
        <w:t>54</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4.9 Viabilidade para a gestão pública</w:t>
        <w:tab/>
        <w:t>55</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4.10 Limitações dos resultados</w:t>
        <w:tab/>
        <w:t>58</w:t>
      </w:r>
    </w:p>
    <w:p>
      <w:pPr>
        <w:pStyle w:val="normal1"/>
        <w:tabs>
          <w:tab w:val="clear" w:pos="720"/>
          <w:tab w:val="right" w:pos="8957" w:leader="none"/>
        </w:tabs>
        <w:spacing w:lineRule="auto" w:line="360" w:before="0" w:after="0"/>
        <w:ind w:hanging="0" w:left="425"/>
        <w:jc w:val="left"/>
        <w:rPr/>
      </w:pPr>
      <w:r>
        <w:rPr>
          <w:rFonts w:eastAsia="Times New Roman" w:cs="Times New Roman"/>
          <w:sz w:val="24"/>
          <w:szCs w:val="24"/>
        </w:rPr>
        <w:t>4.11 Síntese da discussão</w:t>
        <w:tab/>
        <w:t>59</w:t>
      </w:r>
    </w:p>
    <w:p>
      <w:pPr>
        <w:pStyle w:val="normal1"/>
        <w:tabs>
          <w:tab w:val="clear" w:pos="720"/>
          <w:tab w:val="right" w:pos="8957" w:leader="none"/>
        </w:tabs>
        <w:spacing w:lineRule="auto" w:line="360" w:before="0" w:after="0"/>
        <w:ind w:hanging="0"/>
        <w:jc w:val="left"/>
        <w:rPr/>
      </w:pPr>
      <w:r>
        <w:rPr>
          <w:rFonts w:eastAsia="Times New Roman" w:cs="Times New Roman"/>
          <w:sz w:val="24"/>
          <w:szCs w:val="24"/>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spacing w:lineRule="auto" w:line="360" w:before="0" w:after="0"/>
        <w:ind w:hanging="0"/>
        <w:jc w:val="left"/>
        <w:rPr/>
      </w:pPr>
      <w:r>
        <w:rPr>
          <w:rFonts w:eastAsia="Times New Roman" w:cs="Times New Roman"/>
          <w:sz w:val="24"/>
          <w:szCs w:val="24"/>
        </w:rPr>
        <w:t>REFERÊNCIAS</w:t>
        <w:tab/>
        <w:t>65</w:t>
      </w:r>
    </w:p>
    <w:p>
      <w:pPr>
        <w:pStyle w:val="Heading1"/>
        <w:numPr>
          <w:ilvl w:val="0"/>
          <w:numId w:val="1"/>
        </w:numPr>
        <w:ind w:hanging="0" w:left="0"/>
        <w:rPr/>
      </w:pPr>
      <w:r>
        <w:rPr/>
        <w:t>1 INTRODUÇÃO</w:t>
      </w:r>
    </w:p>
    <w:p>
      <w:pPr>
        <w:pStyle w:val="normal1"/>
        <w:rPr/>
      </w:pPr>
      <w:r>
        <w:rPr/>
        <w:t>A gestão dos resíduos sólidos urbanos constitui um desafio relevante para a administração pública brasileira, especialmente em razão de seus impactos ambientais, sanitários, operacionais e financeiros. No contexto municipal, o descarte inadequado de resíduos em vias públicas exige planejamento, fiscalização, prestação contínua de serviços de limpeza urbana e produção de informações capazes de orientar decisões administrativas. A Política Nacional de Resíduos Sólidos estabelece princípios e instrumentos para a gestão integrada e o gerenciamento ambientalmente adequado desses materiais, reforçando a responsabilidade do poder público na organização dos serviços urbanos (Brasil, 2010).</w:t>
      </w:r>
    </w:p>
    <w:p>
      <w:pPr>
        <w:pStyle w:val="normal1"/>
        <w:rPr/>
      </w:pPr>
      <w: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normal1"/>
        <w:rPr/>
      </w:pPr>
      <w: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Contudo, sua adoção não deve ser tratada como solução automática, pois depende de desempenho preditivo, eficiência computacional, confiabilidade dos resultados e adequação ao contexto institucional.</w:t>
      </w:r>
    </w:p>
    <w:p>
      <w:pPr>
        <w:pStyle w:val="normal1"/>
        <w:rPr/>
      </w:pPr>
      <w:r>
        <w:rPr/>
        <w:t>A relevância desta pesquisa está em aproximar o debate sobre inteligência artificial das necessidades práticas da administração pública urbana.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normal1"/>
        <w:rPr/>
      </w:pPr>
      <w: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normal1"/>
        <w:rPr/>
      </w:pPr>
      <w:r>
        <w:rPr/>
        <w:t>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zero-shot, especialmente quanto à velocidade de inferência e ao controle de falsos positivos. Essa hipótese foi verificada a partir da análise dos resultados obtidos no experimento computacional.</w:t>
      </w:r>
    </w:p>
    <w:p>
      <w:pPr>
        <w:pStyle w:val="normal1"/>
        <w:rPr/>
      </w:pPr>
      <w:r>
        <w:rPr/>
        <w:t>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validar um conjunto de teste de imagens reais de vias públicas brasileiras, balanceado quanto à presença e ausência de resíduos visíveis; mensurar e comparar o desempenho preditivo do YOLOv11m, ajustado por fine-tuning, e do Gemma 3 27B-IT, em regime zero-shot, por meio de métricas binárias e testes estatísticos para amostras pareadas; mensurar e comparar a eficiência computacional dos modelos quanto à latência e ao throughput; e caracterizar os padrões de erro de cada modelo e discutir suas implicações para a adoção da tecnologia pela gestão pública municipal.</w:t>
      </w:r>
    </w:p>
    <w:p>
      <w:pPr>
        <w:pStyle w:val="normal1"/>
        <w:rPr/>
      </w:pPr>
      <w:r>
        <w:rPr/>
        <w:t>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recall, especificidade, F1-score, taxa de falsos positivos, matriz de confusão e tempo de inferência. Esses indicadores permitiram avaliar o desempenho preditivo e a eficiência computacional dos modelos, em conformidade com o problema e os objetivos da pesquisa.</w:t>
      </w:r>
    </w:p>
    <w:p>
      <w:pPr>
        <w:pStyle w:val="normal1"/>
        <w:rPr/>
      </w:pPr>
      <w: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pPr>
      <w:r>
        <w:rPr/>
      </w:r>
      <w:r>
        <w:br w:type="page"/>
      </w:r>
    </w:p>
    <w:p>
      <w:pPr>
        <w:pStyle w:val="Heading1"/>
        <w:numPr>
          <w:ilvl w:val="0"/>
          <w:numId w:val="1"/>
        </w:numPr>
        <w:spacing w:before="0" w:after="240"/>
        <w:ind w:hanging="0" w:left="0"/>
        <w:rPr/>
      </w:pPr>
      <w:r>
        <w:rPr/>
        <w:t>2 REFERENCIAL TEÓRICO</w:t>
      </w:r>
    </w:p>
    <w:p>
      <w:pPr>
        <w:pStyle w:val="normal1"/>
        <w:rPr/>
      </w:pPr>
      <w:r>
        <w:rPr/>
        <w:t>Este capítulo apresenta a fundamentação teórica do estudo a partir dos conceitos-chave definidos na matriz do TCC: gestão pública de resíduos sólidos urbanos, inteligência artificial aplicada à administração pública, visão computacional, detecção automatizada de resíduos e modelos visão-linguagem. A organização das seções segue uma progressão conceitual: primeiro, contextualiza-se o problema público dos resíduos urbanos; em seguida, discutem-se as bases da inteligência artificial no setor público; por fim, apresentam-se os paradigmas técnicos que sustentam a comparação empírica entre modelos especializados de detecção e modelos generalistas multimodais.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2.1 Gestão pública, resíduos sólidos urbanos e produção de informações</w:t>
      </w:r>
    </w:p>
    <w:p>
      <w:pPr>
        <w:pStyle w:val="normal1"/>
        <w:rPr/>
      </w:pPr>
      <w:r>
        <w:rPr/>
        <w:t>A gestão dos resíduos sólidos urbanos constitui uma atribuição relevante da administração pública municipal, pois envolve planejamento, regulação, fiscalização, prestação de serviços, controle de custos e proteção ambiental e sanitária.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normal1"/>
        <w:rPr/>
      </w:pPr>
      <w:r>
        <w:rPr/>
        <w:t>A literatura brasileira indica que os resíduos sólidos urbanos permanecem como desafio estrutural para os municípios. Nascimento et al. (2015) apontam que a geração de resíduos no Brasil cresceu ao longo do tempo e que a efetivação da PNRS depende de avanços na coleta, no tratamento, na destinação final e na participação social em processos de separação e redução de resíduos. De modo complementar, Freitas, Pires e Benincá (2024) observam que, apesar da existência de práticas e modelos de gestão ambientalmente adequados previstos na PNRS, muitos municípios ainda enfrentam fragilidades relacionadas à infraestrutura, planejamento, recursos financeiros, recursos humanos, educação ambiental e ausência de diagnósticos consistentes sobre geração e destinação dos resíduos.</w:t>
      </w:r>
    </w:p>
    <w:p>
      <w:pPr>
        <w:pStyle w:val="normal1"/>
        <w:rPr/>
      </w:pPr>
      <w:r>
        <w:rPr/>
        <w:t>A comparação entre essas abordagens permite compreender que o problema dos resíduos urbanos não decorre apenas da existência de normas, mas também da capacidade institucional de transformar diretrizes legais em ações contínuas. Enquanto Nascimento et al. (2015) enfatizam a evolução e os desafios gerais do gerenciamento dos RSU no Brasil, Freitas, Pires e Benincá (2024) detalham fragilidades e potencialidades municipais, evidenciando que planejamento, diagnóstico e recursos administrativos são condições relevantes para a efetividade da política pública.</w:t>
      </w:r>
    </w:p>
    <w:p>
      <w:pPr>
        <w:pStyle w:val="normal1"/>
        <w:rPr/>
      </w:pPr>
      <w:r>
        <w:rPr/>
        <w:t>Os dados discutidos por Freitas, Pires e Benincá (2024) reforçam a dimensão gerencial do problema. Segundo as autoras, em 2022 aproximadamente 75% dos municípios brasileiros apresentavam alguma iniciativa de coleta seletiva, embora muitas dessas iniciativas fossem pontuais e sem abrangência plena da população. No mesmo período, cerca de 61% dos resíduos sólidos urbanos coletados foram encaminhados a aterros sanitários, enquanto aproximadamente 39% seguiram para destinação inadequada, como lixões e aterros controlados. Esses dados demonstram que o desafio dos resíduos urbanos envolve capacidade administrativa, diagnóstico territorial e continuidade das ações públicas.</w:t>
      </w:r>
    </w:p>
    <w:p>
      <w:pPr>
        <w:pStyle w:val="normal1"/>
        <w:rPr/>
      </w:pPr>
      <w:r>
        <w:rPr/>
        <w:t>No espaço urbano, o descarte irregular de resíduos representa problema recorrente para a gestão municipal. A presença de lixo em ruas, calçadas, terrenos, canais e outros espaços públicos compromete a paisagem urbana, afeta a circulação de pessoas, pode agravar problemas de drenagem e amplia a demanda por serviços de limpeza. Cardoso e Cardoso (2016) destacam que o problema do lixo envolve impactos diversos e exige estratégias de redução de danos, enquanto Mucelin e Bellini (2008) apontam impactos ambientais perceptíveis no ecossistema urbano. Assim, o descarte irregular deve ser compreendido como fenômeno que ultrapassa a dimensão ambiental, alcançando também a organização dos serviços públicos, a saúde coletiva e a qualidade de vida urbana.</w:t>
      </w:r>
    </w:p>
    <w:p>
      <w:pPr>
        <w:pStyle w:val="normal1"/>
        <w:rPr>
          <w:color w:val="000000"/>
        </w:rPr>
      </w:pPr>
      <w:r>
        <w:rPr>
          <w:color w:val="000000"/>
        </w:rPr>
        <w:t>No caso de Fortaleza, Gomes e Belém (2022) discutem o lixo como fator de risco à saúde pública, o que evidencia a relevância local do tema. Essa perspectiva é importante para o presente TCC porque mostra que o monitoramento de resíduos em vias públicas pode ser entendido como ação de apoio à vigilância urbana e à prevenção de problemas decorrentes do descarte inadequado. Além disso, a existência de dados públicos municipais sobre resíduos sólidos, disponibilizados no portal Dados Abertos Fortaleza, indica que o tema possui relevância institucional para a administração local e pode ser analisado a partir de informações públicas (Fortaleza, 2022).</w:t>
      </w:r>
    </w:p>
    <w:p>
      <w:pPr>
        <w:pStyle w:val="normal1"/>
        <w:rPr/>
      </w:pPr>
      <w: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normal1"/>
        <w:rPr/>
      </w:pPr>
      <w:r>
        <w:rPr/>
        <w:t>Nesse contexto, a produção de informações territorializadas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normal1"/>
        <w:rPr/>
      </w:pPr>
      <w: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2.2 Inteligência artificial, transformação digital e governança pública</w:t>
      </w:r>
    </w:p>
    <w:p>
      <w:pPr>
        <w:pStyle w:val="normal1"/>
        <w:rPr/>
      </w:pPr>
      <w:r>
        <w:rPr/>
        <w:t>A inteligência artificial tem sido incorporada ao debate sobre transformação digital no setor público por sua capacidade de processar dados, automatizar tarefas e apoiar decisões administrativas. Reis, Espírito Santo e Melão (2019) identificam a inteligência artificial como extensão da transformação digital e destacam que sua adoção em serviços governamentais cria oportunidades, mas também exige atenção às implicações para formuladores de políticas e gestores públicos. Nesse sentido, a IA não deve ser compreendida apenas como inovação tecnológica, mas como fenômeno que altera processos organizacionais, formas de prestação de serviços e relações entre Estado, cidadãos e fornecedores tecnológicos.</w:t>
      </w:r>
    </w:p>
    <w:p>
      <w:pPr>
        <w:pStyle w:val="normal1"/>
        <w:rPr/>
      </w:pPr>
      <w: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 Essa observação é diretamente pertinente ao presente estudo, pois a pesquisa não analisa a IA de modo abstrato, mas compara modelos específicos aplicados a uma tarefa delimitada: a identificação visual de resíduos urbanos em imagens de vias públicas.</w:t>
      </w:r>
    </w:p>
    <w:p>
      <w:pPr>
        <w:pStyle w:val="normal1"/>
        <w:rPr/>
      </w:pPr>
      <w:r>
        <w:rPr/>
        <w:t>Na Administração Pública, os benefícios atribuídos à IA incluem economia de custos, apoio à decisão, melhor uso de dados, novos subsídios para políticas públicas, melhoria da eficiência, da efetividade e da prestação de serviços. Madan e Ashok (2025) discutem esses benefícios percebidos no contexto da administração pública canadense e mostram que a adoção de IA é influenciada por pressões institucionais, demandas de serviço e processos de construção de sentido pelos administradores públicos. Para este TCC, essa contribuição é útil porque reforça que a adoção de IA no setor público depende menos do entusiasmo tecnológico em si e mais da capacidade de responder a problemas administrativos concretos.</w:t>
      </w:r>
    </w:p>
    <w:p>
      <w:pPr>
        <w:pStyle w:val="normal1"/>
        <w:rPr/>
      </w:pPr>
      <w: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normal1"/>
        <w:rPr/>
      </w:pPr>
      <w:r>
        <w:rPr/>
        <w:t>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accountability, transparência e responsabilização. Assim, o uso de IA na gestão pública deve ser examinado como instrumento condicionado por finalidades públicas, arranjos de governança e critérios de avaliação.</w:t>
      </w:r>
    </w:p>
    <w:p>
      <w:pPr>
        <w:pStyle w:val="normal1"/>
        <w:rPr/>
      </w:pPr>
      <w:r>
        <w:rPr/>
        <w:t>No plano técnico, o deep learning constitui uma das abordagens centrais da inteligência artificial contemporânea. Goodfellow, Bengio e Courville (2016) descrevem o aprendizado profundo como um conjunto de métodos capazes de aprender representações em múltiplos níveis a partir de dados. LeCun, Bengio e Hinton (2015) destacam que o deep learning se tornou especialmente relevante em tarefas como reconhecimento de fala, reconhecimento visual e processamento de imagens, em razão de sua capacidade de aprender padrões complexos. Em aplicações visuais, esses métodos permitem que modelos computacionais identifiquem características de cenas urbanas, distinguindo objetos, formas, texturas e padrões relevantes.</w:t>
      </w:r>
    </w:p>
    <w:p>
      <w:pPr>
        <w:pStyle w:val="normal1"/>
        <w:rPr/>
      </w:pPr>
      <w: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rPr/>
      </w:pPr>
      <w:r>
        <w:rPr/>
        <w:t>Dessa forma, a inteligência artificial fornece uma base técnica e gerencial para o presente TCC, mas sua utilidade depende da articulação entre desempenho computacional, finalidade pública e governança responsável. O problema investigado não é se a IA é genericamente útil à administração, mas se modelos específicos podem produzir informações suficientemente confiáveis para apoiar o monitoramento municipal de resíduos urbanos.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2.3 Visão computacional e detecção de objetos</w:t>
      </w:r>
    </w:p>
    <w:p>
      <w:pPr>
        <w:pStyle w:val="normal1"/>
        <w:rPr>
          <w:color w:val="000000"/>
        </w:rPr>
      </w:pPr>
      <w:r>
        <w:rPr>
          <w:color w:val="000000"/>
        </w:rPr>
        <w:t>A visão computacional é uma área da inteligência artificial dedicada ao desenvolvimento de métodos capazes de extrair, interpretar e utilizar informações provenientes de imagens e vídeos.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No contexto deste trabalho, sua relevância decorre da necessidade de analisar visualmente cenas urbanas nas quais diferentes elementos aparecem simultaneamente, como ruas, calçadas, veículos, vegetação, sombras, pessoas e objetos descartados. A interpretação automatizada dessas cenas exige modelos capazes de lidar com variações de iluminação, perspectiva, escala, oclusão e composição visual.</w:t>
      </w:r>
    </w:p>
    <w:p>
      <w:pPr>
        <w:pStyle w:val="normal1"/>
        <w:rPr>
          <w:color w:val="000000"/>
        </w:rPr>
      </w:pPr>
      <w:r>
        <w:rPr>
          <w:color w:val="000000"/>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normal1"/>
        <w:rPr>
          <w:color w:val="000000"/>
        </w:rPr>
      </w:pPr>
      <w:r>
        <w:rPr>
          <w:color w:val="000000"/>
        </w:rPr>
        <w:t>O YOLO tornou-se uma das famílias de modelos mais conhecidas em detecção de objetos por sua proposta de realizar inferência de forma unificada e rápida. Redmon et al. (2016) mostram que o modelo original processava imagens em tempo real, embora também apresentasse limitações, especialmente na localização precisa de alguns objetos e na detecção de objetos pequenos. Essa observação é relevante para o presente estudo, pois resíduos urbanos em imagens de rua podem aparecer em tamanhos reduzidos, parcialmente ocultos ou visualmente confundidos com o fundo urbano.</w:t>
      </w:r>
    </w:p>
    <w:p>
      <w:pPr>
        <w:pStyle w:val="normal1"/>
        <w:rPr>
          <w:color w:val="000000"/>
        </w:rPr>
      </w:pPr>
      <w:r>
        <w:rPr>
          <w:color w:val="000000"/>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normal1"/>
        <w:rPr>
          <w:color w:val="000000"/>
        </w:rPr>
      </w:pPr>
      <w:r>
        <w:rPr>
          <w:color w:val="000000"/>
        </w:rPr>
        <w:t>No presente TCC, o YOLOv11m deve ser tratado como a implementação especializada utilizada no experimento, e não como fundamento teórico autônomo. A base teórica, neste caso, repousa sobre a detecção de objetos, a família YOLO e a literatura sobre aplicações de visão computacional na identificação de resíduos. Essa distinção evita que uma versão específica do modelo seja apresentada como teoria, quando seu papel metodológico é funcionar como abordagem especializada a ser comparada empiricamente.</w:t>
      </w:r>
    </w:p>
    <w:p>
      <w:pPr>
        <w:pStyle w:val="normal1"/>
        <w:rPr>
          <w:color w:val="000000"/>
        </w:rPr>
      </w:pPr>
      <w:r>
        <w:rPr>
          <w:color w:val="000000"/>
        </w:rPr>
        <w:t>A avaliação de modelos de detecção envolve critérios capazes de indicar se a identificação visual é consistente e se o processamento ocorre em tempo compatível com a aplicação pretendida. Métricas como acurácia, precisão, recall, F1-score, taxa de falsos positivos, taxa de falsos negativos e tempo de inferência são úteis para interpretar o comportamento dos modelos, mas sua definição operacional deve ser apresentada na metodologia. Kaur e Singh (2023) ressaltam que a avaliação de detectores deve considerar conjuntamente métricas como precisão, recall e interseção sobre união, ao mesmo tempo em que enfrenta desafios persistentes relacionados a oclusões, variações de escala e capacidade de processamento em tempo real. No referencial teórico, sua função é demonstrar que a viabilidade de um sistema de monitoramento depende tanto da capacidade de reconhecer corretamente os resíduos quanto da eficiência computacional.</w:t>
      </w:r>
    </w:p>
    <w:p>
      <w:pPr>
        <w:pStyle w:val="normal1"/>
        <w:rPr>
          <w:color w:val="000000"/>
        </w:rPr>
      </w:pPr>
      <w:r>
        <w:rPr>
          <w:color w:val="000000"/>
        </w:rPr>
        <w:t>Portanto, a visão computacional e a detecção de objetos constituem elementos centrais para a proposta desta pesquisa. Elas explicam como imagens urbanas podem ser convertidas em dados analisáveis e por que modelos especializados, como os baseados em YOLO, são relevantes para tarefas delimitadas de identificação visual, sobretudo quando há necessidade de rapidez e localização explícita dos objetos detectados.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2.4 Detecção automatizada de resíduos urbanos</w:t>
      </w:r>
    </w:p>
    <w:p>
      <w:pPr>
        <w:pStyle w:val="normal1"/>
        <w:rPr/>
      </w:pPr>
      <w:r>
        <w:rPr/>
        <w:t>A detecção automatizada de resíduos urbanos representa uma aplicação específica da visão computacional voltada à identificação de lixo, descarte irregular ou materiais descartados em ambientes reais. Essa aplicação aproxima os avanços técnicos em deep learning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normal1"/>
        <w:rPr/>
      </w:pPr>
      <w:r>
        <w:rPr/>
        <w:t>O uso de deep learning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smartphones. Essa literatura justifica a comparação entre abordagens distintas e a avaliação simultânea de desempenho preditivo e eficiência computacional.</w:t>
      </w:r>
    </w:p>
    <w:p>
      <w:pPr>
        <w:pStyle w:val="normal1"/>
        <w:rPr/>
      </w:pPr>
      <w:r>
        <w:rPr/>
        <w:t>A disponibilidade de bases de dados anotadas é outro aspecto fundamental para a detecção automatizada de resíduos. Proença e Simões (2020) apresentaram o TACO, base aberta de imagens para detecção e segmentação de lixo em contexto real, com anotações de instâncias e taxonomia hierárquica. Sua relevância está em diferenciar a detecção de resíduos em ambientes reais de abordagens baseadas em imagens limpas, padronizadas ou com fundo controlado. Ao mesmo tempo, os autores destacam que a detecção de lixo em ambientes reais permanece desafiadora, pois os resíduos podem ser deformáveis, transparentes, envelhecidos, fragmentados ou camuflados no ambiente.</w:t>
      </w:r>
    </w:p>
    <w:p>
      <w:pPr>
        <w:pStyle w:val="normal1"/>
        <w:rPr/>
      </w:pPr>
      <w: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normal1"/>
        <w:rPr/>
      </w:pPr>
      <w: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 Esses elementos são importantes para pesquisas aplicadas à Administração Pública, pois a viabilidade operacional não depende apenas da acurácia, mas também do custo computacional.</w:t>
      </w:r>
    </w:p>
    <w:p>
      <w:pPr>
        <w:pStyle w:val="normal1"/>
        <w:rPr/>
      </w:pPr>
      <w:r>
        <w:rPr/>
        <w:t>Sob a perspectiva da gestão pública, a detecção automatizada de resíduos deve ser analisada como ferramenta de apoio à produção de informação territorial. Um modelo tecnicamente sofisticado não garante, por si só, melhoria administrativa.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w:t>
      </w:r>
    </w:p>
    <w:p>
      <w:pPr>
        <w:pStyle w:val="normal1"/>
        <w:rPr/>
      </w:pPr>
      <w:r>
        <w:rPr/>
        <w:t xml:space="preserve">Dessa forma, a literatura sobre detecção automatizada de resíduos urbanos fornece a base direta para a pesquisa proposta. Os estudos sobre deep learning aplicado à detecção de lixo, os </w:t>
      </w:r>
      <w:r>
        <w:rPr>
          <w:i/>
          <w:iCs/>
        </w:rPr>
        <w:t>datasets</w:t>
      </w:r>
      <w:r>
        <w:rPr/>
        <w:t xml:space="preserve"> anotados como o TACO, as pesquisas comparativas anteriores e as aplicações baseadas em YOLO demonstram que há um campo técnico em desenvolvimento. Ao mesmo tempo, essa literatura revela a necessidade de avaliar a viabilidade operacional dessas soluções, especialmente quando sua finalidade é apoiar decisões públicas em ambientes urbanos reais.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2.5 Modelos visão-linguagem e classificação zero-shot</w:t>
      </w:r>
    </w:p>
    <w:p>
      <w:pPr>
        <w:pStyle w:val="normal1"/>
        <w:rPr/>
      </w:pPr>
      <w:r>
        <w:rPr/>
        <w:t>Os modelos visão-linguagem, conhecidos como Vision-Language Models (VLMs), representam uma abordagem recente em inteligência artificial multimodal. Diferentemente de modelos treinados apenas com imagens ou apenas com texto, os VLMs buscam aprender relações entre elementos visuais e descrições linguísticas. Zhang et al. (2024) explicam que esse paradigma se apoia no pré-treinamento com pares imagem-texto em larga escala, permitindo que o modelo associe representações visuais a prompts textuais e realize tarefas de reconhecimento visual sem necessariamente passar por fine-tuning específico para cada tarefa.</w:t>
      </w:r>
    </w:p>
    <w:p>
      <w:pPr>
        <w:pStyle w:val="normal1"/>
        <w:rPr/>
      </w:pPr>
      <w:r>
        <w:rPr/>
        <w:t>A classificação zero-shot é uma das características centrais desse paradigma. Nessa configuração, o modelo procura reconhecer categorias ou responder a tarefas sem ter sido treinado diretamente com exemplos rotulados daquela tarefa específica. Em vez de aprender apenas a partir de classes previamente anotadas em um conjunto de treinamento, o VLM compara a imagem a descrições textuais e estima a correspondência entre o conteúdo visual e o prompt fornecido. Essa capacidade torna os VLMs atraentes para aplicações em que há escassez de dados anotados ou necessidade de adaptação rápida a novos contextos (Zhang et al., 2024).</w:t>
      </w:r>
    </w:p>
    <w:p>
      <w:pPr>
        <w:pStyle w:val="normal1"/>
        <w:rPr/>
      </w:pPr>
      <w:r>
        <w:rPr/>
        <w:t>Para o presente TCC, os VLMs são relevantes porque representam um paradigma diferente daquele utilizado por detectores especializados. Enquanto modelos baseados em YOLO são treinados para localizar objetos específicos em imagens, os VLMs tendem a oferecer maior flexibilidade interpretativa sem exigir necessariamente um conjunto de treinamento específico para cada classe. Essa flexibilidade, contudo, não significa superioridade automática. Em uma tarefa delimitada, como identificar resíduos visíveis em vias públicas, a utilidade de cada paradigma depende da consistência das respostas, da capacidade de controle da saída e das condições de uso.</w:t>
      </w:r>
    </w:p>
    <w:p>
      <w:pPr>
        <w:pStyle w:val="normal1"/>
        <w:rPr/>
      </w:pPr>
      <w:r>
        <w:rPr/>
        <w:t>A literatura recente também aponta desafios dos modelos visão-linguagem. Li et al. (2025) destacam que VLMs de grande porte enfrentam problemas relacionados à avaliação, alinhamento, segurança e alucinações visuais,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normal1"/>
        <w:rPr/>
      </w:pPr>
      <w:r>
        <w:rPr/>
        <w:t>Em tarefas de gestão urbana, a comparação entre um detector especializado e um modelo visão-linguagem generalista deve considerar não apenas a capacidade de reconhecer lixo, mas também a estabilidade das respostas, o tempo de inferência, o custo computacional, a explicabilidade operacional e o grau de controle sobre o resultado. Um VLM pode classificar uma imagem como contendo ou não contendo resíduos, mas pode não fornecer localização precisa do objeto, dependendo da arquitetura e do método de uso. Já um detector de objetos tende a indicar a posição do resíduo por meio de caixas delimitadoras, o que pode ser útil para auditoria visual, integração com mapas e validação humana.</w:t>
      </w:r>
    </w:p>
    <w:p>
      <w:pPr>
        <w:pStyle w:val="normal1"/>
        <w:rPr/>
      </w:pPr>
      <w:r>
        <w:rPr/>
        <w:t>No presente estudo, o modelo visão-linguagem utilizado na comparação empírica deve ser compreendido como abordagem generalista de interpretação visual, enquanto o YOLOv11m representa a abordagem especializada de detecção. A teoria dos VLMs justifica a inclusão desse segundo paradigma na pesquisa, mas a decisão sobre sua utilidade administrativa deve decorrer dos resultados empíricos obtidos nas imagens analisadas. Assim, o potencial dos modelos visão-linguagem para a gestão pública deve ser avaliado de forma criteriosa, especialmente quando sua saída puder subsidiar decisões de fiscalização, planejamento ou priorização de serviços urbanos.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2.6 Articulação teórica da pesquisa</w:t>
      </w:r>
    </w:p>
    <w:p>
      <w:pPr>
        <w:pStyle w:val="normal1"/>
        <w:rPr>
          <w:color w:val="000000"/>
        </w:rPr>
      </w:pPr>
      <w:r>
        <w:rPr>
          <w:color w:val="000000"/>
        </w:rPr>
        <w:t>O referencial teórico deste TCC articula três eixos principais: a gestão pública de resíduos sólidos urbanos, a aplicação de inteligência artificial na administração pública e o uso de visão computacional para detecção automatizada de resíduos. O primeiro eixo demonstra que os resíduos urbanos constituem problema ambiental, sanitário, financeiro e administrativo, especialmente em contextos municipais. A PNRS, a literatura sobre desafios dos RSU no Brasil e os estudos sobre custos da limpeza urbana indicam que o poder público necessita de instrumentos de planejamento, diagnóstico e monitoramento para responder ao descarte irregular e à pressão sobre os serviços urbanos.</w:t>
      </w:r>
    </w:p>
    <w:p>
      <w:pPr>
        <w:pStyle w:val="normal1"/>
        <w:rPr>
          <w:color w:val="000000"/>
        </w:rPr>
      </w:pPr>
      <w:r>
        <w:rPr>
          <w:color w:val="000000"/>
        </w:rPr>
        <w:t>O segundo eixo mostra que a inteligência artificial pode apoiar a administração pública ao ampliar a capacidade de processar dados, identificar padrões e subsidiar decisões. Contudo, a literatura sobre IA no setor público indica que benefícios como eficiência, efetividade e apoio à decisão devem ser avaliados juntamente com riscos, limitações, responsabilidade, transparência e valores públicos (Zuiderwijk; Chen; Salem, 2021). Dessa forma, a tecnologia não é tratada como solução automática para o problema dos resíduos, mas como instrumento que precisa ser testado, validado e interpretado dentro de uma finalidade pública.</w:t>
      </w:r>
    </w:p>
    <w:p>
      <w:pPr>
        <w:pStyle w:val="normal1"/>
        <w:rPr>
          <w:color w:val="000000"/>
        </w:rPr>
      </w:pPr>
      <w:r>
        <w:rPr>
          <w:color w:val="000000"/>
        </w:rPr>
        <w:t>O terceiro eixo apresenta a visão computacional, a detecção de objetos e os modelos visão-linguagem como bases técnicas da pesquisa. A detecção de objetos permite localizar resíduos em imagens, enquanto os modelos visão-linguagem oferecem alternativa generalista baseada em relações entre imagem e texto (Liu et al., 2020; Radford et al., 2021). A literatura sobre YOLO, TACO, estudos comparativos de detecção de lixo e VLMs demonstra que há avanços relevantes, mas também desafios relacionados a objetos pequenos, fundos complexos, variação de iluminação, falsos positivos, falsos negativos, alucinações e custo computacional.</w:t>
      </w:r>
    </w:p>
    <w:p>
      <w:pPr>
        <w:pStyle w:val="normal1"/>
        <w:rPr>
          <w:color w:val="000000"/>
        </w:rPr>
      </w:pPr>
      <w:r>
        <w:rPr>
          <w:color w:val="000000"/>
        </w:rPr>
        <w:t>A partir dessa base, a comparação entre YOLOv11m e Gemma 3 27B-IT torna-se teoricamente justificável por colocar em diálogo dois paradigmas distintos de inteligência artificial aplicada à interpretação de imagens. O primeiro se vincula à tradição de detectores especializados de objetos; o segundo se aproxima da abordagem generalista dos modelos visão-linguagem. O referencial teórico não antecipa qual deles apresenta maior viabilidade, mas delimita os critérios conceituais que permitem interpretar a comparação empírica a ser desenvolvida nos capítulos posteriores.</w:t>
      </w:r>
    </w:p>
    <w:p>
      <w:pPr>
        <w:pStyle w:val="normal1"/>
        <w:rPr>
          <w:color w:val="000000"/>
        </w:rPr>
      </w:pPr>
      <w:r>
        <w:rPr>
          <w:color w:val="000000"/>
        </w:rPr>
        <w:t>Assim, o presente TCC se insere em uma lacuna aplicada: avaliar se tecnologias de inteligência artificial podem produzir informação útil para a gestão pública municipal de resíduos urbanos. A contribuição esperada não consiste apenas em testar modelos computacionais, mas em discutir sua adequação como instrumentos de apoio à tomada de decisão, considerando desempenho preditivo, eficiência computacional e responsabilidade no uso público da tecnologia.</w:t>
      </w:r>
    </w:p>
    <w:p>
      <w:pPr>
        <w:pStyle w:val="normal1"/>
        <w:rPr>
          <w:color w:val="000000"/>
        </w:rPr>
      </w:pPr>
      <w:r>
        <w:rPr>
          <w:color w:val="000000"/>
        </w:rPr>
      </w:r>
      <w:r>
        <w:br w:type="page"/>
      </w:r>
    </w:p>
    <w:p>
      <w:pPr>
        <w:pStyle w:val="Heading1"/>
        <w:numPr>
          <w:ilvl w:val="0"/>
          <w:numId w:val="1"/>
        </w:numPr>
        <w:spacing w:before="0" w:after="240"/>
        <w:ind w:hanging="0" w:left="0"/>
        <w:rPr>
          <w:color w:val="000000"/>
        </w:rPr>
      </w:pPr>
      <w:r>
        <w:rPr>
          <w:color w:val="000000"/>
        </w:rPr>
        <w:t>3 METODOLOGIA</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3.1 Classificação da pesquisa</w:t>
      </w:r>
    </w:p>
    <w:p>
      <w:pPr>
        <w:pStyle w:val="normal1"/>
        <w:rPr>
          <w:color w:val="000000"/>
        </w:rPr>
      </w:pPr>
      <w:r>
        <w:rPr>
          <w:color w:val="000000"/>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além de elementos complementares necessários à reprodutibilidade do estudo, como unidade de análise, fontes de dados, instrumentos de coleta, métricas e etapas de execução.</w:t>
      </w:r>
    </w:p>
    <w:p>
      <w:pPr>
        <w:pStyle w:val="normal1"/>
        <w:rPr>
          <w:color w:val="000000"/>
        </w:rPr>
      </w:pPr>
      <w:r>
        <w:rPr>
          <w:color w:val="000000"/>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Neste TCC,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normal1"/>
        <w:rPr>
          <w:color w:val="000000"/>
        </w:rPr>
      </w:pPr>
      <w:r>
        <w:rPr>
          <w:color w:val="000000"/>
        </w:rPr>
        <w:t>Quanto aos objetivos, a pesquisa assumiu caráter descritivo e exploratório.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normal1"/>
        <w:rPr>
          <w:color w:val="000000"/>
        </w:rPr>
      </w:pPr>
      <w:r>
        <w:rPr>
          <w:color w:val="000000"/>
        </w:rPr>
        <w:t>A pesquisa também foi exploratória, pois examinou uma possibilidade tecnológica ainda em consolidação no contexto da gestão pública urbana: o uso de inteligência artificial para apoiar o monitoramento de resíduos em vias públicas.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normal1"/>
        <w:rPr>
          <w:color w:val="000000"/>
        </w:rPr>
      </w:pPr>
      <w:r>
        <w:rPr>
          <w:color w:val="000000"/>
        </w:rPr>
        <w:t>Quanto à abordagem, tratou-se de pesquisa quantitativa, pois os resultados foram analisados por meio de métricas numéricas, como acurácia, precisão, recall, especificidade, F1-score, taxa de falsos positivos, matriz de confusão, tempo de inferência e throughput. A abordagem quantitativa foi compatível com a proposta do estudo, uma vez que a comparação entre os modelos dependeu da mensuração objetiva de desempenho preditivo e eficiência computacional.</w:t>
      </w:r>
    </w:p>
    <w:p>
      <w:pPr>
        <w:pStyle w:val="normal1"/>
        <w:rPr>
          <w:color w:val="000000"/>
        </w:rPr>
      </w:pPr>
      <w:r>
        <w:rPr>
          <w:color w:val="000000"/>
        </w:rPr>
        <w:t>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zero-shot, especialmente quanto ao tempo de inferência e ao controle de falsos positivos.</w:t>
      </w:r>
    </w:p>
    <w:p>
      <w:pPr>
        <w:pStyle w:val="normal1"/>
        <w:rPr>
          <w:color w:val="000000"/>
        </w:rPr>
      </w:pPr>
      <w:r>
        <w:rPr>
          <w:color w:val="000000"/>
        </w:rPr>
        <w:t>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datasets e documentos relacionados ao uso das imagens. O procedimento experimental-computacional consistiu na preparação das bases, no treinamento do YOLOv11m, na inferência com o Gemma 3 27B-IT e na comparação dos resultados obtidos.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3.2 Objeto de estudo e unidade de análise</w:t>
      </w:r>
    </w:p>
    <w:p>
      <w:pPr>
        <w:pStyle w:val="normal1"/>
        <w:rPr>
          <w:color w:val="000000"/>
        </w:rPr>
      </w:pPr>
      <w:r>
        <w:rPr>
          <w:color w:val="000000"/>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normal1"/>
        <w:rPr>
          <w:color w:val="000000"/>
        </w:rPr>
      </w:pPr>
      <w:r>
        <w:rPr>
          <w:color w:val="000000"/>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normal1"/>
        <w:rPr>
          <w:color w:val="000000"/>
        </w:rPr>
      </w:pPr>
      <w:r>
        <w:rPr>
          <w:color w:val="000000"/>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3.3 Modelos comparados</w:t>
      </w:r>
    </w:p>
    <w:p>
      <w:pPr>
        <w:pStyle w:val="normal1"/>
        <w:rPr>
          <w:color w:val="000000"/>
        </w:rPr>
      </w:pPr>
      <w:r>
        <w:rPr>
          <w:color w:val="000000"/>
        </w:rPr>
        <w:t>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zero-shot (Radford et al., 2021).</w:t>
      </w:r>
    </w:p>
    <w:p>
      <w:pPr>
        <w:pStyle w:val="normal1"/>
        <w:spacing w:lineRule="auto" w:line="360" w:before="0" w:after="0"/>
        <w:ind w:firstLine="709"/>
        <w:jc w:val="both"/>
        <w:rPr>
          <w:color w:val="000000"/>
        </w:rPr>
      </w:pPr>
      <w:r>
        <w:rPr>
          <w:rFonts w:eastAsia="Times New Roman" w:cs="Times New Roman"/>
          <w:color w:val="000000"/>
          <w:sz w:val="24"/>
          <w:szCs w:val="24"/>
        </w:rPr>
        <w:t>O primeiro modelo foi o YOLOv11m, utilizado como detector especializado. Esse modelo foi treinado por fine-tuning para reconhecer a classe única “lixo”. Ele representou uma abordagem especializada de detecção de objetos, na qual o modelo foi ajustado para uma tarefa específica a partir de imagens anotadas.</w:t>
      </w:r>
    </w:p>
    <w:p>
      <w:pPr>
        <w:pStyle w:val="normal1"/>
        <w:spacing w:lineRule="auto" w:line="360" w:before="0" w:after="0"/>
        <w:ind w:firstLine="709"/>
        <w:jc w:val="both"/>
        <w:rPr>
          <w:color w:val="000000"/>
        </w:rPr>
      </w:pPr>
      <w:r>
        <w:rPr>
          <w:rFonts w:eastAsia="Times New Roman" w:cs="Times New Roman"/>
          <w:color w:val="000000"/>
          <w:sz w:val="24"/>
          <w:szCs w:val="24"/>
        </w:rPr>
        <w:t>O segundo modelo foi o Gemma 3 27B-IT, utilizado como modelo visão-linguagem generalista em modo zero-shot. Nesse caso, o modelo não foi treinado especificamente com as imagens do projeto, sendo avaliado a partir de sua capacidade geral de interpretação visual e de resposta à tarefa proposta.</w:t>
      </w:r>
    </w:p>
    <w:p>
      <w:pPr>
        <w:pStyle w:val="normal1"/>
        <w:rPr>
          <w:color w:val="000000"/>
        </w:rPr>
      </w:pPr>
      <w:r>
        <w:rPr>
          <w:color w:val="000000"/>
        </w:rPr>
        <w:t>Essa comparação foi metodologicamente relevante porque confrontou duas formas distintas de aplicação da IA: uma abordagem especializada, baseada em treinamento direcionado, e uma abordagem generalista, baseada em interpretação multimodal sem ajuste específico ao domínio estudado. A abordagem zero-shot dispensa exemplos rotulados da tarefa-alvo, comparando a imagem a descrições textuais para estimar a correspondência com o prompt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normal1"/>
        <w:rPr>
          <w:color w:val="000000"/>
        </w:rPr>
      </w:pPr>
      <w:r>
        <w:rPr>
          <w:color w:val="000000"/>
        </w:rPr>
        <w:t>A comparação entre os modelos foi assimétrica por desenho metodológico: o YOLOv11m foi ajustado por fine-tuning com dados rotulados da tarefa, enquanto o Gemma 3 27B-IT foi utilizado em modo zero-shot. Essa assimetria não invalidou o estudo, pois representa alternativas reais de adoção tecnológica, no caso, treinar um detector especializado ou utilizar um modelo generalista sem treinamento adicional, mas impede interpretar os resultados como superioridade arquitetural geral de um modelo sobre o outro.</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3.4 Fontes de imagens e bases de dados utilizadas</w:t>
      </w:r>
    </w:p>
    <w:p>
      <w:pPr>
        <w:pStyle w:val="normal1"/>
        <w:rPr/>
      </w:pPr>
      <w: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normal1"/>
        <w:rPr/>
      </w:pPr>
      <w:r>
        <w:rPr/>
        <w:t>A base TACO (Trash Annotations in Context) foi utilizada como uma das principais fontes de imagens positivas de resíduos, por se tratar de dataset aberto construído especificamente para detecção e segmentação de lixo em contexto real. Como o dataset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normal1"/>
        <w:rPr>
          <w:color w:val="000000"/>
        </w:rPr>
      </w:pPr>
      <w:r>
        <w:rPr>
          <w:color w:val="000000"/>
        </w:rPr>
        <w:t>Além do TACO, foi utilizado o dataset Trash Detection, disponibilizado no Roboflow Universe pelo perfil Trash Dataset for Oriented Bounded Box. Esse conjunto foi selecionado como base complementar de imagens positivas em razão da diversidade visual, do volume de imagens e da variedade de classes originalmente disponibilizadas. Conforme as informações do repositório consultado, o dataset-base informa 2.783 imagens e 64 classes. No experimento executado, a exportação dessa base foi submetida à deduplicação perceptual e resultou em 5.322 imagens positivas utilizadas. Para fins metodológicos, distingue-se, portanto, o tamanho informado no repositório-base e o volume efetivamente processado no experimento (Trash Dataset for Oriented Bounded Box, 2026).</w:t>
      </w:r>
    </w:p>
    <w:p>
      <w:pPr>
        <w:pStyle w:val="normal1"/>
        <w:rPr/>
      </w:pPr>
      <w:r>
        <w:rPr/>
        <w:t>Também foi utilizado o dataset Sidewalk Segmentation, disponibilizado no Roboflow Universe pelo perfil Sidewalk. Esse conjunto foi empregado como fonte de imagens negativas, isto é, imagens urbanas sem resíduos anotados. No experimento executado, essa fonte contribuiu com 1.203 imagens de background. A inclusão de imagens negativas teve a função de expor o modelo a cenários urbanos sem lixo visível, reduzindo a tendência de classificar qualquer elemento urbano como resíduo e contribuindo para o controle de falsos positivos (Sidewalk, 2022).</w:t>
      </w:r>
    </w:p>
    <w:p>
      <w:pPr>
        <w:pStyle w:val="normal1"/>
        <w:rPr/>
      </w:pPr>
      <w: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normal1"/>
        <w:rPr/>
      </w:pPr>
      <w:r>
        <w:rPr/>
        <w:t xml:space="preserve">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w:t>
      </w:r>
      <w:r>
        <w:rPr>
          <w:color w:val="000000"/>
        </w:rPr>
        <w:t>(Google, [s.d.]).</w:t>
      </w:r>
      <w:r>
        <w:rPr/>
        <w:t xml:space="preserve"> Essa característica contribuiu para reduzir o risco de exposição de dados pessoais, embora não tenha substituído a revisão visual manual.</w:t>
      </w:r>
    </w:p>
    <w:p>
      <w:pPr>
        <w:pStyle w:val="normal1"/>
        <w:rPr/>
      </w:pPr>
      <w: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normal1"/>
        <w:rPr/>
      </w:pPr>
      <w: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before="0" w:after="0"/>
        <w:ind w:hanging="0"/>
        <w:jc w:val="center"/>
        <w:rPr>
          <w:color w:val="000000"/>
        </w:rPr>
      </w:pPr>
      <w:r>
        <w:rPr>
          <w:rFonts w:eastAsia="Times New Roman" w:cs="Times New Roman"/>
          <w:color w:val="000000"/>
          <w:sz w:val="20"/>
          <w:szCs w:val="20"/>
        </w:rPr>
        <w:t>Tabela 1 – Fontes de dados utilizadas no experimento</w:t>
      </w:r>
    </w:p>
    <w:tbl>
      <w:tblPr>
        <w:tblStyle w:val="Table2"/>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199"/>
        <w:gridCol w:w="3001"/>
        <w:gridCol w:w="3872"/>
      </w:tblGrid>
      <w:tr>
        <w:trPr>
          <w:tblHeader w:val="true"/>
        </w:trPr>
        <w:tc>
          <w:tcPr>
            <w:tcW w:w="2199" w:type="dxa"/>
            <w:tcBorders/>
            <w:vAlign w:val="center"/>
          </w:tcPr>
          <w:p>
            <w:pPr>
              <w:pStyle w:val="normal1"/>
              <w:spacing w:lineRule="auto" w:line="240" w:before="0" w:after="0"/>
              <w:ind w:hanging="0" w:left="0"/>
              <w:jc w:val="left"/>
              <w:rPr>
                <w:color w:val="000000"/>
              </w:rPr>
            </w:pPr>
            <w:r>
              <w:rPr>
                <w:b/>
                <w:bCs/>
                <w:color w:val="000000"/>
                <w:sz w:val="20"/>
                <w:szCs w:val="20"/>
              </w:rPr>
              <w:t>Fonte/base</w:t>
            </w:r>
          </w:p>
        </w:tc>
        <w:tc>
          <w:tcPr>
            <w:tcW w:w="3001" w:type="dxa"/>
            <w:tcBorders/>
            <w:vAlign w:val="center"/>
          </w:tcPr>
          <w:p>
            <w:pPr>
              <w:pStyle w:val="normal1"/>
              <w:spacing w:lineRule="auto" w:line="240" w:before="0" w:after="0"/>
              <w:ind w:hanging="0" w:left="0"/>
              <w:jc w:val="center"/>
              <w:rPr>
                <w:color w:val="000000"/>
              </w:rPr>
            </w:pPr>
            <w:r>
              <w:rPr>
                <w:b/>
                <w:bCs/>
                <w:color w:val="000000"/>
                <w:sz w:val="20"/>
                <w:szCs w:val="20"/>
              </w:rPr>
              <w:t>Função no experimento</w:t>
            </w:r>
          </w:p>
        </w:tc>
        <w:tc>
          <w:tcPr>
            <w:tcW w:w="3872" w:type="dxa"/>
            <w:tcBorders/>
            <w:vAlign w:val="center"/>
          </w:tcPr>
          <w:p>
            <w:pPr>
              <w:pStyle w:val="normal1"/>
              <w:spacing w:lineRule="auto" w:line="240" w:before="0" w:after="0"/>
              <w:ind w:hanging="0" w:left="0"/>
              <w:jc w:val="center"/>
              <w:rPr>
                <w:color w:val="000000"/>
              </w:rPr>
            </w:pPr>
            <w:r>
              <w:rPr>
                <w:b/>
                <w:bCs/>
                <w:color w:val="000000"/>
                <w:sz w:val="20"/>
                <w:szCs w:val="20"/>
              </w:rPr>
              <w:t>Volume utilizado</w:t>
            </w:r>
          </w:p>
        </w:tc>
      </w:tr>
      <w:tr>
        <w:trPr/>
        <w:tc>
          <w:tcPr>
            <w:tcW w:w="2199" w:type="dxa"/>
            <w:tcBorders/>
            <w:vAlign w:val="center"/>
          </w:tcPr>
          <w:p>
            <w:pPr>
              <w:pStyle w:val="normal1"/>
              <w:spacing w:lineRule="auto" w:line="240" w:before="0" w:after="0"/>
              <w:ind w:hanging="0" w:left="0"/>
              <w:jc w:val="left"/>
              <w:rPr>
                <w:color w:val="000000"/>
              </w:rPr>
            </w:pPr>
            <w:r>
              <w:rPr>
                <w:color w:val="000000"/>
                <w:sz w:val="20"/>
                <w:szCs w:val="20"/>
              </w:rPr>
              <w:t>TACO</w:t>
            </w:r>
          </w:p>
        </w:tc>
        <w:tc>
          <w:tcPr>
            <w:tcW w:w="3001" w:type="dxa"/>
            <w:tcBorders/>
            <w:vAlign w:val="center"/>
          </w:tcPr>
          <w:p>
            <w:pPr>
              <w:pStyle w:val="normal1"/>
              <w:spacing w:lineRule="auto" w:line="240" w:before="0" w:after="0"/>
              <w:ind w:hanging="0" w:left="0"/>
              <w:jc w:val="center"/>
              <w:rPr>
                <w:color w:val="000000"/>
                <w:sz w:val="20"/>
                <w:szCs w:val="20"/>
              </w:rPr>
            </w:pPr>
            <w:r>
              <w:rPr>
                <w:color w:val="000000"/>
                <w:sz w:val="20"/>
                <w:szCs w:val="20"/>
              </w:rPr>
              <w:t>Imagens positivas de</w:t>
            </w:r>
          </w:p>
          <w:p>
            <w:pPr>
              <w:pStyle w:val="normal1"/>
              <w:spacing w:lineRule="auto" w:line="240" w:before="0" w:after="0"/>
              <w:ind w:hanging="0" w:left="0"/>
              <w:jc w:val="center"/>
              <w:rPr>
                <w:color w:val="000000"/>
              </w:rPr>
            </w:pPr>
            <w:r>
              <w:rPr>
                <w:color w:val="000000"/>
                <w:sz w:val="20"/>
                <w:szCs w:val="20"/>
              </w:rPr>
              <w:t>resíduos para treino</w:t>
            </w:r>
          </w:p>
        </w:tc>
        <w:tc>
          <w:tcPr>
            <w:tcW w:w="3872" w:type="dxa"/>
            <w:tcBorders/>
            <w:vAlign w:val="center"/>
          </w:tcPr>
          <w:p>
            <w:pPr>
              <w:pStyle w:val="normal1"/>
              <w:spacing w:lineRule="auto" w:line="240" w:before="0" w:after="0"/>
              <w:ind w:hanging="0" w:left="0"/>
              <w:rPr>
                <w:color w:val="000000"/>
              </w:rPr>
            </w:pPr>
            <w:r>
              <w:rPr>
                <w:color w:val="000000"/>
              </w:rPr>
              <w:t>1.497 imagens positivas utilizadas após deduplicação e seleção</w:t>
            </w:r>
          </w:p>
        </w:tc>
      </w:tr>
      <w:tr>
        <w:trPr/>
        <w:tc>
          <w:tcPr>
            <w:tcW w:w="2199" w:type="dxa"/>
            <w:tcBorders/>
            <w:vAlign w:val="center"/>
          </w:tcPr>
          <w:p>
            <w:pPr>
              <w:pStyle w:val="normal1"/>
              <w:spacing w:lineRule="auto" w:line="240" w:before="0" w:after="0"/>
              <w:ind w:hanging="0" w:left="0"/>
              <w:jc w:val="left"/>
              <w:rPr>
                <w:color w:val="000000"/>
              </w:rPr>
            </w:pPr>
            <w:r>
              <w:rPr>
                <w:color w:val="000000"/>
                <w:sz w:val="20"/>
                <w:szCs w:val="20"/>
              </w:rPr>
              <w:t>Trash Detection</w:t>
            </w:r>
          </w:p>
        </w:tc>
        <w:tc>
          <w:tcPr>
            <w:tcW w:w="3001" w:type="dxa"/>
            <w:tcBorders/>
            <w:vAlign w:val="center"/>
          </w:tcPr>
          <w:p>
            <w:pPr>
              <w:pStyle w:val="normal1"/>
              <w:spacing w:lineRule="auto" w:line="240" w:before="0" w:after="0"/>
              <w:ind w:hanging="0" w:left="0"/>
              <w:jc w:val="center"/>
              <w:rPr>
                <w:color w:val="000000"/>
                <w:sz w:val="20"/>
                <w:szCs w:val="20"/>
              </w:rPr>
            </w:pPr>
            <w:r>
              <w:rPr>
                <w:color w:val="000000"/>
                <w:sz w:val="20"/>
                <w:szCs w:val="20"/>
              </w:rPr>
              <w:t>Imagens positivas</w:t>
            </w:r>
          </w:p>
          <w:p>
            <w:pPr>
              <w:pStyle w:val="normal1"/>
              <w:spacing w:lineRule="auto" w:line="240" w:before="0" w:after="0"/>
              <w:ind w:hanging="0" w:left="0"/>
              <w:jc w:val="center"/>
              <w:rPr>
                <w:color w:val="000000"/>
              </w:rPr>
            </w:pPr>
            <w:r>
              <w:rPr>
                <w:color w:val="000000"/>
                <w:sz w:val="20"/>
                <w:szCs w:val="20"/>
              </w:rPr>
              <w:t>complementares para treino</w:t>
            </w:r>
          </w:p>
        </w:tc>
        <w:tc>
          <w:tcPr>
            <w:tcW w:w="3872" w:type="dxa"/>
            <w:tcBorders/>
            <w:vAlign w:val="center"/>
          </w:tcPr>
          <w:p>
            <w:pPr>
              <w:pStyle w:val="normal1"/>
              <w:spacing w:lineRule="auto" w:line="240" w:before="0" w:after="0"/>
              <w:ind w:hanging="0" w:left="0"/>
              <w:rPr>
                <w:color w:val="000000"/>
              </w:rPr>
            </w:pPr>
            <w:r>
              <w:rPr>
                <w:color w:val="000000"/>
              </w:rPr>
              <w:t>5.322 imagens positivas utilizadas após deduplicação perceptual; dataset-base informa 2.783 imagens e 64 classes</w:t>
            </w:r>
          </w:p>
        </w:tc>
      </w:tr>
      <w:tr>
        <w:trPr/>
        <w:tc>
          <w:tcPr>
            <w:tcW w:w="2199" w:type="dxa"/>
            <w:tcBorders/>
            <w:vAlign w:val="center"/>
          </w:tcPr>
          <w:p>
            <w:pPr>
              <w:pStyle w:val="normal1"/>
              <w:spacing w:lineRule="auto" w:line="240" w:before="0" w:after="0"/>
              <w:ind w:hanging="0" w:left="0"/>
              <w:jc w:val="left"/>
              <w:rPr>
                <w:color w:val="000000"/>
              </w:rPr>
            </w:pPr>
            <w:r>
              <w:rPr>
                <w:color w:val="000000"/>
                <w:sz w:val="20"/>
                <w:szCs w:val="20"/>
              </w:rPr>
              <w:t>Sidewalk Segmentation</w:t>
            </w:r>
          </w:p>
        </w:tc>
        <w:tc>
          <w:tcPr>
            <w:tcW w:w="3001" w:type="dxa"/>
            <w:tcBorders/>
            <w:vAlign w:val="center"/>
          </w:tcPr>
          <w:p>
            <w:pPr>
              <w:pStyle w:val="normal1"/>
              <w:spacing w:lineRule="auto" w:line="240" w:before="0" w:after="0"/>
              <w:ind w:hanging="0" w:left="0"/>
              <w:jc w:val="center"/>
              <w:rPr>
                <w:color w:val="000000"/>
                <w:sz w:val="20"/>
                <w:szCs w:val="20"/>
              </w:rPr>
            </w:pPr>
            <w:r>
              <w:rPr>
                <w:color w:val="000000"/>
                <w:sz w:val="20"/>
                <w:szCs w:val="20"/>
              </w:rPr>
              <w:t>Imagens</w:t>
            </w:r>
          </w:p>
          <w:p>
            <w:pPr>
              <w:pStyle w:val="normal1"/>
              <w:spacing w:lineRule="auto" w:line="240" w:before="0" w:after="0"/>
              <w:ind w:hanging="0" w:left="0"/>
              <w:jc w:val="center"/>
              <w:rPr>
                <w:color w:val="000000"/>
              </w:rPr>
            </w:pPr>
            <w:r>
              <w:rPr>
                <w:color w:val="000000"/>
                <w:sz w:val="20"/>
                <w:szCs w:val="20"/>
              </w:rPr>
              <w:t>negativas/background</w:t>
            </w:r>
          </w:p>
        </w:tc>
        <w:tc>
          <w:tcPr>
            <w:tcW w:w="3872" w:type="dxa"/>
            <w:tcBorders/>
            <w:vAlign w:val="center"/>
          </w:tcPr>
          <w:p>
            <w:pPr>
              <w:pStyle w:val="normal1"/>
              <w:spacing w:lineRule="auto" w:line="240" w:before="0" w:after="0"/>
              <w:ind w:hanging="0" w:left="0"/>
              <w:rPr>
                <w:color w:val="000000"/>
              </w:rPr>
            </w:pPr>
            <w:r>
              <w:rPr>
                <w:color w:val="000000"/>
              </w:rPr>
              <w:t>1.203 imagens de background</w:t>
            </w:r>
          </w:p>
        </w:tc>
      </w:tr>
      <w:tr>
        <w:trPr/>
        <w:tc>
          <w:tcPr>
            <w:tcW w:w="2199" w:type="dxa"/>
            <w:tcBorders/>
            <w:vAlign w:val="center"/>
          </w:tcPr>
          <w:p>
            <w:pPr>
              <w:pStyle w:val="normal1"/>
              <w:spacing w:lineRule="auto" w:line="240" w:before="0" w:after="0"/>
              <w:ind w:hanging="0" w:left="0"/>
              <w:jc w:val="left"/>
              <w:rPr>
                <w:color w:val="000000"/>
              </w:rPr>
            </w:pPr>
            <w:r>
              <w:rPr>
                <w:color w:val="000000"/>
                <w:sz w:val="20"/>
                <w:szCs w:val="20"/>
              </w:rPr>
              <w:t>Conjunto de teste brasileiro</w:t>
            </w:r>
          </w:p>
        </w:tc>
        <w:tc>
          <w:tcPr>
            <w:tcW w:w="3001" w:type="dxa"/>
            <w:tcBorders/>
            <w:vAlign w:val="center"/>
          </w:tcPr>
          <w:p>
            <w:pPr>
              <w:pStyle w:val="normal1"/>
              <w:spacing w:lineRule="auto" w:line="240" w:before="0" w:after="0"/>
              <w:ind w:hanging="0" w:left="0"/>
              <w:jc w:val="center"/>
              <w:rPr>
                <w:color w:val="000000"/>
              </w:rPr>
            </w:pPr>
            <w:r>
              <w:rPr>
                <w:color w:val="000000"/>
                <w:sz w:val="20"/>
                <w:szCs w:val="20"/>
              </w:rPr>
              <w:t>Avaliação final dos modelos</w:t>
            </w:r>
          </w:p>
        </w:tc>
        <w:tc>
          <w:tcPr>
            <w:tcW w:w="3872" w:type="dxa"/>
            <w:tcBorders/>
            <w:vAlign w:val="center"/>
          </w:tcPr>
          <w:p>
            <w:pPr>
              <w:pStyle w:val="normal1"/>
              <w:spacing w:lineRule="auto" w:line="240" w:before="0" w:after="0"/>
              <w:ind w:hanging="0" w:left="0"/>
              <w:jc w:val="center"/>
              <w:rPr>
                <w:color w:val="000000"/>
              </w:rPr>
            </w:pPr>
            <w:r>
              <w:rPr>
                <w:color w:val="000000"/>
                <w:sz w:val="20"/>
                <w:szCs w:val="20"/>
              </w:rPr>
              <w:t>560 imagens: 280 positivas e 280 negativas</w:t>
            </w:r>
          </w:p>
        </w:tc>
      </w:tr>
    </w:tbl>
    <w:p>
      <w:pPr>
        <w:pStyle w:val="normal1"/>
        <w:spacing w:lineRule="auto" w:line="240" w:before="0" w:after="0"/>
        <w:ind w:hanging="0"/>
        <w:jc w:val="left"/>
        <w:rPr/>
      </w:pPr>
      <w:r>
        <w:rPr>
          <w:rFonts w:eastAsia="Times New Roman" w:cs="Times New Roman"/>
          <w:sz w:val="20"/>
          <w:szCs w:val="20"/>
        </w:rPr>
        <w:t>Fonte: elaborado pelo autor com base no experimento (2026).</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3.5 Critérios éticos, privacidade e uso das imagens</w:t>
      </w:r>
    </w:p>
    <w:p>
      <w:pPr>
        <w:pStyle w:val="normal1"/>
        <w:rPr/>
      </w:pPr>
      <w: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normal1"/>
        <w:rPr>
          <w:color w:val="000000"/>
        </w:rPr>
      </w:pPr>
      <w:r>
        <w:rPr>
          <w:color w:val="000000"/>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normal1"/>
        <w:rPr/>
      </w:pPr>
      <w: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3.6 Preparação e padronização dos dados</w:t>
      </w:r>
    </w:p>
    <w:p>
      <w:pPr>
        <w:pStyle w:val="normal1"/>
        <w:rPr>
          <w:color w:val="000000"/>
        </w:rPr>
      </w:pPr>
      <w:r>
        <w:rPr>
          <w:color w:val="000000"/>
        </w:rPr>
        <w:t>A preparação dos dados compreendeu a unificação das bases, a padronização das classes, a deduplicação e a separação entre treino, validação e teste.</w:t>
      </w:r>
    </w:p>
    <w:p>
      <w:pPr>
        <w:pStyle w:val="normal1"/>
        <w:rPr>
          <w:color w:val="000000"/>
        </w:rPr>
      </w:pPr>
      <w:r>
        <w:rPr>
          <w:color w:val="000000"/>
        </w:rPr>
        <w:t>As imagens provenientes dos datasets TACO e Trash Detection foram utilizadas como fontes positivas, após padronização das anotações para a classe única “lixo”. As diferentes categorias originais dos datasets foram agregadas em uma única classe, pois o objetivo da pesquisa não foi classificar tipos específicos de resíduos, mas verificar a presença ou ausência de lixo visível em imagens urbanas.</w:t>
      </w:r>
    </w:p>
    <w:p>
      <w:pPr>
        <w:pStyle w:val="normal1"/>
        <w:rPr>
          <w:color w:val="000000"/>
        </w:rPr>
      </w:pPr>
      <w:r>
        <w:rPr>
          <w:color w:val="000000"/>
        </w:rPr>
        <w:t>As imagens do Sidewalk Segmentation foram utilizadas como exemplos negativos ou de background.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normal1"/>
        <w:rPr>
          <w:color w:val="000000"/>
        </w:rPr>
      </w:pPr>
      <w:r>
        <w:rPr>
          <w:color w:val="000000"/>
        </w:rPr>
        <w:t>A proporção de imagens negativas no conjunto de treinamento foi ajustada para aproximadamente 15%, dentro de uma faixa-alvo de 10% a 20% utilizada como referência interna para exemplos de background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background, o que corresponde a aproximadamente 15,6% de imagens negativas.</w:t>
      </w:r>
    </w:p>
    <w:p>
      <w:pPr>
        <w:pStyle w:val="normal1"/>
        <w:rPr>
          <w:color w:val="000000"/>
        </w:rPr>
      </w:pPr>
      <w:r>
        <w:rPr>
          <w:color w:val="000000"/>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normal1"/>
        <w:rPr>
          <w:color w:val="000000"/>
        </w:rPr>
      </w:pPr>
      <w:r>
        <w:rPr>
          <w:color w:val="000000"/>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normal1"/>
        <w:rPr>
          <w:color w:val="000000"/>
        </w:rPr>
      </w:pPr>
      <w:r>
        <w:rPr>
          <w:color w:val="000000"/>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normal1"/>
        <w:rPr>
          <w:color w:val="000000"/>
        </w:rPr>
      </w:pPr>
      <w:r>
        <w:rPr>
          <w:color w:val="000000"/>
        </w:rPr>
        <w:t>O conjunto de treino e validação foi estruturado com divisão interna de aproximadamente 85% para treino e 15% para validação, resultando em 6.736 imagens no treinamento e 1.286 imagens na validação. O conjunto de validação incluiu 185 imagens de background, aproximadamente 14,4% da validação, permitindo que as métricas de validação refletissem também a ocorrência de falsos positivos.</w:t>
      </w:r>
    </w:p>
    <w:p>
      <w:pPr>
        <w:pStyle w:val="normal1"/>
        <w:rPr>
          <w:color w:val="000000"/>
        </w:rPr>
      </w:pPr>
      <w:r>
        <w:rPr>
          <w:color w:val="000000"/>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before="0" w:after="0"/>
        <w:ind w:hanging="0"/>
        <w:jc w:val="center"/>
        <w:rPr>
          <w:color w:val="000000"/>
        </w:rPr>
      </w:pPr>
      <w:r>
        <w:rPr>
          <w:rFonts w:eastAsia="Times New Roman" w:cs="Times New Roman"/>
          <w:color w:val="000000"/>
          <w:sz w:val="20"/>
          <w:szCs w:val="20"/>
        </w:rPr>
        <w:t>Tabela 2 – Composição final dos conjuntos após preparação dos dados</w:t>
      </w:r>
    </w:p>
    <w:tbl>
      <w:tblPr>
        <w:tblStyle w:val="Table3"/>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50"/>
        <w:gridCol w:w="1450"/>
        <w:gridCol w:w="1448"/>
        <w:gridCol w:w="1701"/>
        <w:gridCol w:w="2923"/>
      </w:tblGrid>
      <w:tr>
        <w:trPr>
          <w:tblHeader w:val="true"/>
        </w:trPr>
        <w:tc>
          <w:tcPr>
            <w:tcW w:w="1550" w:type="dxa"/>
            <w:tcBorders/>
            <w:vAlign w:val="center"/>
          </w:tcPr>
          <w:p>
            <w:pPr>
              <w:pStyle w:val="normal1"/>
              <w:spacing w:lineRule="auto" w:line="240" w:before="0" w:after="0"/>
              <w:ind w:hanging="0" w:left="0"/>
              <w:jc w:val="left"/>
              <w:rPr>
                <w:color w:val="000000"/>
              </w:rPr>
            </w:pPr>
            <w:r>
              <w:rPr>
                <w:b/>
                <w:bCs/>
                <w:color w:val="000000"/>
                <w:sz w:val="20"/>
                <w:szCs w:val="20"/>
              </w:rPr>
              <w:t>Conjunto</w:t>
            </w:r>
          </w:p>
        </w:tc>
        <w:tc>
          <w:tcPr>
            <w:tcW w:w="1450" w:type="dxa"/>
            <w:tcBorders/>
            <w:vAlign w:val="center"/>
          </w:tcPr>
          <w:p>
            <w:pPr>
              <w:pStyle w:val="normal1"/>
              <w:spacing w:lineRule="auto" w:line="240" w:before="0" w:after="0"/>
              <w:ind w:hanging="0" w:left="0"/>
              <w:jc w:val="center"/>
              <w:rPr>
                <w:color w:val="000000"/>
              </w:rPr>
            </w:pPr>
            <w:r>
              <w:rPr>
                <w:b/>
                <w:bCs/>
                <w:color w:val="000000"/>
                <w:sz w:val="20"/>
                <w:szCs w:val="20"/>
              </w:rPr>
              <w:t>Total de imagens</w:t>
            </w:r>
          </w:p>
        </w:tc>
        <w:tc>
          <w:tcPr>
            <w:tcW w:w="1448" w:type="dxa"/>
            <w:tcBorders/>
            <w:vAlign w:val="center"/>
          </w:tcPr>
          <w:p>
            <w:pPr>
              <w:pStyle w:val="normal1"/>
              <w:spacing w:lineRule="auto" w:line="240" w:before="0" w:after="0"/>
              <w:ind w:hanging="0" w:left="0"/>
              <w:jc w:val="center"/>
              <w:rPr>
                <w:color w:val="000000"/>
              </w:rPr>
            </w:pPr>
            <w:r>
              <w:rPr>
                <w:b/>
                <w:bCs/>
                <w:color w:val="000000"/>
                <w:sz w:val="20"/>
                <w:szCs w:val="20"/>
              </w:rPr>
              <w:t>Imagens positivas</w:t>
            </w:r>
          </w:p>
        </w:tc>
        <w:tc>
          <w:tcPr>
            <w:tcW w:w="1701" w:type="dxa"/>
            <w:tcBorders/>
            <w:vAlign w:val="center"/>
          </w:tcPr>
          <w:p>
            <w:pPr>
              <w:pStyle w:val="normal1"/>
              <w:spacing w:lineRule="auto" w:line="240" w:before="0" w:after="0"/>
              <w:ind w:hanging="0" w:left="0"/>
              <w:jc w:val="center"/>
              <w:rPr>
                <w:color w:val="000000"/>
              </w:rPr>
            </w:pPr>
            <w:r>
              <w:rPr>
                <w:b/>
                <w:bCs/>
                <w:color w:val="000000"/>
                <w:sz w:val="20"/>
                <w:szCs w:val="20"/>
              </w:rPr>
              <w:t>Imagens negativas/background</w:t>
            </w:r>
          </w:p>
        </w:tc>
        <w:tc>
          <w:tcPr>
            <w:tcW w:w="2923" w:type="dxa"/>
            <w:tcBorders/>
            <w:vAlign w:val="center"/>
          </w:tcPr>
          <w:p>
            <w:pPr>
              <w:pStyle w:val="normal1"/>
              <w:spacing w:lineRule="auto" w:line="240" w:before="0" w:after="0"/>
              <w:ind w:hanging="0" w:left="0"/>
              <w:jc w:val="center"/>
              <w:rPr>
                <w:color w:val="000000"/>
              </w:rPr>
            </w:pPr>
            <w:r>
              <w:rPr>
                <w:b/>
                <w:bCs/>
                <w:color w:val="000000"/>
                <w:sz w:val="20"/>
                <w:szCs w:val="20"/>
              </w:rPr>
              <w:t>Observação</w:t>
            </w:r>
          </w:p>
        </w:tc>
      </w:tr>
      <w:tr>
        <w:trPr/>
        <w:tc>
          <w:tcPr>
            <w:tcW w:w="1550" w:type="dxa"/>
            <w:tcBorders/>
            <w:vAlign w:val="center"/>
          </w:tcPr>
          <w:p>
            <w:pPr>
              <w:pStyle w:val="normal1"/>
              <w:spacing w:lineRule="auto" w:line="240" w:before="0" w:after="0"/>
              <w:ind w:hanging="0" w:left="0"/>
              <w:rPr>
                <w:color w:val="000000"/>
              </w:rPr>
            </w:pPr>
            <w:r>
              <w:rPr>
                <w:color w:val="000000"/>
              </w:rPr>
              <w:t>Treinamento</w:t>
            </w:r>
          </w:p>
        </w:tc>
        <w:tc>
          <w:tcPr>
            <w:tcW w:w="1450" w:type="dxa"/>
            <w:tcBorders/>
            <w:vAlign w:val="center"/>
          </w:tcPr>
          <w:p>
            <w:pPr>
              <w:pStyle w:val="normal1"/>
              <w:spacing w:lineRule="auto" w:line="240" w:before="0" w:after="0"/>
              <w:ind w:hanging="0" w:left="0"/>
              <w:rPr>
                <w:color w:val="000000"/>
              </w:rPr>
            </w:pPr>
            <w:r>
              <w:rPr>
                <w:color w:val="000000"/>
              </w:rPr>
              <w:t>6.736</w:t>
            </w:r>
          </w:p>
        </w:tc>
        <w:tc>
          <w:tcPr>
            <w:tcW w:w="1448" w:type="dxa"/>
            <w:tcBorders/>
            <w:vAlign w:val="center"/>
          </w:tcPr>
          <w:p>
            <w:pPr>
              <w:pStyle w:val="normal1"/>
              <w:spacing w:lineRule="auto" w:line="240" w:before="0" w:after="0"/>
              <w:ind w:hanging="0" w:left="0"/>
              <w:rPr>
                <w:color w:val="000000"/>
              </w:rPr>
            </w:pPr>
            <w:r>
              <w:rPr>
                <w:color w:val="000000"/>
              </w:rPr>
              <w:t>5.685</w:t>
            </w:r>
          </w:p>
        </w:tc>
        <w:tc>
          <w:tcPr>
            <w:tcW w:w="1701" w:type="dxa"/>
            <w:tcBorders/>
            <w:vAlign w:val="center"/>
          </w:tcPr>
          <w:p>
            <w:pPr>
              <w:pStyle w:val="normal1"/>
              <w:spacing w:lineRule="auto" w:line="240" w:before="0" w:after="0"/>
              <w:ind w:hanging="0" w:left="0"/>
              <w:rPr>
                <w:color w:val="000000"/>
              </w:rPr>
            </w:pPr>
            <w:r>
              <w:rPr>
                <w:color w:val="000000"/>
              </w:rPr>
              <w:t>1.051</w:t>
            </w:r>
          </w:p>
        </w:tc>
        <w:tc>
          <w:tcPr>
            <w:tcW w:w="2923" w:type="dxa"/>
            <w:tcBorders/>
            <w:vAlign w:val="center"/>
          </w:tcPr>
          <w:p>
            <w:pPr>
              <w:pStyle w:val="normal1"/>
              <w:spacing w:lineRule="auto" w:line="240" w:before="0" w:after="0"/>
              <w:ind w:hanging="0" w:left="0"/>
              <w:rPr>
                <w:color w:val="000000"/>
              </w:rPr>
            </w:pPr>
            <w:r>
              <w:rPr>
                <w:color w:val="000000"/>
              </w:rPr>
              <w:t>Background corresponde a aproximadamente 15,6% do treino</w:t>
            </w:r>
          </w:p>
        </w:tc>
      </w:tr>
      <w:tr>
        <w:trPr/>
        <w:tc>
          <w:tcPr>
            <w:tcW w:w="1550" w:type="dxa"/>
            <w:tcBorders/>
            <w:vAlign w:val="center"/>
          </w:tcPr>
          <w:p>
            <w:pPr>
              <w:pStyle w:val="normal1"/>
              <w:spacing w:lineRule="auto" w:line="240" w:before="0" w:after="0"/>
              <w:ind w:hanging="0" w:left="0"/>
              <w:rPr>
                <w:color w:val="000000"/>
              </w:rPr>
            </w:pPr>
            <w:r>
              <w:rPr>
                <w:color w:val="000000"/>
              </w:rPr>
              <w:t>Validação</w:t>
            </w:r>
          </w:p>
        </w:tc>
        <w:tc>
          <w:tcPr>
            <w:tcW w:w="1450" w:type="dxa"/>
            <w:tcBorders/>
            <w:vAlign w:val="center"/>
          </w:tcPr>
          <w:p>
            <w:pPr>
              <w:pStyle w:val="normal1"/>
              <w:spacing w:lineRule="auto" w:line="240" w:before="0" w:after="0"/>
              <w:ind w:hanging="0" w:left="0"/>
              <w:rPr>
                <w:color w:val="000000"/>
              </w:rPr>
            </w:pPr>
            <w:r>
              <w:rPr>
                <w:color w:val="000000"/>
              </w:rPr>
              <w:t>1.286</w:t>
            </w:r>
          </w:p>
        </w:tc>
        <w:tc>
          <w:tcPr>
            <w:tcW w:w="1448" w:type="dxa"/>
            <w:tcBorders/>
            <w:vAlign w:val="center"/>
          </w:tcPr>
          <w:p>
            <w:pPr>
              <w:pStyle w:val="normal1"/>
              <w:spacing w:lineRule="auto" w:line="240" w:before="0" w:after="0"/>
              <w:ind w:hanging="0" w:left="0"/>
              <w:rPr>
                <w:color w:val="000000"/>
              </w:rPr>
            </w:pPr>
            <w:r>
              <w:rPr>
                <w:color w:val="000000"/>
              </w:rPr>
              <w:t>1.101</w:t>
            </w:r>
          </w:p>
        </w:tc>
        <w:tc>
          <w:tcPr>
            <w:tcW w:w="1701" w:type="dxa"/>
            <w:tcBorders/>
            <w:vAlign w:val="center"/>
          </w:tcPr>
          <w:p>
            <w:pPr>
              <w:pStyle w:val="normal1"/>
              <w:spacing w:lineRule="auto" w:line="240" w:before="0" w:after="0"/>
              <w:ind w:hanging="0" w:left="0"/>
              <w:rPr>
                <w:color w:val="000000"/>
              </w:rPr>
            </w:pPr>
            <w:r>
              <w:rPr>
                <w:color w:val="000000"/>
              </w:rPr>
              <w:t>185</w:t>
            </w:r>
          </w:p>
        </w:tc>
        <w:tc>
          <w:tcPr>
            <w:tcW w:w="2923" w:type="dxa"/>
            <w:tcBorders/>
            <w:vAlign w:val="center"/>
          </w:tcPr>
          <w:p>
            <w:pPr>
              <w:pStyle w:val="normal1"/>
              <w:spacing w:lineRule="auto" w:line="240" w:before="0" w:after="0"/>
              <w:ind w:hanging="0" w:left="0"/>
              <w:rPr>
                <w:color w:val="000000"/>
              </w:rPr>
            </w:pPr>
            <w:r>
              <w:rPr>
                <w:color w:val="000000"/>
              </w:rPr>
              <w:t>Validação com background, aproximadamente 14,4%</w:t>
            </w:r>
          </w:p>
        </w:tc>
      </w:tr>
      <w:tr>
        <w:trPr/>
        <w:tc>
          <w:tcPr>
            <w:tcW w:w="1550" w:type="dxa"/>
            <w:tcBorders/>
            <w:vAlign w:val="center"/>
          </w:tcPr>
          <w:p>
            <w:pPr>
              <w:pStyle w:val="normal1"/>
              <w:spacing w:lineRule="auto" w:line="240" w:before="0" w:after="0"/>
              <w:ind w:hanging="0" w:left="0"/>
              <w:rPr>
                <w:color w:val="000000"/>
              </w:rPr>
            </w:pPr>
            <w:r>
              <w:rPr>
                <w:color w:val="000000"/>
              </w:rPr>
              <w:t>Teste brasileiro</w:t>
            </w:r>
          </w:p>
        </w:tc>
        <w:tc>
          <w:tcPr>
            <w:tcW w:w="1450" w:type="dxa"/>
            <w:tcBorders/>
            <w:vAlign w:val="center"/>
          </w:tcPr>
          <w:p>
            <w:pPr>
              <w:pStyle w:val="normal1"/>
              <w:spacing w:lineRule="auto" w:line="240" w:before="0" w:after="0"/>
              <w:ind w:hanging="0" w:left="0"/>
              <w:rPr>
                <w:color w:val="000000"/>
              </w:rPr>
            </w:pPr>
            <w:r>
              <w:rPr>
                <w:color w:val="000000"/>
              </w:rPr>
              <w:t>560</w:t>
            </w:r>
          </w:p>
        </w:tc>
        <w:tc>
          <w:tcPr>
            <w:tcW w:w="1448" w:type="dxa"/>
            <w:tcBorders/>
            <w:vAlign w:val="center"/>
          </w:tcPr>
          <w:p>
            <w:pPr>
              <w:pStyle w:val="normal1"/>
              <w:spacing w:lineRule="auto" w:line="240" w:before="0" w:after="0"/>
              <w:ind w:hanging="0" w:left="0"/>
              <w:rPr>
                <w:color w:val="000000"/>
              </w:rPr>
            </w:pPr>
            <w:r>
              <w:rPr>
                <w:color w:val="000000"/>
              </w:rPr>
              <w:t>280</w:t>
            </w:r>
          </w:p>
        </w:tc>
        <w:tc>
          <w:tcPr>
            <w:tcW w:w="1701" w:type="dxa"/>
            <w:tcBorders/>
            <w:vAlign w:val="center"/>
          </w:tcPr>
          <w:p>
            <w:pPr>
              <w:pStyle w:val="normal1"/>
              <w:spacing w:lineRule="auto" w:line="240" w:before="0" w:after="0"/>
              <w:ind w:hanging="0" w:left="0"/>
              <w:rPr>
                <w:color w:val="000000"/>
              </w:rPr>
            </w:pPr>
            <w:r>
              <w:rPr>
                <w:color w:val="000000"/>
              </w:rPr>
              <w:t>280</w:t>
            </w:r>
          </w:p>
        </w:tc>
        <w:tc>
          <w:tcPr>
            <w:tcW w:w="2923" w:type="dxa"/>
            <w:tcBorders/>
            <w:vAlign w:val="center"/>
          </w:tcPr>
          <w:p>
            <w:pPr>
              <w:pStyle w:val="normal1"/>
              <w:spacing w:lineRule="auto" w:line="240" w:before="0" w:after="0"/>
              <w:ind w:hanging="0" w:left="0"/>
              <w:rPr>
                <w:color w:val="000000"/>
              </w:rPr>
            </w:pPr>
            <w:r>
              <w:rPr>
                <w:color w:val="000000"/>
              </w:rPr>
              <w:t>Conjunto externo, balanceado e separado do treino</w:t>
            </w:r>
          </w:p>
        </w:tc>
      </w:tr>
    </w:tbl>
    <w:p>
      <w:pPr>
        <w:pStyle w:val="normal1"/>
        <w:spacing w:lineRule="auto" w:line="240" w:before="0" w:after="0"/>
        <w:ind w:hanging="0"/>
        <w:jc w:val="left"/>
        <w:rPr>
          <w:color w:val="000000"/>
        </w:rPr>
      </w:pPr>
      <w:r>
        <w:rPr>
          <w:rFonts w:eastAsia="Times New Roman" w:cs="Times New Roman"/>
          <w:color w:val="000000"/>
          <w:sz w:val="20"/>
          <w:szCs w:val="20"/>
        </w:rPr>
        <w:t>Fonte: elaborado pelo autor com base no experimento (2026).</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3.7 Treinamento do YOLOv11m</w:t>
      </w:r>
    </w:p>
    <w:p>
      <w:pPr>
        <w:pStyle w:val="normal1"/>
        <w:rPr/>
      </w:pPr>
      <w:r>
        <w:rPr/>
        <w:t>O modelo YOLOv11m foi treinado por fine-tuning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checkpoint com melhor desempenho (best.pt) para uso na inferência.</w:t>
      </w:r>
    </w:p>
    <w:p>
      <w:pPr>
        <w:pStyle w:val="normal1"/>
        <w:rPr/>
      </w:pPr>
      <w:r>
        <w:rPr/>
        <w:t>O objetivo do treinamento foi ajustar o detector especializado para reconhecer resíduos em imagens urbanas. Após o treinamento, o melhor peso gerado foi utilizado na etapa de inferência sobre o conjunto de teste brasileiro.</w:t>
      </w:r>
    </w:p>
    <w:p>
      <w:pPr>
        <w:pStyle w:val="normal1"/>
        <w:rPr/>
      </w:pPr>
      <w: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normal1"/>
        <w:rPr/>
      </w:pPr>
      <w: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3.8 Inferência com Gemma 3 27B-IT</w:t>
      </w:r>
    </w:p>
    <w:p>
      <w:pPr>
        <w:pStyle w:val="normal1"/>
        <w:rPr/>
      </w:pPr>
      <w:r>
        <w:rPr/>
        <w:t xml:space="preserve">O modelo Gemma 3 27B-IT foi utilizado em modo zero-shot, sem treinamento específico no conjunto de dados da pesquisa. A inferência ocorreu por meio do LM Studio, com envio das imagens ao modelo e solicitação de resposta estruturada indicando se havia ou não resíduos visíveis. Em razão das restrições de memória da GPU utilizada (32 GB de VRAM), o modelo foi executado em formato quantizado, na configuração </w:t>
      </w:r>
      <w:r>
        <w:rPr>
          <w:highlight w:val="yellow"/>
        </w:rPr>
        <w:t>[</w:t>
      </w:r>
      <w:r>
        <w:rPr>
          <w:highlight w:val="yellow"/>
        </w:rPr>
        <w:t>VERIFICAR NA QUAL EU USEI POR ÚLTIMO</w:t>
      </w:r>
      <w:r>
        <w:rPr>
          <w:highlight w:val="yellow"/>
        </w:rPr>
        <w:t>]</w:t>
      </w:r>
      <w:r>
        <w:rPr/>
        <w:t>. Registra-se que a quantização reduz a precisão numérica dos pesos em relação ao modelo em ponto flutuante pleno, de modo que os resultados reportados referem-se a essa configuração específica de execução, e não ao modelo em precisão integral. Essa informação é necessária à reprodutibilidade do experimento, uma vez que diferentes níveis de quantização podem afetar tanto o desempenho preditivo quanto a latência observada.</w:t>
      </w:r>
    </w:p>
    <w:p>
      <w:pPr>
        <w:pStyle w:val="normal1"/>
        <w:rPr/>
      </w:pPr>
      <w:r>
        <w:rPr/>
        <w:t>A inferência foi realizada com temperatura igual a 0 e seed igual a 42, de modo a reduzir variações nas respostas. A saída foi solicitada em formato JSON, permitindo extrair de forma objetiva a decisão binária do modelo sobre a presença ou ausência de lixo.</w:t>
      </w:r>
    </w:p>
    <w:p>
      <w:pPr>
        <w:pStyle w:val="normal1"/>
        <w:rPr/>
      </w:pPr>
      <w:r>
        <w:rPr/>
        <w:t>Para reduzir inconsistências operacionais, foi utilizado um prompt padronizado durante a inferência. O prompt foi formulado da seguinte forma: “Você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lixeiras/contêineres fechados em uso normal, veículos, pessoas, vegetação, mobiliário urbano em bom estado, pavimentação normal. Responda ESTRITAMENTE em JSON válido, sem markdown, sem texto fora do JSON: {“tem_lixo”: true, “descricao_breve”: “...”, “confianca”: 0.0}. Se não houver lixo visível, retorne tem_lixo: false.” A resposta estruturada foi extraída por meio de json_schema quando suportado pelo servidor, com fallback para parser robusto. Também foi adotado cache por imagem e controle por hash do prompt, de modo a evitar reprocessamentos desnecessários e garantir rastreabilidade. O hash SHA-256 do prompt foi registrado em cada predição em cache, assegurando que respostas reutilizadas correspondessem à mesma formulação da tarefa. A latência registrada para o Gemma 3 27B-IT incluiu o fluxo completo de requisição ao servidor local do LM Studio, abrangendo serialização da imagem em base64, transmissão pela interface HTTP OpenAI-compatível, inferência e interpretação da resposta JSON. Esse fluxo end-to-end difere da medição do YOLOv11m, que não envolve camada de servidor intermediária, aspecto que deve ser considerado na interpretação comparativa das latências.</w:t>
      </w:r>
    </w:p>
    <w:p>
      <w:pPr>
        <w:pStyle w:val="normal1"/>
        <w:rPr/>
      </w:pPr>
      <w: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3.9 Métricas de avaliação</w:t>
      </w:r>
    </w:p>
    <w:p>
      <w:pPr>
        <w:pStyle w:val="normal1"/>
        <w:rPr>
          <w:color w:val="000000"/>
        </w:rPr>
      </w:pPr>
      <w:r>
        <w:rPr>
          <w:color w:val="000000"/>
        </w:rPr>
        <w:t>A avaliação foi realizada em nível de imagem, por meio de métricas binárias. Foram calculadas acurácia, precisão, recall, especificidade, F1-score, taxa de falsos positivos, matriz de confusão, tempo de inferência e throughput.</w:t>
      </w:r>
    </w:p>
    <w:p>
      <w:pPr>
        <w:pStyle w:val="normal1"/>
        <w:rPr/>
      </w:pPr>
      <w:r>
        <w:rPr/>
        <w:t>A acurácia indicou o percentual geral de classificações corretas. A precisão indicou, entre as imagens classificadas como contendo resíduos, quantas realmente possuíam resíduos. O recall indicou a capacidade do modelo de identificar imagens positivas. A especificidade mediu a capacidade de reconhecer corretamente imagens sem resíduos. O F1-score permitiu observar o equilíbrio entre precisão e recall.</w:t>
      </w:r>
    </w:p>
    <w:p>
      <w:pPr>
        <w:pStyle w:val="normal1"/>
        <w:rPr/>
      </w:pPr>
      <w:r>
        <w:rPr/>
        <w:t>A taxa de falsos positivos foi especialmente relevante para a gestão pública, pois falsos alarmes podem gerar deslocamentos desnecessários, desperdício de recursos e perda de eficiência operacional. A taxa de falsos negativos também foi observada, pois falhas na identificação de resíduos podem impedir o registro de áreas que demandariam atenção do poder público.</w:t>
      </w:r>
    </w:p>
    <w:p>
      <w:pPr>
        <w:pStyle w:val="normal1"/>
        <w:rPr/>
      </w:pPr>
      <w:r>
        <w:rPr/>
        <w:t>Além das métricas preditivas, foi avaliada a eficiência computacional dos modelos por meio do tempo de inferência e do throughput. Essa escolha foi compatível com o objetivo geral da pesquisa, pois a viabilidade de uma solução tecnológica para a gestão pública depende não apenas de seu desempenho preditivo, mas também da capacidade operacional de processar imagens em tempo aceitável.</w:t>
      </w:r>
    </w:p>
    <w:p>
      <w:pPr>
        <w:pStyle w:val="normal1"/>
        <w:rPr/>
      </w:pPr>
      <w:r>
        <w:rPr/>
        <w:t>Para a comparação de latência, adotou-se a medida end-to-end para ambos os modelos, de modo que o tempo registrado incluísse o fluxo completo de inferência em cada abordagem avaliada. Distingue-se, contudo, a latência por imagem do throughput agregado: a latência foi medida como o tempo médio de processamento de cada imagem isoladamente, ao passo que o throughput foi calculado a partir do tempo total de processamento do conjunto, dividido pelo número de imagens. Por essa razão, o throughput pode não corresponder exatamente ao inverso da latência média, uma vez que o processamento contínuo do lote aproveita melhor o paralelismo e a ocupação da GPU, reduzindo o custo marginal por imagem em relação à inferência individual. Essa diferença explica por que o throughput observado do YOLOv11m supera o valor que seria obtido pela simples inversão de sua latência média unitária.</w:t>
      </w:r>
    </w:p>
    <w:p>
      <w:pPr>
        <w:pStyle w:val="normal1"/>
        <w:rPr/>
      </w:pPr>
      <w: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before="0" w:after="0"/>
        <w:ind w:hanging="0"/>
        <w:jc w:val="center"/>
        <w:rPr/>
      </w:pPr>
      <w:r>
        <w:rPr>
          <w:rFonts w:eastAsia="Times New Roman" w:cs="Times New Roman"/>
          <w:sz w:val="20"/>
          <w:szCs w:val="20"/>
        </w:rPr>
        <w:t>Quadro 1 – Métricas e estatísticas utilizadas na avaliação</w:t>
      </w:r>
    </w:p>
    <w:tbl>
      <w:tblPr>
        <w:tblStyle w:val="Table4"/>
        <w:tblW w:w="9070"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5"/>
        <w:gridCol w:w="4534"/>
      </w:tblGrid>
      <w:tr>
        <w:trPr/>
        <w:tc>
          <w:tcPr>
            <w:tcW w:w="4535" w:type="dxa"/>
            <w:tcBorders/>
            <w:vAlign w:val="center"/>
          </w:tcPr>
          <w:p>
            <w:pPr>
              <w:pStyle w:val="normal1"/>
              <w:spacing w:lineRule="auto" w:line="240"/>
              <w:jc w:val="left"/>
              <w:rPr/>
            </w:pPr>
            <w:r>
              <w:rPr>
                <w:b/>
                <w:bCs/>
                <w:sz w:val="20"/>
                <w:szCs w:val="20"/>
              </w:rPr>
              <w:t>Indicador</w:t>
            </w:r>
          </w:p>
        </w:tc>
        <w:tc>
          <w:tcPr>
            <w:tcW w:w="4534" w:type="dxa"/>
            <w:tcBorders/>
            <w:vAlign w:val="center"/>
          </w:tcPr>
          <w:p>
            <w:pPr>
              <w:pStyle w:val="normal1"/>
              <w:spacing w:lineRule="auto" w:line="240"/>
              <w:jc w:val="center"/>
              <w:rPr/>
            </w:pPr>
            <w:r>
              <w:rPr>
                <w:b/>
                <w:bCs/>
                <w:sz w:val="20"/>
                <w:szCs w:val="20"/>
              </w:rPr>
              <w:t>Finalidade na pesquisa</w:t>
            </w:r>
          </w:p>
        </w:tc>
      </w:tr>
      <w:tr>
        <w:trPr/>
        <w:tc>
          <w:tcPr>
            <w:tcW w:w="4535" w:type="dxa"/>
            <w:tcBorders/>
            <w:vAlign w:val="center"/>
          </w:tcPr>
          <w:p>
            <w:pPr>
              <w:pStyle w:val="normal1"/>
              <w:spacing w:lineRule="auto" w:line="240"/>
              <w:jc w:val="left"/>
              <w:rPr/>
            </w:pPr>
            <w:r>
              <w:rPr>
                <w:sz w:val="20"/>
                <w:szCs w:val="20"/>
              </w:rPr>
              <w:t>Acurácia</w:t>
            </w:r>
          </w:p>
        </w:tc>
        <w:tc>
          <w:tcPr>
            <w:tcW w:w="4534" w:type="dxa"/>
            <w:tcBorders/>
            <w:vAlign w:val="center"/>
          </w:tcPr>
          <w:p>
            <w:pPr>
              <w:pStyle w:val="normal1"/>
              <w:spacing w:lineRule="auto" w:line="240"/>
              <w:jc w:val="center"/>
              <w:rPr/>
            </w:pPr>
            <w:r>
              <w:rPr>
                <w:sz w:val="20"/>
                <w:szCs w:val="20"/>
              </w:rPr>
              <w:t>Medir a proporção geral de acertos</w:t>
            </w:r>
          </w:p>
        </w:tc>
      </w:tr>
      <w:tr>
        <w:trPr/>
        <w:tc>
          <w:tcPr>
            <w:tcW w:w="4535" w:type="dxa"/>
            <w:tcBorders/>
            <w:vAlign w:val="center"/>
          </w:tcPr>
          <w:p>
            <w:pPr>
              <w:pStyle w:val="normal1"/>
              <w:spacing w:lineRule="auto" w:line="240"/>
              <w:jc w:val="left"/>
              <w:rPr/>
            </w:pPr>
            <w:r>
              <w:rPr>
                <w:sz w:val="20"/>
                <w:szCs w:val="20"/>
              </w:rPr>
              <w:t>Precisão</w:t>
            </w:r>
          </w:p>
        </w:tc>
        <w:tc>
          <w:tcPr>
            <w:tcW w:w="4534" w:type="dxa"/>
            <w:tcBorders/>
            <w:vAlign w:val="center"/>
          </w:tcPr>
          <w:p>
            <w:pPr>
              <w:pStyle w:val="normal1"/>
              <w:spacing w:lineRule="auto" w:line="240"/>
              <w:jc w:val="center"/>
              <w:rPr/>
            </w:pPr>
            <w:r>
              <w:rPr>
                <w:sz w:val="20"/>
                <w:szCs w:val="20"/>
              </w:rPr>
              <w:t>Avaliar a confiabilidade dos alertas positivos</w:t>
            </w:r>
          </w:p>
        </w:tc>
      </w:tr>
      <w:tr>
        <w:trPr/>
        <w:tc>
          <w:tcPr>
            <w:tcW w:w="4535" w:type="dxa"/>
            <w:tcBorders/>
            <w:vAlign w:val="center"/>
          </w:tcPr>
          <w:p>
            <w:pPr>
              <w:pStyle w:val="normal1"/>
              <w:spacing w:lineRule="auto" w:line="240"/>
              <w:jc w:val="left"/>
              <w:rPr/>
            </w:pPr>
            <w:r>
              <w:rPr>
                <w:sz w:val="20"/>
                <w:szCs w:val="20"/>
              </w:rPr>
              <w:t>Recall/Sensibilidade</w:t>
            </w:r>
          </w:p>
        </w:tc>
        <w:tc>
          <w:tcPr>
            <w:tcW w:w="4534" w:type="dxa"/>
            <w:tcBorders/>
            <w:vAlign w:val="center"/>
          </w:tcPr>
          <w:p>
            <w:pPr>
              <w:pStyle w:val="normal1"/>
              <w:spacing w:lineRule="auto" w:line="240"/>
              <w:jc w:val="center"/>
              <w:rPr/>
            </w:pPr>
            <w:r>
              <w:rPr>
                <w:sz w:val="20"/>
                <w:szCs w:val="20"/>
              </w:rPr>
              <w:t>Medir a capacidade de identificar imagens com resíduos</w:t>
            </w:r>
          </w:p>
        </w:tc>
      </w:tr>
      <w:tr>
        <w:trPr/>
        <w:tc>
          <w:tcPr>
            <w:tcW w:w="4535" w:type="dxa"/>
            <w:tcBorders/>
            <w:vAlign w:val="center"/>
          </w:tcPr>
          <w:p>
            <w:pPr>
              <w:pStyle w:val="normal1"/>
              <w:spacing w:lineRule="auto" w:line="240"/>
              <w:jc w:val="left"/>
              <w:rPr/>
            </w:pPr>
            <w:r>
              <w:rPr>
                <w:sz w:val="20"/>
                <w:szCs w:val="20"/>
              </w:rPr>
              <w:t>Especificidade</w:t>
            </w:r>
          </w:p>
        </w:tc>
        <w:tc>
          <w:tcPr>
            <w:tcW w:w="4534" w:type="dxa"/>
            <w:tcBorders/>
            <w:vAlign w:val="center"/>
          </w:tcPr>
          <w:p>
            <w:pPr>
              <w:pStyle w:val="normal1"/>
              <w:spacing w:lineRule="auto" w:line="240"/>
              <w:jc w:val="center"/>
              <w:rPr/>
            </w:pPr>
            <w:r>
              <w:rPr>
                <w:sz w:val="20"/>
                <w:szCs w:val="20"/>
              </w:rPr>
              <w:t>Medir a capacidade de reconhecer imagens sem resíduos</w:t>
            </w:r>
          </w:p>
        </w:tc>
      </w:tr>
      <w:tr>
        <w:trPr/>
        <w:tc>
          <w:tcPr>
            <w:tcW w:w="4535" w:type="dxa"/>
            <w:tcBorders/>
            <w:vAlign w:val="center"/>
          </w:tcPr>
          <w:p>
            <w:pPr>
              <w:pStyle w:val="normal1"/>
              <w:spacing w:lineRule="auto" w:line="240"/>
              <w:jc w:val="left"/>
              <w:rPr/>
            </w:pPr>
            <w:r>
              <w:rPr>
                <w:sz w:val="20"/>
                <w:szCs w:val="20"/>
              </w:rPr>
              <w:t>F1-score</w:t>
            </w:r>
          </w:p>
        </w:tc>
        <w:tc>
          <w:tcPr>
            <w:tcW w:w="4534" w:type="dxa"/>
            <w:tcBorders/>
            <w:vAlign w:val="center"/>
          </w:tcPr>
          <w:p>
            <w:pPr>
              <w:pStyle w:val="normal1"/>
              <w:spacing w:lineRule="auto" w:line="240"/>
              <w:jc w:val="center"/>
              <w:rPr/>
            </w:pPr>
            <w:r>
              <w:rPr>
                <w:sz w:val="20"/>
                <w:szCs w:val="20"/>
              </w:rPr>
              <w:t>Sintetizar o equilíbrio entre precisão e recall</w:t>
            </w:r>
          </w:p>
        </w:tc>
      </w:tr>
      <w:tr>
        <w:trPr/>
        <w:tc>
          <w:tcPr>
            <w:tcW w:w="4535" w:type="dxa"/>
            <w:tcBorders/>
            <w:vAlign w:val="center"/>
          </w:tcPr>
          <w:p>
            <w:pPr>
              <w:pStyle w:val="normal1"/>
              <w:spacing w:lineRule="auto" w:line="240"/>
              <w:jc w:val="left"/>
              <w:rPr/>
            </w:pPr>
            <w:r>
              <w:rPr>
                <w:sz w:val="20"/>
                <w:szCs w:val="20"/>
              </w:rPr>
              <w:t>Taxa de falsos positivos</w:t>
            </w:r>
          </w:p>
        </w:tc>
        <w:tc>
          <w:tcPr>
            <w:tcW w:w="4534" w:type="dxa"/>
            <w:tcBorders/>
            <w:vAlign w:val="center"/>
          </w:tcPr>
          <w:p>
            <w:pPr>
              <w:pStyle w:val="normal1"/>
              <w:spacing w:lineRule="auto" w:line="240"/>
              <w:jc w:val="center"/>
              <w:rPr/>
            </w:pPr>
            <w:r>
              <w:rPr>
                <w:sz w:val="20"/>
                <w:szCs w:val="20"/>
              </w:rPr>
              <w:t>Avaliar alarmes indevidos em cenas limpas</w:t>
            </w:r>
          </w:p>
        </w:tc>
      </w:tr>
      <w:tr>
        <w:trPr/>
        <w:tc>
          <w:tcPr>
            <w:tcW w:w="4535" w:type="dxa"/>
            <w:tcBorders/>
            <w:vAlign w:val="center"/>
          </w:tcPr>
          <w:p>
            <w:pPr>
              <w:pStyle w:val="normal1"/>
              <w:spacing w:lineRule="auto" w:line="240"/>
              <w:jc w:val="left"/>
              <w:rPr/>
            </w:pPr>
            <w:r>
              <w:rPr>
                <w:sz w:val="20"/>
                <w:szCs w:val="20"/>
              </w:rPr>
              <w:t>Matriz de confusão</w:t>
            </w:r>
          </w:p>
        </w:tc>
        <w:tc>
          <w:tcPr>
            <w:tcW w:w="4534" w:type="dxa"/>
            <w:tcBorders/>
            <w:vAlign w:val="center"/>
          </w:tcPr>
          <w:p>
            <w:pPr>
              <w:pStyle w:val="normal1"/>
              <w:spacing w:lineRule="auto" w:line="240"/>
              <w:jc w:val="center"/>
              <w:rPr/>
            </w:pPr>
            <w:r>
              <w:rPr>
                <w:sz w:val="20"/>
                <w:szCs w:val="20"/>
              </w:rPr>
              <w:t>Organizar verdadeiros positivos, verdadeiros negativos, falsos positivos e falsos negativos</w:t>
            </w:r>
          </w:p>
        </w:tc>
      </w:tr>
      <w:tr>
        <w:trPr/>
        <w:tc>
          <w:tcPr>
            <w:tcW w:w="4535" w:type="dxa"/>
            <w:tcBorders/>
            <w:vAlign w:val="center"/>
          </w:tcPr>
          <w:p>
            <w:pPr>
              <w:pStyle w:val="normal1"/>
              <w:spacing w:lineRule="auto" w:line="240"/>
              <w:jc w:val="left"/>
              <w:rPr/>
            </w:pPr>
            <w:r>
              <w:rPr>
                <w:sz w:val="20"/>
                <w:szCs w:val="20"/>
              </w:rPr>
              <w:t>Tempo de inferência e throughput</w:t>
            </w:r>
          </w:p>
        </w:tc>
        <w:tc>
          <w:tcPr>
            <w:tcW w:w="4534" w:type="dxa"/>
            <w:tcBorders/>
            <w:vAlign w:val="center"/>
          </w:tcPr>
          <w:p>
            <w:pPr>
              <w:pStyle w:val="normal1"/>
              <w:spacing w:lineRule="auto" w:line="240"/>
              <w:jc w:val="center"/>
              <w:rPr/>
            </w:pPr>
            <w:r>
              <w:rPr>
                <w:sz w:val="20"/>
                <w:szCs w:val="20"/>
              </w:rPr>
              <w:t>Avaliar eficiência computacional e viabilidade operacional</w:t>
            </w:r>
          </w:p>
        </w:tc>
      </w:tr>
      <w:tr>
        <w:trPr/>
        <w:tc>
          <w:tcPr>
            <w:tcW w:w="4535" w:type="dxa"/>
            <w:tcBorders/>
            <w:vAlign w:val="center"/>
          </w:tcPr>
          <w:p>
            <w:pPr>
              <w:pStyle w:val="normal1"/>
              <w:spacing w:lineRule="auto" w:line="240"/>
              <w:jc w:val="left"/>
              <w:rPr/>
            </w:pPr>
            <w:r>
              <w:rPr>
                <w:sz w:val="20"/>
                <w:szCs w:val="20"/>
              </w:rPr>
              <w:t>Intervalo de confiança de Wilson</w:t>
            </w:r>
          </w:p>
        </w:tc>
        <w:tc>
          <w:tcPr>
            <w:tcW w:w="4534" w:type="dxa"/>
            <w:tcBorders/>
            <w:vAlign w:val="center"/>
          </w:tcPr>
          <w:p>
            <w:pPr>
              <w:pStyle w:val="normal1"/>
              <w:spacing w:lineRule="auto" w:line="240"/>
              <w:jc w:val="center"/>
              <w:rPr/>
            </w:pPr>
            <w:r>
              <w:rPr>
                <w:sz w:val="20"/>
                <w:szCs w:val="20"/>
              </w:rPr>
              <w:t>Estimar incerteza das proporções observadas</w:t>
            </w:r>
          </w:p>
        </w:tc>
      </w:tr>
      <w:tr>
        <w:trPr/>
        <w:tc>
          <w:tcPr>
            <w:tcW w:w="4535" w:type="dxa"/>
            <w:tcBorders/>
            <w:vAlign w:val="center"/>
          </w:tcPr>
          <w:p>
            <w:pPr>
              <w:pStyle w:val="normal1"/>
              <w:spacing w:lineRule="auto" w:line="240"/>
              <w:jc w:val="left"/>
              <w:rPr/>
            </w:pPr>
            <w:r>
              <w:rPr>
                <w:sz w:val="20"/>
                <w:szCs w:val="20"/>
              </w:rPr>
              <w:t>Teste de McNemar</w:t>
            </w:r>
          </w:p>
        </w:tc>
        <w:tc>
          <w:tcPr>
            <w:tcW w:w="4534" w:type="dxa"/>
            <w:tcBorders/>
            <w:vAlign w:val="center"/>
          </w:tcPr>
          <w:p>
            <w:pPr>
              <w:pStyle w:val="normal1"/>
              <w:spacing w:lineRule="auto" w:line="240"/>
              <w:jc w:val="center"/>
              <w:rPr/>
            </w:pPr>
            <w:r>
              <w:rPr>
                <w:sz w:val="20"/>
                <w:szCs w:val="20"/>
              </w:rPr>
              <w:t>Comparar classificadores pareados no mesmo conjunto de teste</w:t>
            </w:r>
          </w:p>
        </w:tc>
      </w:tr>
      <w:tr>
        <w:trPr/>
        <w:tc>
          <w:tcPr>
            <w:tcW w:w="4535" w:type="dxa"/>
            <w:tcBorders/>
            <w:vAlign w:val="center"/>
          </w:tcPr>
          <w:p>
            <w:pPr>
              <w:pStyle w:val="normal1"/>
              <w:spacing w:lineRule="auto" w:line="240"/>
              <w:jc w:val="left"/>
              <w:rPr/>
            </w:pPr>
            <w:r>
              <w:rPr>
                <w:sz w:val="20"/>
                <w:szCs w:val="20"/>
              </w:rPr>
              <w:t>Kappa de Cohen e MCC</w:t>
            </w:r>
          </w:p>
        </w:tc>
        <w:tc>
          <w:tcPr>
            <w:tcW w:w="4534" w:type="dxa"/>
            <w:tcBorders/>
            <w:vAlign w:val="center"/>
          </w:tcPr>
          <w:p>
            <w:pPr>
              <w:pStyle w:val="normal1"/>
              <w:spacing w:lineRule="auto" w:line="240"/>
              <w:jc w:val="center"/>
              <w:rPr/>
            </w:pPr>
            <w:r>
              <w:rPr>
                <w:sz w:val="20"/>
                <w:szCs w:val="20"/>
              </w:rPr>
              <w:t>Avaliar concordância e discriminação complementar</w:t>
            </w:r>
          </w:p>
        </w:tc>
      </w:tr>
    </w:tbl>
    <w:p>
      <w:pPr>
        <w:pStyle w:val="normal1"/>
        <w:spacing w:lineRule="auto" w:line="240" w:before="0" w:after="0"/>
        <w:ind w:hanging="0"/>
        <w:jc w:val="left"/>
        <w:rPr/>
      </w:pPr>
      <w:r>
        <w:rPr>
          <w:rFonts w:eastAsia="Times New Roman" w:cs="Times New Roman"/>
          <w:sz w:val="20"/>
          <w:szCs w:val="20"/>
        </w:rPr>
        <w:t>Fonte: elaborado pelo autor com base no experimento (2026).</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3.10 Critério de comparação</w:t>
      </w:r>
    </w:p>
    <w:p>
      <w:pPr>
        <w:pStyle w:val="normal1"/>
        <w:rPr/>
      </w:pPr>
      <w:r>
        <w:rPr/>
        <w:t>A comparação entre YOLOv11m e Gemma 3 27B-IT foi realizada a partir de um critério multidimensional de viabilidade, não limitado à acurácia. Esse critério incluiu desempenho preditivo, eficiência computacional, controle de falsos positivos, rastreabilidade visual, capacidade de generalização e possibilidade de uso operacional em rotinas administrativas.</w:t>
      </w:r>
    </w:p>
    <w:p>
      <w:pPr>
        <w:pStyle w:val="normal1"/>
        <w:rPr/>
      </w:pPr>
      <w:r>
        <w:rPr/>
        <w:t>O desempenho preditivo foi avaliado pelas métricas binárias de classificação. A eficiência computacional foi analisada pelo tempo de inferência e pelo throughput. Com isso, buscou-se verificar qual abordagem apresentava maior potencial para apoiar a gestão pública no monitoramento automatizado de resíduos urbanos em vias públicas.</w:t>
      </w:r>
    </w:p>
    <w:p>
      <w:pPr>
        <w:pStyle w:val="normal1"/>
        <w:rPr/>
      </w:pPr>
      <w:r>
        <w:rPr/>
        <w:t>Dessa forma, o modelo considerado mais viável não foi necessariamente aquele que apresentou apenas maior acurácia, mas aquele que demonstrou melhor equilíbrio entre desempenho, velocidade, controle de erros, rastreabilidade, generalização e adequação ao uso operacional. Essa interpretação é coerente com o foco administrativo da pesquisa, no qual a tecnologia deve ser avaliada como instrumento de apoio à decisão pública, e não apenas como solução técnica isolada.</w:t>
      </w:r>
    </w:p>
    <w:p>
      <w:pPr>
        <w:pStyle w:val="normal1"/>
        <w:rPr/>
      </w:pPr>
      <w:r>
        <w:rPr/>
        <w:t>A análise de viabilidade também considerou a finalidade administrativa do uso. Desse modo, admitiu-se que um modelo poderia ser mais adequado para monitoramento em tempo real e alto volume, enquanto outro poderia ser mais adequado para análise pontual, auditoria, confirmação de denúncias ou avaliação de imagens previamente selecionadas.</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3.11 Limitações metodológicas</w:t>
      </w:r>
    </w:p>
    <w:p>
      <w:pPr>
        <w:pStyle w:val="normal1"/>
        <w:rPr/>
      </w:pPr>
      <w: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normal1"/>
        <w:rPr/>
      </w:pPr>
      <w: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normal1"/>
        <w:rPr/>
      </w:pPr>
      <w:r>
        <w:rPr/>
        <w:t>Em terceiro lugar, o Gemma 3 27B-IT foi utilizado em modo zero-shot, sem ajuste específico ao domínio de resíduos urbanos. Assim, seu desempenho pode refletir tanto sua capacidade generalista quanto suas limitações diante de uma tarefa específica.</w:t>
      </w:r>
    </w:p>
    <w:p>
      <w:pPr>
        <w:pStyle w:val="normal1"/>
        <w:rPr/>
      </w:pPr>
      <w:r>
        <w:rPr/>
        <w:t>A proporção de imagens negativas no treinamento foi fixada em aproximadamente 15%, dentro da faixa adotada como referência interna para uso de background em detecção de objetos. Essa escolha favorece o controle de falsos positivos, mas pode tornar o detector mais conservador, com impacto sobre a sensibilidade (recall). Assim, a composição do treinamento deve ser interpretada como uma decisão metodológica que envolve trade-off entre reduzir alarmes indevidos e evitar omissões de cenas com resíduos.</w:t>
      </w:r>
    </w:p>
    <w:p>
      <w:pPr>
        <w:pStyle w:val="normal1"/>
        <w:rPr/>
      </w:pPr>
      <w: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normal1"/>
        <w:rPr/>
      </w:pPr>
      <w:r>
        <w:rPr/>
        <w:t>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ground truth.</w:t>
      </w:r>
    </w:p>
    <w:p>
      <w:pPr>
        <w:pStyle w:val="normal1"/>
        <w:rPr/>
      </w:pPr>
      <w: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pPr>
      <w:r>
        <w:rPr/>
      </w:r>
      <w:r>
        <w:br w:type="page"/>
      </w:r>
    </w:p>
    <w:p>
      <w:pPr>
        <w:pStyle w:val="Heading1"/>
        <w:numPr>
          <w:ilvl w:val="0"/>
          <w:numId w:val="1"/>
        </w:numPr>
        <w:spacing w:before="0" w:after="240"/>
        <w:ind w:hanging="0" w:left="0"/>
        <w:rPr/>
      </w:pPr>
      <w:r>
        <w:rPr/>
        <w:t>4 RESULTADOS E DISCUSSÃO</w:t>
      </w:r>
    </w:p>
    <w:p>
      <w:pPr>
        <w:pStyle w:val="normal1"/>
        <w:rPr/>
      </w:pPr>
      <w:r>
        <w:rPr/>
        <w:t>Este capítulo apresenta e discute os resultados do experimento computacional realizado para comparar a viabilidade de dois paradigmas de inteligência artificial no monitoramento visual de resíduos urbanos em vias públicas: o YOLOv11m, utilizado como detector especializado com fine-tuning para a classe única “lixo”, e o Gemma 3 27B-IT, empregado como modelo visão-linguagem generalista em regime zero-shot. A análise segue a orientação metodológica de apresentar, interpretar, comparar e relacionar os resultados com o problema de pesquisa e com a hipótese inicialmente formulada.</w:t>
      </w:r>
    </w:p>
    <w:p>
      <w:pPr>
        <w:pStyle w:val="normal1"/>
        <w:rPr/>
      </w:pPr>
      <w:r>
        <w:rPr/>
        <w:t>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administrativo da pesquisa: identificar se determinada cena urbana demanda ou não atenção do poder público para fins de monitoramento, fiscalização ou planejamento da limpeza urbana.</w:t>
      </w:r>
    </w:p>
    <w:p>
      <w:pPr>
        <w:pStyle w:val="normal1"/>
        <w:rPr/>
      </w:pPr>
      <w:r>
        <w:rPr/>
        <w:t>A hipótese provisória do estudo indicava que um modelo especializado de detecção, como o YOLOv11m, tenderia a apresentar maior viabilidade operacional quando comparado a um modelo visão-linguagem generalista em modo zero-shot,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4.1 Caracterização do experimento</w:t>
      </w:r>
    </w:p>
    <w:p>
      <w:pPr>
        <w:pStyle w:val="normal1"/>
        <w:rPr/>
      </w:pPr>
      <w:r>
        <w:rPr/>
        <w:t>O experimento foi executado utilizando uma GPU NVIDIA GeForce RTX 5090, com 32 GB de VRAM GDDR7, CUDA 12.8 e arquitetura Blackwell. O YOLOv11m foi avaliado como detector especializado, treinado por fine-tuning para a classe única “lixo”, com limiar de confiança fixado em 0,25. O Gemma 3 27B-IT foi avaliado como modelo visão-linguagem em modo zero-shot, via LM Studio, com temperatura igual a 0, seed igual a 42 e saída estruturada em JSON.</w:t>
      </w:r>
    </w:p>
    <w:p>
      <w:pPr>
        <w:pStyle w:val="normal1"/>
        <w:jc w:val="cente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1 – Curvas de treinamento do YOLOv11m — funções de perda e precisão de validação ao longo das 100 épocas</w:t>
      </w:r>
    </w:p>
    <w:p>
      <w:pPr>
        <w:pStyle w:val="normal1"/>
        <w:spacing w:lineRule="auto" w:line="240" w:before="0" w:after="0"/>
        <w:ind w:hanging="0"/>
        <w:jc w:val="left"/>
        <w:rPr/>
      </w:pPr>
      <w:r>
        <w:rPr>
          <w:rFonts w:eastAsia="Times New Roman" w:cs="Times New Roman"/>
          <w:sz w:val="20"/>
          <w:szCs w:val="20"/>
        </w:rPr>
        <w:t>Fonte: elaborado pelo autor com base nos resultados do treinamento (2026).</w:t>
      </w:r>
    </w:p>
    <w:p>
      <w:pPr>
        <w:pStyle w:val="normal1"/>
        <w:rPr/>
      </w:pPr>
      <w: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normal1"/>
        <w:rPr/>
      </w:pPr>
      <w:r>
        <w:rPr/>
        <w:t>A avaliação dos modelos foi realizada por meio de métricas binárias: acurácia, precisão, recall ou sensibilidade, especificidade, F1-score e taxa de falsos positivos. Também foram avaliadas métricas de eficiência computacional, especialmente latência média, latência mediana, percentil 95 e throughput. Além dessas métricas descritivas, foram utilizados intervalos de confiança de 95% pelo método de Wilson, teste de McNemar, kappa de Cohen e coeficiente de correlação de Matthews, de modo a fortalecer a interpretação estatística dos resultados. Essa escolha é coerente com a metodologia do trabalho, pois a viabilidade de uma solução de IA para gestão pública não depende apenas da capacidade de acerto, mas também da possibilidade de uso operacional em contextos de volume, custo e tempo de resposta.</w:t>
      </w:r>
    </w:p>
    <w:p>
      <w:pPr>
        <w:pStyle w:val="normal1"/>
        <w:keepNext w:val="false"/>
        <w:keepLines w:val="false"/>
        <w:pageBreakBefore w:val="false"/>
        <w:widowControl w:val="false"/>
        <w:shd w:val="clear" w:fill="auto"/>
        <w:spacing w:lineRule="auto" w:line="360" w:before="0" w:after="120"/>
        <w:ind w:firstLine="709" w:left="0" w:right="0"/>
        <w:jc w:val="left"/>
        <w:rPr>
          <w:i w:val="false"/>
          <w:i w:val="false"/>
          <w:iCs w:val="false"/>
          <w:caps w:val="false"/>
          <w:smallCaps w:val="false"/>
          <w:strike w:val="false"/>
          <w:dstrike w:val="false"/>
          <w:color w:val="000000"/>
          <w:position w:val="0"/>
          <w:sz w:val="24"/>
          <w:sz w:val="24"/>
          <w:szCs w:val="24"/>
          <w:u w:val="none"/>
          <w:shd w:fill="auto" w:val="clear"/>
          <w:vertAlign w:val="baseline"/>
        </w:rPr>
      </w:pPr>
      <w:r>
        <w:rPr>
          <w:i w:val="false"/>
          <w:iCs w:val="false"/>
          <w:caps w:val="false"/>
          <w:smallCaps w:val="false"/>
          <w:strike w:val="false"/>
          <w:dstrike w:val="false"/>
          <w:color w:val="000000"/>
          <w:position w:val="0"/>
          <w:sz w:val="24"/>
          <w:sz w:val="24"/>
          <w:szCs w:val="24"/>
          <w:u w:val="none"/>
          <w:shd w:fill="auto" w:val="clear"/>
          <w:vertAlign w:val="baseline"/>
        </w:rPr>
        <w:t>4.2 Composição e integridade dos dados</w:t>
      </w:r>
    </w:p>
    <w:p>
      <w:pPr>
        <w:pStyle w:val="normal1"/>
        <w:keepNext w:val="false"/>
        <w:keepLines w:val="false"/>
        <w:pageBreakBefore w:val="false"/>
        <w:widowControl w:val="false"/>
        <w:shd w:val="clear" w:fill="auto"/>
        <w:spacing w:lineRule="auto" w:line="360" w:before="240" w:after="120"/>
        <w:ind w:firstLine="709" w:left="0" w:right="0"/>
        <w:jc w:val="left"/>
        <w:rPr>
          <w:i w:val="false"/>
          <w:i w:val="false"/>
          <w:iCs w:val="false"/>
          <w:caps w:val="false"/>
          <w:smallCaps w:val="false"/>
          <w:strike w:val="false"/>
          <w:dstrike w:val="false"/>
          <w:color w:val="000000"/>
          <w:position w:val="0"/>
          <w:sz w:val="24"/>
          <w:sz w:val="24"/>
          <w:szCs w:val="24"/>
          <w:u w:val="none"/>
          <w:shd w:fill="auto" w:val="clear"/>
          <w:vertAlign w:val="baseline"/>
        </w:rPr>
      </w:pPr>
      <w:r>
        <w:rPr>
          <w:i w:val="false"/>
          <w:iCs w:val="false"/>
          <w:caps w:val="false"/>
          <w:smallCaps w:val="false"/>
          <w:strike w:val="false"/>
          <w:dstrike w:val="false"/>
          <w:color w:val="000000"/>
          <w:position w:val="0"/>
          <w:sz w:val="24"/>
          <w:sz w:val="24"/>
          <w:szCs w:val="24"/>
          <w:u w:val="none"/>
          <w:shd w:fill="auto" w:val="clear"/>
          <w:vertAlign w:val="baseline"/>
        </w:rPr>
        <w:t>O conjunto de treinamento foi formado por 6.736 imagens, das quais 5.685 eram positivas e 1.051 correspondiam a imagens de background, isto é, imagens sem resíduos anotados. A validação contou com 1.286 imagens, sendo 1.101 positivas e 185 de background. O conjunto de teste, por sua vez, foi mantido separado e composto por 560 imagens brasileiras, sendo 280 com resíduos e 280 sem resíduos.</w:t>
      </w:r>
    </w:p>
    <w:p>
      <w:pPr>
        <w:pStyle w:val="normal1"/>
        <w:spacing w:lineRule="auto" w:line="240" w:before="0" w:after="0"/>
        <w:ind w:hanging="0"/>
        <w:jc w:val="center"/>
        <w:rPr/>
      </w:pPr>
      <w:r>
        <w:rPr>
          <w:rFonts w:eastAsia="Times New Roman" w:cs="Times New Roman"/>
          <w:sz w:val="20"/>
          <w:szCs w:val="20"/>
        </w:rPr>
        <w:t>Tabela 3 – Composição dos conjuntos utilizados no experimento</w:t>
      </w:r>
    </w:p>
    <w:tbl>
      <w:tblPr>
        <w:tblStyle w:val="Table5"/>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pacing w:lineRule="auto" w:line="240"/>
              <w:jc w:val="left"/>
              <w:rPr/>
            </w:pPr>
            <w:r>
              <w:rPr>
                <w:b/>
                <w:bCs/>
                <w:sz w:val="20"/>
                <w:szCs w:val="20"/>
              </w:rPr>
              <w:t>Conjunto</w:t>
            </w:r>
          </w:p>
        </w:tc>
        <w:tc>
          <w:tcPr>
            <w:tcW w:w="2268" w:type="dxa"/>
            <w:tcBorders/>
            <w:vAlign w:val="center"/>
          </w:tcPr>
          <w:p>
            <w:pPr>
              <w:pStyle w:val="normal1"/>
              <w:spacing w:lineRule="auto" w:line="240"/>
              <w:jc w:val="center"/>
              <w:rPr/>
            </w:pPr>
            <w:r>
              <w:rPr>
                <w:b/>
                <w:bCs/>
                <w:sz w:val="20"/>
                <w:szCs w:val="20"/>
              </w:rPr>
              <w:t>Total de imagens</w:t>
            </w:r>
          </w:p>
        </w:tc>
        <w:tc>
          <w:tcPr>
            <w:tcW w:w="2268" w:type="dxa"/>
            <w:tcBorders/>
            <w:vAlign w:val="center"/>
          </w:tcPr>
          <w:p>
            <w:pPr>
              <w:pStyle w:val="normal1"/>
              <w:spacing w:lineRule="auto" w:line="240"/>
              <w:jc w:val="center"/>
              <w:rPr/>
            </w:pPr>
            <w:r>
              <w:rPr>
                <w:b/>
                <w:bCs/>
                <w:sz w:val="20"/>
                <w:szCs w:val="20"/>
              </w:rPr>
              <w:t>Imagens positivas</w:t>
            </w:r>
          </w:p>
        </w:tc>
        <w:tc>
          <w:tcPr>
            <w:tcW w:w="2267" w:type="dxa"/>
            <w:tcBorders/>
            <w:vAlign w:val="center"/>
          </w:tcPr>
          <w:p>
            <w:pPr>
              <w:pStyle w:val="normal1"/>
              <w:spacing w:lineRule="auto" w:line="240"/>
              <w:jc w:val="center"/>
              <w:rPr/>
            </w:pPr>
            <w:r>
              <w:rPr>
                <w:b/>
                <w:bCs/>
                <w:sz w:val="20"/>
                <w:szCs w:val="20"/>
              </w:rPr>
              <w:t>Imagens negativas/background</w:t>
            </w:r>
          </w:p>
        </w:tc>
      </w:tr>
      <w:tr>
        <w:trPr/>
        <w:tc>
          <w:tcPr>
            <w:tcW w:w="2268" w:type="dxa"/>
            <w:tcBorders/>
            <w:vAlign w:val="center"/>
          </w:tcPr>
          <w:p>
            <w:pPr>
              <w:pStyle w:val="normal1"/>
              <w:rPr/>
            </w:pPr>
            <w:r>
              <w:rPr/>
              <w:t>Treino</w:t>
            </w:r>
          </w:p>
        </w:tc>
        <w:tc>
          <w:tcPr>
            <w:tcW w:w="2268" w:type="dxa"/>
            <w:tcBorders/>
            <w:vAlign w:val="center"/>
          </w:tcPr>
          <w:p>
            <w:pPr>
              <w:pStyle w:val="normal1"/>
              <w:rPr/>
            </w:pPr>
            <w:r>
              <w:rPr/>
              <w:t>6.736</w:t>
            </w:r>
          </w:p>
        </w:tc>
        <w:tc>
          <w:tcPr>
            <w:tcW w:w="2268" w:type="dxa"/>
            <w:tcBorders/>
            <w:vAlign w:val="center"/>
          </w:tcPr>
          <w:p>
            <w:pPr>
              <w:pStyle w:val="normal1"/>
              <w:rPr/>
            </w:pPr>
            <w:r>
              <w:rPr/>
              <w:t>5.685</w:t>
            </w:r>
          </w:p>
        </w:tc>
        <w:tc>
          <w:tcPr>
            <w:tcW w:w="2267" w:type="dxa"/>
            <w:tcBorders/>
            <w:vAlign w:val="center"/>
          </w:tcPr>
          <w:p>
            <w:pPr>
              <w:pStyle w:val="normal1"/>
              <w:rPr/>
            </w:pPr>
            <w:r>
              <w:rPr/>
              <w:t>1.051</w:t>
            </w:r>
          </w:p>
        </w:tc>
      </w:tr>
      <w:tr>
        <w:trPr/>
        <w:tc>
          <w:tcPr>
            <w:tcW w:w="2268" w:type="dxa"/>
            <w:tcBorders/>
            <w:vAlign w:val="center"/>
          </w:tcPr>
          <w:p>
            <w:pPr>
              <w:pStyle w:val="normal1"/>
              <w:rPr/>
            </w:pPr>
            <w:r>
              <w:rPr/>
              <w:t>Validação</w:t>
            </w:r>
          </w:p>
        </w:tc>
        <w:tc>
          <w:tcPr>
            <w:tcW w:w="2268" w:type="dxa"/>
            <w:tcBorders/>
            <w:vAlign w:val="center"/>
          </w:tcPr>
          <w:p>
            <w:pPr>
              <w:pStyle w:val="normal1"/>
              <w:rPr/>
            </w:pPr>
            <w:r>
              <w:rPr/>
              <w:t>1.286</w:t>
            </w:r>
          </w:p>
        </w:tc>
        <w:tc>
          <w:tcPr>
            <w:tcW w:w="2268" w:type="dxa"/>
            <w:tcBorders/>
            <w:vAlign w:val="center"/>
          </w:tcPr>
          <w:p>
            <w:pPr>
              <w:pStyle w:val="normal1"/>
              <w:rPr/>
            </w:pPr>
            <w:r>
              <w:rPr/>
              <w:t>1.101</w:t>
            </w:r>
          </w:p>
        </w:tc>
        <w:tc>
          <w:tcPr>
            <w:tcW w:w="2267" w:type="dxa"/>
            <w:tcBorders/>
            <w:vAlign w:val="center"/>
          </w:tcPr>
          <w:p>
            <w:pPr>
              <w:pStyle w:val="normal1"/>
              <w:rPr/>
            </w:pPr>
            <w:r>
              <w:rPr/>
              <w:t>185</w:t>
            </w:r>
          </w:p>
        </w:tc>
      </w:tr>
      <w:tr>
        <w:trPr/>
        <w:tc>
          <w:tcPr>
            <w:tcW w:w="2268" w:type="dxa"/>
            <w:tcBorders/>
            <w:vAlign w:val="center"/>
          </w:tcPr>
          <w:p>
            <w:pPr>
              <w:pStyle w:val="normal1"/>
              <w:rPr/>
            </w:pPr>
            <w:r>
              <w:rPr/>
              <w:t>Teste</w:t>
            </w:r>
          </w:p>
        </w:tc>
        <w:tc>
          <w:tcPr>
            <w:tcW w:w="2268" w:type="dxa"/>
            <w:tcBorders/>
            <w:vAlign w:val="center"/>
          </w:tcPr>
          <w:p>
            <w:pPr>
              <w:pStyle w:val="normal1"/>
              <w:rPr/>
            </w:pPr>
            <w:r>
              <w:rPr/>
              <w:t>560</w:t>
            </w:r>
          </w:p>
        </w:tc>
        <w:tc>
          <w:tcPr>
            <w:tcW w:w="2268" w:type="dxa"/>
            <w:tcBorders/>
            <w:vAlign w:val="center"/>
          </w:tcPr>
          <w:p>
            <w:pPr>
              <w:pStyle w:val="normal1"/>
              <w:rPr/>
            </w:pPr>
            <w:r>
              <w:rPr/>
              <w:t>280</w:t>
            </w:r>
          </w:p>
        </w:tc>
        <w:tc>
          <w:tcPr>
            <w:tcW w:w="2267" w:type="dxa"/>
            <w:tcBorders/>
            <w:vAlign w:val="center"/>
          </w:tcPr>
          <w:p>
            <w:pPr>
              <w:pStyle w:val="normal1"/>
              <w:rPr/>
            </w:pPr>
            <w:r>
              <w:rPr/>
              <w:t>280</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spacing w:lineRule="auto" w:line="240" w:before="60" w:after="120"/>
        <w:jc w:val="left"/>
        <w:rPr/>
      </w:pPr>
      <w: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2 – Composição do conjunto de teste e distribuição de bounding boxes por imagem positiva</w:t>
      </w:r>
    </w:p>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jc w:val="cente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3 – Amostras do conjunto de teste</w:t>
      </w:r>
      <w:r>
        <w:rPr>
          <w:sz w:val="20"/>
          <w:szCs w:val="20"/>
        </w:rPr>
        <w:t xml:space="preserve">: </w:t>
      </w:r>
      <w:r>
        <w:rPr>
          <w:rFonts w:eastAsia="Times New Roman" w:cs="Times New Roman"/>
          <w:sz w:val="20"/>
          <w:szCs w:val="20"/>
        </w:rPr>
        <w:t>linha superior: imagens com resíduos; linha inferior: imagens sem resíduos</w:t>
      </w:r>
    </w:p>
    <w:p>
      <w:pPr>
        <w:pStyle w:val="normal1"/>
        <w:spacing w:lineRule="auto" w:line="240" w:before="0" w:after="0"/>
        <w:ind w:hanging="0"/>
        <w:jc w:val="left"/>
        <w:rPr/>
      </w:pPr>
      <w:r>
        <w:rPr>
          <w:rFonts w:eastAsia="Times New Roman" w:cs="Times New Roman"/>
          <w:sz w:val="20"/>
          <w:szCs w:val="20"/>
        </w:rPr>
        <w:t>Fonte: elaborado pelo autor com base no conjunto de teste (2026). Imagens de vias públicas brasileiras.</w:t>
      </w:r>
    </w:p>
    <w:p>
      <w:pPr>
        <w:pStyle w:val="normal1"/>
        <w:rPr/>
      </w:pPr>
      <w:r>
        <w:rPr/>
        <w:t>A proporção de imagens negativas no treinamento do YOLOv11m foi mantida em aproximadamente 15%. O conjunto final de treino apresentou 15,6% de imagens de background, proporção compatível com a decisão metodológica de fortalecer a exposição do modelo a cenas urbanas limpas e reduzir falsos positivos.</w:t>
      </w:r>
    </w:p>
    <w:p>
      <w:pPr>
        <w:pStyle w:val="normal1"/>
        <w:rPr/>
      </w:pPr>
      <w:r>
        <w:rPr/>
        <w:t>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background tende a reduzir alarmes falsos, mas pode aumentar o número de resíduos não detectados.</w:t>
      </w:r>
    </w:p>
    <w:p>
      <w:pPr>
        <w:pStyle w:val="normal1"/>
        <w:keepNext w:val="false"/>
        <w:keepLines w:val="false"/>
        <w:pageBreakBefore w:val="false"/>
        <w:widowControl w:val="false"/>
        <w:shd w:val="clear" w:fill="auto"/>
        <w:spacing w:lineRule="auto" w:line="360" w:before="0" w:after="120"/>
        <w:ind w:firstLine="709" w:left="0" w:right="0"/>
        <w:jc w:val="left"/>
        <w:rPr>
          <w:i w:val="false"/>
          <w:i w:val="false"/>
          <w:iCs w:val="false"/>
          <w:caps w:val="false"/>
          <w:smallCaps w:val="false"/>
          <w:strike w:val="false"/>
          <w:dstrike w:val="false"/>
          <w:color w:val="000000"/>
          <w:position w:val="0"/>
          <w:sz w:val="24"/>
          <w:sz w:val="24"/>
          <w:szCs w:val="24"/>
          <w:u w:val="none"/>
          <w:shd w:fill="auto" w:val="clear"/>
          <w:vertAlign w:val="baseline"/>
        </w:rPr>
      </w:pPr>
      <w:r>
        <w:rPr>
          <w:i w:val="false"/>
          <w:iCs w:val="false"/>
          <w:caps w:val="false"/>
          <w:smallCaps w:val="false"/>
          <w:strike w:val="false"/>
          <w:dstrike w:val="false"/>
          <w:color w:val="000000"/>
          <w:position w:val="0"/>
          <w:sz w:val="24"/>
          <w:sz w:val="24"/>
          <w:szCs w:val="24"/>
          <w:u w:val="none"/>
          <w:shd w:fill="auto" w:val="clear"/>
          <w:vertAlign w:val="baseline"/>
        </w:rPr>
        <w:t>4.3 Desempenho preditivo dos modelos</w:t>
      </w:r>
    </w:p>
    <w:p>
      <w:pPr>
        <w:pStyle w:val="normal1"/>
        <w:keepNext w:val="false"/>
        <w:keepLines w:val="false"/>
        <w:pageBreakBefore w:val="false"/>
        <w:widowControl w:val="false"/>
        <w:shd w:val="clear" w:fill="auto"/>
        <w:spacing w:lineRule="auto" w:line="360" w:before="0" w:after="0"/>
        <w:ind w:firstLine="709" w:left="0" w:right="0"/>
        <w:jc w:val="both"/>
        <w:rPr>
          <w:i w:val="false"/>
          <w:i w:val="false"/>
          <w:iCs w:val="false"/>
          <w:caps w:val="false"/>
          <w:smallCaps w:val="false"/>
          <w:strike w:val="false"/>
          <w:dstrike w:val="false"/>
          <w:color w:val="000000"/>
          <w:position w:val="0"/>
          <w:sz w:val="24"/>
          <w:sz w:val="24"/>
          <w:szCs w:val="24"/>
          <w:u w:val="none"/>
          <w:shd w:fill="auto" w:val="clear"/>
          <w:vertAlign w:val="baseline"/>
        </w:rPr>
      </w:pPr>
      <w:r>
        <w:rPr>
          <w:i w:val="false"/>
          <w:iCs w:val="false"/>
          <w:caps w:val="false"/>
          <w:smallCaps w:val="false"/>
          <w:strike w:val="false"/>
          <w:dstrike w:val="false"/>
          <w:color w:val="000000"/>
          <w:position w:val="0"/>
          <w:sz w:val="24"/>
          <w:sz w:val="24"/>
          <w:szCs w:val="24"/>
          <w:u w:val="none"/>
          <w:shd w:fill="auto" w:val="clear"/>
          <w:vertAlign w:val="baseline"/>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before="0" w:after="0"/>
        <w:ind w:hanging="0"/>
        <w:jc w:val="center"/>
        <w:rPr/>
      </w:pPr>
      <w:r>
        <w:rPr>
          <w:rFonts w:eastAsia="Times New Roman" w:cs="Times New Roman"/>
          <w:sz w:val="20"/>
          <w:szCs w:val="20"/>
        </w:rPr>
        <w:t>Tabela 4 – Comparação das métricas preditivas entre YOLOv11m e Gemma 3 27B-IT</w:t>
      </w:r>
    </w:p>
    <w:tbl>
      <w:tblPr>
        <w:tblStyle w:val="Table6"/>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pacing w:lineRule="auto" w:line="240"/>
              <w:jc w:val="left"/>
              <w:rPr/>
            </w:pPr>
            <w:r>
              <w:rPr>
                <w:b/>
                <w:bCs/>
                <w:sz w:val="20"/>
                <w:szCs w:val="20"/>
              </w:rPr>
              <w:t>Métrica</w:t>
            </w:r>
          </w:p>
        </w:tc>
        <w:tc>
          <w:tcPr>
            <w:tcW w:w="2268" w:type="dxa"/>
            <w:tcBorders/>
            <w:vAlign w:val="center"/>
          </w:tcPr>
          <w:p>
            <w:pPr>
              <w:pStyle w:val="normal1"/>
              <w:spacing w:lineRule="auto" w:line="240"/>
              <w:ind w:hanging="0"/>
              <w:jc w:val="center"/>
              <w:rPr/>
            </w:pPr>
            <w:r>
              <w:rPr>
                <w:b/>
                <w:bCs/>
                <w:sz w:val="20"/>
                <w:szCs w:val="20"/>
              </w:rPr>
              <w:t>YOLOv11m</w:t>
            </w:r>
          </w:p>
        </w:tc>
        <w:tc>
          <w:tcPr>
            <w:tcW w:w="2268" w:type="dxa"/>
            <w:tcBorders/>
            <w:vAlign w:val="center"/>
          </w:tcPr>
          <w:p>
            <w:pPr>
              <w:pStyle w:val="normal1"/>
              <w:spacing w:lineRule="auto" w:line="240"/>
              <w:ind w:hanging="0"/>
              <w:jc w:val="center"/>
              <w:rPr/>
            </w:pPr>
            <w:r>
              <w:rPr>
                <w:b/>
                <w:bCs/>
                <w:sz w:val="20"/>
                <w:szCs w:val="20"/>
              </w:rPr>
              <w:t>Gemma 3</w:t>
            </w:r>
          </w:p>
        </w:tc>
        <w:tc>
          <w:tcPr>
            <w:tcW w:w="2267" w:type="dxa"/>
            <w:tcBorders/>
            <w:vAlign w:val="center"/>
          </w:tcPr>
          <w:p>
            <w:pPr>
              <w:pStyle w:val="normal1"/>
              <w:spacing w:lineRule="auto" w:line="240"/>
              <w:ind w:hanging="0"/>
              <w:jc w:val="center"/>
              <w:rPr/>
            </w:pPr>
            <w:r>
              <w:rPr>
                <w:b/>
                <w:bCs/>
                <w:sz w:val="20"/>
                <w:szCs w:val="20"/>
              </w:rPr>
              <w:t>Diferença Gemma – YOLO</w:t>
            </w:r>
          </w:p>
        </w:tc>
      </w:tr>
      <w:tr>
        <w:trPr/>
        <w:tc>
          <w:tcPr>
            <w:tcW w:w="2268" w:type="dxa"/>
            <w:tcBorders/>
            <w:vAlign w:val="center"/>
          </w:tcPr>
          <w:p>
            <w:pPr>
              <w:pStyle w:val="normal1"/>
              <w:ind w:hanging="0"/>
              <w:jc w:val="center"/>
              <w:rPr/>
            </w:pPr>
            <w:r>
              <w:rPr/>
              <w:t>Acurácia</w:t>
            </w:r>
          </w:p>
        </w:tc>
        <w:tc>
          <w:tcPr>
            <w:tcW w:w="2268" w:type="dxa"/>
            <w:tcBorders/>
            <w:vAlign w:val="center"/>
          </w:tcPr>
          <w:p>
            <w:pPr>
              <w:pStyle w:val="normal1"/>
              <w:rPr/>
            </w:pPr>
            <w:r>
              <w:rPr/>
              <w:t>0,7071</w:t>
            </w:r>
          </w:p>
        </w:tc>
        <w:tc>
          <w:tcPr>
            <w:tcW w:w="2268" w:type="dxa"/>
            <w:tcBorders/>
            <w:vAlign w:val="center"/>
          </w:tcPr>
          <w:p>
            <w:pPr>
              <w:pStyle w:val="normal1"/>
              <w:rPr/>
            </w:pPr>
            <w:r>
              <w:rPr/>
              <w:t>0,9179</w:t>
            </w:r>
          </w:p>
        </w:tc>
        <w:tc>
          <w:tcPr>
            <w:tcW w:w="2267" w:type="dxa"/>
            <w:tcBorders/>
            <w:vAlign w:val="center"/>
          </w:tcPr>
          <w:p>
            <w:pPr>
              <w:pStyle w:val="normal1"/>
              <w:rPr/>
            </w:pPr>
            <w:r>
              <w:rPr/>
              <w:t>+0,2108</w:t>
            </w:r>
          </w:p>
        </w:tc>
      </w:tr>
      <w:tr>
        <w:trPr/>
        <w:tc>
          <w:tcPr>
            <w:tcW w:w="2268" w:type="dxa"/>
            <w:tcBorders/>
            <w:vAlign w:val="center"/>
          </w:tcPr>
          <w:p>
            <w:pPr>
              <w:pStyle w:val="normal1"/>
              <w:ind w:hanging="0"/>
              <w:jc w:val="center"/>
              <w:rPr/>
            </w:pPr>
            <w:r>
              <w:rPr/>
              <w:t>Precisão</w:t>
            </w:r>
          </w:p>
        </w:tc>
        <w:tc>
          <w:tcPr>
            <w:tcW w:w="2268" w:type="dxa"/>
            <w:tcBorders/>
            <w:vAlign w:val="center"/>
          </w:tcPr>
          <w:p>
            <w:pPr>
              <w:pStyle w:val="normal1"/>
              <w:rPr/>
            </w:pPr>
            <w:r>
              <w:rPr/>
              <w:t>0,7117</w:t>
            </w:r>
          </w:p>
        </w:tc>
        <w:tc>
          <w:tcPr>
            <w:tcW w:w="2268" w:type="dxa"/>
            <w:tcBorders/>
            <w:vAlign w:val="center"/>
          </w:tcPr>
          <w:p>
            <w:pPr>
              <w:pStyle w:val="normal1"/>
              <w:rPr/>
            </w:pPr>
            <w:r>
              <w:rPr/>
              <w:t>0,8611</w:t>
            </w:r>
          </w:p>
        </w:tc>
        <w:tc>
          <w:tcPr>
            <w:tcW w:w="2267" w:type="dxa"/>
            <w:tcBorders/>
            <w:vAlign w:val="center"/>
          </w:tcPr>
          <w:p>
            <w:pPr>
              <w:pStyle w:val="normal1"/>
              <w:rPr/>
            </w:pPr>
            <w:r>
              <w:rPr/>
              <w:t>+0,1494</w:t>
            </w:r>
          </w:p>
        </w:tc>
      </w:tr>
      <w:tr>
        <w:trPr/>
        <w:tc>
          <w:tcPr>
            <w:tcW w:w="2268" w:type="dxa"/>
            <w:tcBorders/>
            <w:vAlign w:val="center"/>
          </w:tcPr>
          <w:p>
            <w:pPr>
              <w:pStyle w:val="normal1"/>
              <w:ind w:hanging="0"/>
              <w:jc w:val="center"/>
              <w:rPr/>
            </w:pPr>
            <w:r>
              <w:rPr/>
              <w:t>Recall</w:t>
            </w:r>
          </w:p>
        </w:tc>
        <w:tc>
          <w:tcPr>
            <w:tcW w:w="2268" w:type="dxa"/>
            <w:tcBorders/>
            <w:vAlign w:val="center"/>
          </w:tcPr>
          <w:p>
            <w:pPr>
              <w:pStyle w:val="normal1"/>
              <w:rPr/>
            </w:pPr>
            <w:r>
              <w:rPr/>
              <w:t>0,6964</w:t>
            </w:r>
          </w:p>
        </w:tc>
        <w:tc>
          <w:tcPr>
            <w:tcW w:w="2268" w:type="dxa"/>
            <w:tcBorders/>
            <w:vAlign w:val="center"/>
          </w:tcPr>
          <w:p>
            <w:pPr>
              <w:pStyle w:val="normal1"/>
              <w:rPr/>
            </w:pPr>
            <w:r>
              <w:rPr/>
              <w:t>0,9964</w:t>
            </w:r>
          </w:p>
        </w:tc>
        <w:tc>
          <w:tcPr>
            <w:tcW w:w="2267" w:type="dxa"/>
            <w:tcBorders/>
            <w:vAlign w:val="center"/>
          </w:tcPr>
          <w:p>
            <w:pPr>
              <w:pStyle w:val="normal1"/>
              <w:rPr/>
            </w:pPr>
            <w:r>
              <w:rPr/>
              <w:t>+0,3000</w:t>
            </w:r>
          </w:p>
        </w:tc>
      </w:tr>
      <w:tr>
        <w:trPr/>
        <w:tc>
          <w:tcPr>
            <w:tcW w:w="2268" w:type="dxa"/>
            <w:tcBorders/>
            <w:vAlign w:val="center"/>
          </w:tcPr>
          <w:p>
            <w:pPr>
              <w:pStyle w:val="normal1"/>
              <w:ind w:hanging="0"/>
              <w:jc w:val="center"/>
              <w:rPr/>
            </w:pPr>
            <w:r>
              <w:rPr/>
              <w:t>Especificidade</w:t>
            </w:r>
          </w:p>
        </w:tc>
        <w:tc>
          <w:tcPr>
            <w:tcW w:w="2268" w:type="dxa"/>
            <w:tcBorders/>
            <w:vAlign w:val="center"/>
          </w:tcPr>
          <w:p>
            <w:pPr>
              <w:pStyle w:val="normal1"/>
              <w:rPr/>
            </w:pPr>
            <w:r>
              <w:rPr/>
              <w:t>0,7179</w:t>
            </w:r>
          </w:p>
        </w:tc>
        <w:tc>
          <w:tcPr>
            <w:tcW w:w="2268" w:type="dxa"/>
            <w:tcBorders/>
            <w:vAlign w:val="center"/>
          </w:tcPr>
          <w:p>
            <w:pPr>
              <w:pStyle w:val="normal1"/>
              <w:rPr/>
            </w:pPr>
            <w:r>
              <w:rPr/>
              <w:t>0,8393</w:t>
            </w:r>
          </w:p>
        </w:tc>
        <w:tc>
          <w:tcPr>
            <w:tcW w:w="2267" w:type="dxa"/>
            <w:tcBorders/>
            <w:vAlign w:val="center"/>
          </w:tcPr>
          <w:p>
            <w:pPr>
              <w:pStyle w:val="normal1"/>
              <w:rPr/>
            </w:pPr>
            <w:r>
              <w:rPr/>
              <w:t>+0,1214</w:t>
            </w:r>
          </w:p>
        </w:tc>
      </w:tr>
      <w:tr>
        <w:trPr/>
        <w:tc>
          <w:tcPr>
            <w:tcW w:w="2268" w:type="dxa"/>
            <w:tcBorders/>
            <w:vAlign w:val="center"/>
          </w:tcPr>
          <w:p>
            <w:pPr>
              <w:pStyle w:val="normal1"/>
              <w:ind w:hanging="0"/>
              <w:jc w:val="center"/>
              <w:rPr/>
            </w:pPr>
            <w:r>
              <w:rPr/>
              <w:t>F1-score</w:t>
            </w:r>
          </w:p>
        </w:tc>
        <w:tc>
          <w:tcPr>
            <w:tcW w:w="2268" w:type="dxa"/>
            <w:tcBorders/>
            <w:vAlign w:val="center"/>
          </w:tcPr>
          <w:p>
            <w:pPr>
              <w:pStyle w:val="normal1"/>
              <w:rPr/>
            </w:pPr>
            <w:r>
              <w:rPr/>
              <w:t>0,7040</w:t>
            </w:r>
          </w:p>
        </w:tc>
        <w:tc>
          <w:tcPr>
            <w:tcW w:w="2268" w:type="dxa"/>
            <w:tcBorders/>
            <w:vAlign w:val="center"/>
          </w:tcPr>
          <w:p>
            <w:pPr>
              <w:pStyle w:val="normal1"/>
              <w:rPr/>
            </w:pPr>
            <w:r>
              <w:rPr/>
              <w:t>0,9238</w:t>
            </w:r>
          </w:p>
        </w:tc>
        <w:tc>
          <w:tcPr>
            <w:tcW w:w="2267" w:type="dxa"/>
            <w:tcBorders/>
            <w:vAlign w:val="center"/>
          </w:tcPr>
          <w:p>
            <w:pPr>
              <w:pStyle w:val="normal1"/>
              <w:rPr/>
            </w:pPr>
            <w:r>
              <w:rPr/>
              <w:t>+0,2198</w:t>
            </w:r>
          </w:p>
        </w:tc>
      </w:tr>
      <w:tr>
        <w:trPr/>
        <w:tc>
          <w:tcPr>
            <w:tcW w:w="2268" w:type="dxa"/>
            <w:tcBorders/>
            <w:vAlign w:val="center"/>
          </w:tcPr>
          <w:p>
            <w:pPr>
              <w:pStyle w:val="normal1"/>
              <w:ind w:hanging="0"/>
              <w:jc w:val="center"/>
              <w:rPr/>
            </w:pPr>
            <w:r>
              <w:rPr/>
              <w:t>Taxa de FP</w:t>
            </w:r>
          </w:p>
        </w:tc>
        <w:tc>
          <w:tcPr>
            <w:tcW w:w="2268" w:type="dxa"/>
            <w:tcBorders/>
            <w:vAlign w:val="center"/>
          </w:tcPr>
          <w:p>
            <w:pPr>
              <w:pStyle w:val="normal1"/>
              <w:rPr/>
            </w:pPr>
            <w:r>
              <w:rPr/>
              <w:t>0,2821</w:t>
            </w:r>
          </w:p>
        </w:tc>
        <w:tc>
          <w:tcPr>
            <w:tcW w:w="2268" w:type="dxa"/>
            <w:tcBorders/>
            <w:vAlign w:val="center"/>
          </w:tcPr>
          <w:p>
            <w:pPr>
              <w:pStyle w:val="normal1"/>
              <w:rPr/>
            </w:pPr>
            <w:r>
              <w:rPr/>
              <w:t>0,1607</w:t>
            </w:r>
          </w:p>
        </w:tc>
        <w:tc>
          <w:tcPr>
            <w:tcW w:w="2267" w:type="dxa"/>
            <w:tcBorders/>
            <w:vAlign w:val="center"/>
          </w:tcPr>
          <w:p>
            <w:pPr>
              <w:pStyle w:val="normal1"/>
              <w:rPr/>
            </w:pPr>
            <w:r>
              <w:rPr/>
              <w:t>-0,1214</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spacing w:lineRule="auto" w:line="240" w:before="60" w:after="120"/>
        <w:jc w:val="left"/>
        <w:rPr/>
      </w:pPr>
      <w:r>
        <w:rPr/>
        <w:t>O resultado mais expressivo aparece no recall. O Gemma 3 27B-IT identificou corretamente 279 das 280 imagens com resíduos, alcançando sensibilidade de 0,9964. O YOLOv11m, por sua vez, identificou corretamente 195 das 280 imagens positivas, com recall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4 – Comparação de métricas preditivas entre YOLOv11m e Gemma 3 27B-IT</w:t>
      </w:r>
    </w:p>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rPr/>
      </w:pPr>
      <w: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normal1"/>
        <w:rPr/>
      </w:pPr>
      <w: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pPr>
      <w:r>
        <w:rPr/>
        <w:t>As matrizes de confusão permitem visualizar melhor essa diferença.</w:t>
      </w:r>
    </w:p>
    <w:p>
      <w:pPr>
        <w:pStyle w:val="normal1"/>
        <w:spacing w:lineRule="auto" w:line="240" w:before="0" w:after="0"/>
        <w:ind w:hanging="0"/>
        <w:jc w:val="center"/>
        <w:rPr/>
      </w:pPr>
      <w:r>
        <w:rPr>
          <w:rFonts w:eastAsia="Times New Roman" w:cs="Times New Roman"/>
          <w:sz w:val="20"/>
          <w:szCs w:val="20"/>
        </w:rPr>
        <w:t>Tabela 5 – Matriz de confusão do YOLOv11m</w:t>
      </w:r>
    </w:p>
    <w:tbl>
      <w:tblPr>
        <w:tblStyle w:val="Table7"/>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pacing w:lineRule="auto" w:line="240"/>
              <w:jc w:val="left"/>
              <w:rPr/>
            </w:pPr>
            <w:r>
              <w:rPr>
                <w:b/>
                <w:bCs/>
                <w:sz w:val="20"/>
                <w:szCs w:val="20"/>
              </w:rPr>
              <w:t>Situação real / Predição</w:t>
            </w:r>
          </w:p>
        </w:tc>
        <w:tc>
          <w:tcPr>
            <w:tcW w:w="3024" w:type="dxa"/>
            <w:tcBorders/>
            <w:vAlign w:val="center"/>
          </w:tcPr>
          <w:p>
            <w:pPr>
              <w:pStyle w:val="normal1"/>
              <w:spacing w:lineRule="auto" w:line="240"/>
              <w:jc w:val="center"/>
              <w:rPr/>
            </w:pPr>
            <w:r>
              <w:rPr>
                <w:b/>
                <w:bCs/>
                <w:sz w:val="20"/>
                <w:szCs w:val="20"/>
              </w:rPr>
              <w:t>Predito: sem resíduo</w:t>
            </w:r>
          </w:p>
        </w:tc>
        <w:tc>
          <w:tcPr>
            <w:tcW w:w="3024" w:type="dxa"/>
            <w:tcBorders/>
            <w:vAlign w:val="center"/>
          </w:tcPr>
          <w:p>
            <w:pPr>
              <w:pStyle w:val="normal1"/>
              <w:spacing w:lineRule="auto" w:line="240"/>
              <w:jc w:val="center"/>
              <w:rPr/>
            </w:pPr>
            <w:r>
              <w:rPr>
                <w:b/>
                <w:bCs/>
                <w:sz w:val="20"/>
                <w:szCs w:val="20"/>
              </w:rPr>
              <w:t>Predito: com resíduo</w:t>
            </w:r>
          </w:p>
        </w:tc>
      </w:tr>
      <w:tr>
        <w:trPr/>
        <w:tc>
          <w:tcPr>
            <w:tcW w:w="3024" w:type="dxa"/>
            <w:tcBorders/>
            <w:vAlign w:val="center"/>
          </w:tcPr>
          <w:p>
            <w:pPr>
              <w:pStyle w:val="normal1"/>
              <w:spacing w:lineRule="auto" w:line="240"/>
              <w:jc w:val="left"/>
              <w:rPr/>
            </w:pPr>
            <w:r>
              <w:rPr>
                <w:sz w:val="20"/>
                <w:szCs w:val="20"/>
              </w:rPr>
              <w:t>Real: sem resíduo</w:t>
            </w:r>
          </w:p>
        </w:tc>
        <w:tc>
          <w:tcPr>
            <w:tcW w:w="3024" w:type="dxa"/>
            <w:tcBorders/>
            <w:vAlign w:val="center"/>
          </w:tcPr>
          <w:p>
            <w:pPr>
              <w:pStyle w:val="normal1"/>
              <w:rPr/>
            </w:pPr>
            <w:r>
              <w:rPr/>
              <w:t>VN = 201</w:t>
            </w:r>
          </w:p>
        </w:tc>
        <w:tc>
          <w:tcPr>
            <w:tcW w:w="3024" w:type="dxa"/>
            <w:tcBorders/>
            <w:vAlign w:val="center"/>
          </w:tcPr>
          <w:p>
            <w:pPr>
              <w:pStyle w:val="normal1"/>
              <w:rPr/>
            </w:pPr>
            <w:r>
              <w:rPr/>
              <w:t>FP = 79</w:t>
            </w:r>
          </w:p>
        </w:tc>
      </w:tr>
      <w:tr>
        <w:trPr/>
        <w:tc>
          <w:tcPr>
            <w:tcW w:w="3024" w:type="dxa"/>
            <w:tcBorders/>
            <w:vAlign w:val="center"/>
          </w:tcPr>
          <w:p>
            <w:pPr>
              <w:pStyle w:val="normal1"/>
              <w:spacing w:lineRule="auto" w:line="240"/>
              <w:jc w:val="left"/>
              <w:rPr/>
            </w:pPr>
            <w:r>
              <w:rPr>
                <w:sz w:val="20"/>
                <w:szCs w:val="20"/>
              </w:rPr>
              <w:t>Real: com resíduo</w:t>
            </w:r>
          </w:p>
        </w:tc>
        <w:tc>
          <w:tcPr>
            <w:tcW w:w="3024" w:type="dxa"/>
            <w:tcBorders/>
            <w:vAlign w:val="center"/>
          </w:tcPr>
          <w:p>
            <w:pPr>
              <w:pStyle w:val="normal1"/>
              <w:rPr/>
            </w:pPr>
            <w:r>
              <w:rPr/>
              <w:t>FN = 85</w:t>
            </w:r>
          </w:p>
        </w:tc>
        <w:tc>
          <w:tcPr>
            <w:tcW w:w="3024" w:type="dxa"/>
            <w:tcBorders/>
            <w:vAlign w:val="center"/>
          </w:tcPr>
          <w:p>
            <w:pPr>
              <w:pStyle w:val="normal1"/>
              <w:rPr/>
            </w:pPr>
            <w:r>
              <w:rPr/>
              <w:t>VP = 195</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spacing w:lineRule="auto" w:line="240" w:before="0" w:after="0"/>
        <w:ind w:hanging="0"/>
        <w:jc w:val="center"/>
        <w:rPr/>
      </w:pPr>
      <w:r>
        <w:rPr>
          <w:rFonts w:eastAsia="Times New Roman" w:cs="Times New Roman"/>
          <w:sz w:val="20"/>
          <w:szCs w:val="20"/>
        </w:rPr>
        <w:t>Tabela 6 – Matriz de confusão do Gemma 3 27B-IT</w:t>
      </w:r>
    </w:p>
    <w:tbl>
      <w:tblPr>
        <w:tblStyle w:val="Table8"/>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pacing w:lineRule="auto" w:line="240"/>
              <w:jc w:val="left"/>
              <w:rPr/>
            </w:pPr>
            <w:r>
              <w:rPr>
                <w:b/>
                <w:bCs/>
                <w:sz w:val="20"/>
                <w:szCs w:val="20"/>
              </w:rPr>
              <w:t>Situação real / Predição</w:t>
            </w:r>
          </w:p>
        </w:tc>
        <w:tc>
          <w:tcPr>
            <w:tcW w:w="3024" w:type="dxa"/>
            <w:tcBorders/>
            <w:vAlign w:val="center"/>
          </w:tcPr>
          <w:p>
            <w:pPr>
              <w:pStyle w:val="normal1"/>
              <w:spacing w:lineRule="auto" w:line="240"/>
              <w:jc w:val="center"/>
              <w:rPr/>
            </w:pPr>
            <w:r>
              <w:rPr>
                <w:b/>
                <w:bCs/>
                <w:sz w:val="20"/>
                <w:szCs w:val="20"/>
              </w:rPr>
              <w:t>Predito: sem resíduo</w:t>
            </w:r>
          </w:p>
        </w:tc>
        <w:tc>
          <w:tcPr>
            <w:tcW w:w="3024" w:type="dxa"/>
            <w:tcBorders/>
            <w:vAlign w:val="center"/>
          </w:tcPr>
          <w:p>
            <w:pPr>
              <w:pStyle w:val="normal1"/>
              <w:spacing w:lineRule="auto" w:line="240"/>
              <w:jc w:val="center"/>
              <w:rPr/>
            </w:pPr>
            <w:r>
              <w:rPr>
                <w:b/>
                <w:bCs/>
                <w:sz w:val="20"/>
                <w:szCs w:val="20"/>
              </w:rPr>
              <w:t>Predito: com resíduo</w:t>
            </w:r>
          </w:p>
        </w:tc>
      </w:tr>
      <w:tr>
        <w:trPr/>
        <w:tc>
          <w:tcPr>
            <w:tcW w:w="3024" w:type="dxa"/>
            <w:tcBorders/>
            <w:vAlign w:val="center"/>
          </w:tcPr>
          <w:p>
            <w:pPr>
              <w:pStyle w:val="normal1"/>
              <w:spacing w:lineRule="auto" w:line="240"/>
              <w:jc w:val="left"/>
              <w:rPr/>
            </w:pPr>
            <w:r>
              <w:rPr>
                <w:sz w:val="20"/>
                <w:szCs w:val="20"/>
              </w:rPr>
              <w:t>Real: sem resíduo</w:t>
            </w:r>
          </w:p>
        </w:tc>
        <w:tc>
          <w:tcPr>
            <w:tcW w:w="3024" w:type="dxa"/>
            <w:tcBorders/>
            <w:vAlign w:val="center"/>
          </w:tcPr>
          <w:p>
            <w:pPr>
              <w:pStyle w:val="normal1"/>
              <w:spacing w:lineRule="auto" w:line="240"/>
              <w:jc w:val="center"/>
              <w:rPr/>
            </w:pPr>
            <w:r>
              <w:rPr>
                <w:sz w:val="20"/>
                <w:szCs w:val="20"/>
              </w:rPr>
              <w:t>VN = 235</w:t>
            </w:r>
          </w:p>
        </w:tc>
        <w:tc>
          <w:tcPr>
            <w:tcW w:w="3024" w:type="dxa"/>
            <w:tcBorders/>
            <w:vAlign w:val="center"/>
          </w:tcPr>
          <w:p>
            <w:pPr>
              <w:pStyle w:val="normal1"/>
              <w:spacing w:lineRule="auto" w:line="240"/>
              <w:jc w:val="center"/>
              <w:rPr/>
            </w:pPr>
            <w:r>
              <w:rPr>
                <w:sz w:val="20"/>
                <w:szCs w:val="20"/>
              </w:rPr>
              <w:t>FP = 45</w:t>
            </w:r>
          </w:p>
        </w:tc>
      </w:tr>
      <w:tr>
        <w:trPr/>
        <w:tc>
          <w:tcPr>
            <w:tcW w:w="3024" w:type="dxa"/>
            <w:tcBorders/>
            <w:vAlign w:val="center"/>
          </w:tcPr>
          <w:p>
            <w:pPr>
              <w:pStyle w:val="normal1"/>
              <w:spacing w:lineRule="auto" w:line="240"/>
              <w:jc w:val="left"/>
              <w:rPr/>
            </w:pPr>
            <w:r>
              <w:rPr>
                <w:sz w:val="20"/>
                <w:szCs w:val="20"/>
              </w:rPr>
              <w:t>Real: com resíduo</w:t>
            </w:r>
          </w:p>
        </w:tc>
        <w:tc>
          <w:tcPr>
            <w:tcW w:w="3024" w:type="dxa"/>
            <w:tcBorders/>
            <w:vAlign w:val="center"/>
          </w:tcPr>
          <w:p>
            <w:pPr>
              <w:pStyle w:val="normal1"/>
              <w:spacing w:lineRule="auto" w:line="240"/>
              <w:jc w:val="center"/>
              <w:rPr/>
            </w:pPr>
            <w:r>
              <w:rPr>
                <w:sz w:val="20"/>
                <w:szCs w:val="20"/>
              </w:rPr>
              <w:t>FN = 1</w:t>
            </w:r>
          </w:p>
        </w:tc>
        <w:tc>
          <w:tcPr>
            <w:tcW w:w="3024" w:type="dxa"/>
            <w:tcBorders/>
            <w:vAlign w:val="center"/>
          </w:tcPr>
          <w:p>
            <w:pPr>
              <w:pStyle w:val="normal1"/>
              <w:spacing w:lineRule="auto" w:line="240"/>
              <w:jc w:val="center"/>
              <w:rPr/>
            </w:pPr>
            <w:r>
              <w:rPr>
                <w:sz w:val="20"/>
                <w:szCs w:val="20"/>
              </w:rPr>
              <w:t>VP = 279</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spacing w:lineRule="auto" w:line="240" w:before="60" w:after="120"/>
        <w:jc w:val="left"/>
        <w:rPr/>
      </w:pPr>
      <w: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5 – Matrizes de confusão — classificação binária por imagem (YOLOv11m, limiar 0,25, e Gemma 3 27B-IT, zero-shot)</w:t>
      </w:r>
    </w:p>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rPr/>
      </w:pPr>
      <w:r>
        <w:rPr/>
        <w:t>Cabe destacar um aspecto relevante do comportamento do YOLOv11m. O aumento da proporção de imagens de background no treinamento, fixada em aproximadamente 15%, reduziu a taxa de falsos positivos do detector e elevou sua especificidade. Em contrapartida, tornou o modelo mais conservador, com queda na sensibilidade: o detector passou a sinalizar a presença de resíduos com maior critério, reduzindo alarmes falsos, mas deixando de identificar um número maior de cenas efetivamente com resíduos. Esse comportamento evidencia um trade-off central para a aplicação em gestão pública: a escolha entre minimizar deslocamentos desnecessários de equipes, priorizando especificidade, ou minimizar a omissão de pontos de descarte irregular, priorizando sensibilidade. A análise de sensibilidade ao limiar de confiança reforça esse ponto: em limiares mais altos, o YOLOv11m atinge especificidade superior a 0,88 e taxa de falsos positivos inferior a 0,12, porém com recall reduzido a cerca de 0,43. A Tabela 7 apresenta a análise de sensibilidade ao limiar de confiança para o YOLOv11m nos quatro pontos avaliados. A definição do ponto de operação adequado, portanto, não é apenas uma decisão técnica, mas uma decisão administrativa que depende do custo relativo atribuído a cada tipo de erro pela gestão municipal.</w:t>
      </w:r>
    </w:p>
    <w:p>
      <w:pPr>
        <w:pStyle w:val="normal1"/>
        <w:spacing w:lineRule="auto" w:line="240" w:before="0" w:after="0"/>
        <w:ind w:hanging="0"/>
        <w:jc w:val="center"/>
        <w:rPr/>
      </w:pPr>
      <w:r>
        <w:rPr>
          <w:rFonts w:eastAsia="Times New Roman" w:cs="Times New Roman"/>
          <w:sz w:val="20"/>
          <w:szCs w:val="20"/>
        </w:rPr>
        <w:t>Tabela 7 – Análise de sensibilidade ao limiar de confiança (YOLOv11m)</w:t>
      </w:r>
    </w:p>
    <w:tbl>
      <w:tblPr>
        <w:tblStyle w:val="Table9"/>
        <w:tblW w:w="9026" w:type="dxa"/>
        <w:jc w:val="left"/>
        <w:tblInd w:w="-115" w:type="dxa"/>
        <w:tblLayout w:type="fixed"/>
        <w:tblCellMar>
          <w:top w:w="0" w:type="dxa"/>
          <w:left w:w="108" w:type="dxa"/>
          <w:bottom w:w="0" w:type="dxa"/>
          <w:right w:w="108" w:type="dxa"/>
        </w:tblCellMar>
        <w:tblLook w:val="0000"/>
      </w:tblPr>
      <w:tblGrid>
        <w:gridCol w:w="1199"/>
        <w:gridCol w:w="1301"/>
        <w:gridCol w:w="1299"/>
        <w:gridCol w:w="1300"/>
        <w:gridCol w:w="1301"/>
        <w:gridCol w:w="1300"/>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ind w:hanging="0"/>
              <w:rPr/>
            </w:pPr>
            <w:r>
              <w:rPr>
                <w:b/>
                <w:bCs/>
              </w:rPr>
              <w:t>Limiar</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b/>
                <w:bCs/>
              </w:rPr>
              <w:t>Acurácia</w:t>
            </w:r>
          </w:p>
        </w:tc>
        <w:tc>
          <w:tcPr>
            <w:tcW w:w="1299" w:type="dxa"/>
            <w:tcBorders>
              <w:top w:val="single" w:sz="4" w:space="0" w:color="000000"/>
              <w:left w:val="single" w:sz="4" w:space="0" w:color="000000"/>
              <w:bottom w:val="single" w:sz="4" w:space="0" w:color="000000"/>
              <w:right w:val="single" w:sz="4" w:space="0" w:color="000000"/>
            </w:tcBorders>
          </w:tcPr>
          <w:p>
            <w:pPr>
              <w:pStyle w:val="normal1"/>
              <w:ind w:hanging="0"/>
              <w:rPr/>
            </w:pPr>
            <w:r>
              <w:rPr>
                <w:b/>
                <w:bCs/>
              </w:rPr>
              <w:t>Precisão</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b/>
                <w:bCs/>
              </w:rPr>
              <w:t>Recall</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b/>
                <w:bCs/>
              </w:rPr>
              <w:t>Especificidade</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b/>
                <w:bCs/>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ind w:hanging="0"/>
              <w:rPr/>
            </w:pPr>
            <w:r>
              <w:rPr>
                <w:b/>
                <w:bCs/>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ind w:hanging="0"/>
              <w:rPr/>
            </w:pPr>
            <w:r>
              <w:rPr/>
              <w:t>0,25*</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0,7071</w:t>
            </w:r>
          </w:p>
        </w:tc>
        <w:tc>
          <w:tcPr>
            <w:tcW w:w="1299" w:type="dxa"/>
            <w:tcBorders>
              <w:top w:val="single" w:sz="4" w:space="0" w:color="000000"/>
              <w:left w:val="single" w:sz="4" w:space="0" w:color="000000"/>
              <w:bottom w:val="single" w:sz="4" w:space="0" w:color="000000"/>
              <w:right w:val="single" w:sz="4" w:space="0" w:color="000000"/>
            </w:tcBorders>
          </w:tcPr>
          <w:p>
            <w:pPr>
              <w:pStyle w:val="normal1"/>
              <w:ind w:hanging="0"/>
              <w:rPr/>
            </w:pPr>
            <w:r>
              <w:rPr/>
              <w:t>0,7117</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0,6964</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0,7179</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ind w:hanging="0"/>
              <w:rPr/>
            </w:pPr>
            <w:r>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ind w:hanging="0"/>
              <w:rPr/>
            </w:pPr>
            <w:r>
              <w:rPr/>
              <w:t>0,35</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0,7268</w:t>
            </w:r>
          </w:p>
        </w:tc>
        <w:tc>
          <w:tcPr>
            <w:tcW w:w="1299" w:type="dxa"/>
            <w:tcBorders>
              <w:top w:val="single" w:sz="4" w:space="0" w:color="000000"/>
              <w:left w:val="single" w:sz="4" w:space="0" w:color="000000"/>
              <w:bottom w:val="single" w:sz="4" w:space="0" w:color="000000"/>
              <w:right w:val="single" w:sz="4" w:space="0" w:color="000000"/>
            </w:tcBorders>
          </w:tcPr>
          <w:p>
            <w:pPr>
              <w:pStyle w:val="normal1"/>
              <w:ind w:hanging="0"/>
              <w:rPr/>
            </w:pPr>
            <w:r>
              <w:rPr/>
              <w:t>0,7617</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0,6464</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0,8071</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ind w:hanging="0"/>
              <w:rPr/>
            </w:pPr>
            <w:r>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ind w:hanging="0"/>
              <w:rPr/>
            </w:pPr>
            <w:r>
              <w:rPr/>
              <w:t>0,50</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0,7054</w:t>
            </w:r>
          </w:p>
        </w:tc>
        <w:tc>
          <w:tcPr>
            <w:tcW w:w="1299" w:type="dxa"/>
            <w:tcBorders>
              <w:top w:val="single" w:sz="4" w:space="0" w:color="000000"/>
              <w:left w:val="single" w:sz="4" w:space="0" w:color="000000"/>
              <w:bottom w:val="single" w:sz="4" w:space="0" w:color="000000"/>
              <w:right w:val="single" w:sz="4" w:space="0" w:color="000000"/>
            </w:tcBorders>
          </w:tcPr>
          <w:p>
            <w:pPr>
              <w:pStyle w:val="normal1"/>
              <w:ind w:hanging="0"/>
              <w:rPr/>
            </w:pPr>
            <w:r>
              <w:rPr/>
              <w:t>0,8182</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0,5464</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0,8643</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ind w:hanging="0"/>
              <w:rPr/>
            </w:pPr>
            <w:r>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ind w:hanging="0"/>
              <w:rPr/>
            </w:pPr>
            <w:r>
              <w:rPr/>
              <w:t>0,65</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0,6661</w:t>
            </w:r>
          </w:p>
        </w:tc>
        <w:tc>
          <w:tcPr>
            <w:tcW w:w="1299" w:type="dxa"/>
            <w:tcBorders>
              <w:top w:val="single" w:sz="4" w:space="0" w:color="000000"/>
              <w:left w:val="single" w:sz="4" w:space="0" w:color="000000"/>
              <w:bottom w:val="single" w:sz="4" w:space="0" w:color="000000"/>
              <w:right w:val="single" w:sz="4" w:space="0" w:color="000000"/>
            </w:tcBorders>
          </w:tcPr>
          <w:p>
            <w:pPr>
              <w:pStyle w:val="normal1"/>
              <w:ind w:hanging="0"/>
              <w:rPr/>
            </w:pPr>
            <w:r>
              <w:rPr/>
              <w:t>0,8737</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0,4286</w:t>
            </w:r>
          </w:p>
        </w:tc>
        <w:tc>
          <w:tcPr>
            <w:tcW w:w="1301" w:type="dxa"/>
            <w:tcBorders>
              <w:top w:val="single" w:sz="4" w:space="0" w:color="000000"/>
              <w:left w:val="single" w:sz="4" w:space="0" w:color="000000"/>
              <w:bottom w:val="single" w:sz="4" w:space="0" w:color="000000"/>
              <w:right w:val="single" w:sz="4" w:space="0" w:color="000000"/>
            </w:tcBorders>
          </w:tcPr>
          <w:p>
            <w:pPr>
              <w:pStyle w:val="normal1"/>
              <w:ind w:hanging="0"/>
              <w:rPr/>
            </w:pPr>
            <w:r>
              <w:rPr/>
              <w:t>0,9036</w:t>
            </w:r>
          </w:p>
        </w:tc>
        <w:tc>
          <w:tcPr>
            <w:tcW w:w="1300" w:type="dxa"/>
            <w:tcBorders>
              <w:top w:val="single" w:sz="4" w:space="0" w:color="000000"/>
              <w:left w:val="single" w:sz="4" w:space="0" w:color="000000"/>
              <w:bottom w:val="single" w:sz="4" w:space="0" w:color="000000"/>
              <w:right w:val="single" w:sz="4" w:space="0" w:color="000000"/>
            </w:tcBorders>
          </w:tcPr>
          <w:p>
            <w:pPr>
              <w:pStyle w:val="normal1"/>
              <w:ind w:hanging="0"/>
              <w:rPr/>
            </w:pPr>
            <w:r>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ind w:hanging="0"/>
              <w:rPr/>
            </w:pPr>
            <w:r>
              <w:rPr/>
              <w:t>0,0964</w:t>
            </w:r>
          </w:p>
        </w:tc>
      </w:tr>
    </w:tbl>
    <w:p>
      <w:pPr>
        <w:pStyle w:val="normal1"/>
        <w:ind w:hanging="0"/>
        <w:jc w:val="left"/>
        <w:rPr/>
      </w:pPr>
      <w:r>
        <w:rPr/>
        <w:t xml:space="preserve">* Limiar principal utilizado na comparação. </w:t>
        <w:br/>
        <w:t>Fonte: elaborado pelo autor com base nos resultados do experimento (2026).</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4.4 Significância estatística dos resultados</w:t>
      </w:r>
    </w:p>
    <w:p>
      <w:pPr>
        <w:pStyle w:val="normal1"/>
        <w:rPr/>
      </w:pPr>
      <w: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before="0" w:after="0"/>
        <w:ind w:hanging="0"/>
        <w:jc w:val="center"/>
        <w:rPr/>
      </w:pPr>
      <w:r>
        <w:rPr>
          <w:rFonts w:eastAsia="Times New Roman" w:cs="Times New Roman"/>
          <w:sz w:val="20"/>
          <w:szCs w:val="20"/>
        </w:rPr>
        <w:t>Tabela 8 – Métricas com intervalos de confiança de 95%</w:t>
      </w:r>
    </w:p>
    <w:tbl>
      <w:tblPr>
        <w:tblStyle w:val="Table10"/>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pacing w:lineRule="auto" w:line="240"/>
              <w:jc w:val="left"/>
              <w:rPr/>
            </w:pPr>
            <w:r>
              <w:rPr>
                <w:b/>
                <w:bCs/>
                <w:sz w:val="20"/>
                <w:szCs w:val="20"/>
              </w:rPr>
              <w:t>Métrica</w:t>
            </w:r>
          </w:p>
        </w:tc>
        <w:tc>
          <w:tcPr>
            <w:tcW w:w="3024" w:type="dxa"/>
            <w:tcBorders/>
            <w:vAlign w:val="center"/>
          </w:tcPr>
          <w:p>
            <w:pPr>
              <w:pStyle w:val="normal1"/>
              <w:spacing w:lineRule="auto" w:line="240"/>
              <w:jc w:val="center"/>
              <w:rPr/>
            </w:pPr>
            <w:r>
              <w:rPr>
                <w:b/>
                <w:bCs/>
                <w:sz w:val="20"/>
                <w:szCs w:val="20"/>
              </w:rPr>
              <w:t>YOLOv11m – IC 95%</w:t>
            </w:r>
          </w:p>
        </w:tc>
        <w:tc>
          <w:tcPr>
            <w:tcW w:w="3024" w:type="dxa"/>
            <w:tcBorders/>
            <w:vAlign w:val="center"/>
          </w:tcPr>
          <w:p>
            <w:pPr>
              <w:pStyle w:val="normal1"/>
              <w:spacing w:lineRule="auto" w:line="240"/>
              <w:jc w:val="center"/>
              <w:rPr/>
            </w:pPr>
            <w:r>
              <w:rPr>
                <w:b/>
                <w:bCs/>
                <w:sz w:val="20"/>
                <w:szCs w:val="20"/>
              </w:rPr>
              <w:t>Gemma 3 27B-IT – IC 95%</w:t>
            </w:r>
          </w:p>
        </w:tc>
      </w:tr>
      <w:tr>
        <w:trPr/>
        <w:tc>
          <w:tcPr>
            <w:tcW w:w="3024" w:type="dxa"/>
            <w:tcBorders/>
            <w:vAlign w:val="center"/>
          </w:tcPr>
          <w:p>
            <w:pPr>
              <w:pStyle w:val="normal1"/>
              <w:rPr/>
            </w:pPr>
            <w:r>
              <w:rPr/>
              <w:t>Acurácia</w:t>
            </w:r>
          </w:p>
        </w:tc>
        <w:tc>
          <w:tcPr>
            <w:tcW w:w="3024" w:type="dxa"/>
            <w:tcBorders/>
            <w:vAlign w:val="center"/>
          </w:tcPr>
          <w:p>
            <w:pPr>
              <w:pStyle w:val="normal1"/>
              <w:ind w:hanging="0"/>
              <w:rPr/>
            </w:pPr>
            <w:r>
              <w:rPr/>
              <w:t>0,7071 [0,668 – 0,743]</w:t>
            </w:r>
          </w:p>
        </w:tc>
        <w:tc>
          <w:tcPr>
            <w:tcW w:w="3024" w:type="dxa"/>
            <w:tcBorders/>
            <w:vAlign w:val="center"/>
          </w:tcPr>
          <w:p>
            <w:pPr>
              <w:pStyle w:val="normal1"/>
              <w:ind w:hanging="0"/>
              <w:rPr/>
            </w:pPr>
            <w:r>
              <w:rPr/>
              <w:t>0,9179 [0,892 – 0,938]</w:t>
            </w:r>
          </w:p>
        </w:tc>
      </w:tr>
      <w:tr>
        <w:trPr/>
        <w:tc>
          <w:tcPr>
            <w:tcW w:w="3024" w:type="dxa"/>
            <w:tcBorders/>
            <w:vAlign w:val="center"/>
          </w:tcPr>
          <w:p>
            <w:pPr>
              <w:pStyle w:val="normal1"/>
              <w:rPr/>
            </w:pPr>
            <w:r>
              <w:rPr/>
              <w:t>Precisão</w:t>
            </w:r>
          </w:p>
        </w:tc>
        <w:tc>
          <w:tcPr>
            <w:tcW w:w="3024" w:type="dxa"/>
            <w:tcBorders/>
            <w:vAlign w:val="center"/>
          </w:tcPr>
          <w:p>
            <w:pPr>
              <w:pStyle w:val="normal1"/>
              <w:ind w:hanging="0"/>
              <w:rPr/>
            </w:pPr>
            <w:r>
              <w:rPr/>
              <w:t>0,7117 [0,655 – 0,762]</w:t>
            </w:r>
          </w:p>
        </w:tc>
        <w:tc>
          <w:tcPr>
            <w:tcW w:w="3024" w:type="dxa"/>
            <w:tcBorders/>
            <w:vAlign w:val="center"/>
          </w:tcPr>
          <w:p>
            <w:pPr>
              <w:pStyle w:val="normal1"/>
              <w:ind w:hanging="0"/>
              <w:rPr/>
            </w:pPr>
            <w:r>
              <w:rPr/>
              <w:t>0,8611 [0,819 – 0,895]</w:t>
            </w:r>
          </w:p>
        </w:tc>
      </w:tr>
      <w:tr>
        <w:trPr/>
        <w:tc>
          <w:tcPr>
            <w:tcW w:w="3024" w:type="dxa"/>
            <w:tcBorders/>
            <w:vAlign w:val="center"/>
          </w:tcPr>
          <w:p>
            <w:pPr>
              <w:pStyle w:val="normal1"/>
              <w:rPr/>
            </w:pPr>
            <w:r>
              <w:rPr/>
              <w:t>Recall/Sensibilidade</w:t>
            </w:r>
          </w:p>
        </w:tc>
        <w:tc>
          <w:tcPr>
            <w:tcW w:w="3024" w:type="dxa"/>
            <w:tcBorders/>
            <w:vAlign w:val="center"/>
          </w:tcPr>
          <w:p>
            <w:pPr>
              <w:pStyle w:val="normal1"/>
              <w:ind w:hanging="0"/>
              <w:rPr/>
            </w:pPr>
            <w:r>
              <w:rPr/>
              <w:t>0,6964 [0,640 – 0,747]</w:t>
            </w:r>
          </w:p>
        </w:tc>
        <w:tc>
          <w:tcPr>
            <w:tcW w:w="3024" w:type="dxa"/>
            <w:tcBorders/>
            <w:vAlign w:val="center"/>
          </w:tcPr>
          <w:p>
            <w:pPr>
              <w:pStyle w:val="normal1"/>
              <w:ind w:hanging="0"/>
              <w:rPr/>
            </w:pPr>
            <w:r>
              <w:rPr/>
              <w:t>0,9964 [0,980 – 0,999]</w:t>
            </w:r>
          </w:p>
        </w:tc>
      </w:tr>
      <w:tr>
        <w:trPr/>
        <w:tc>
          <w:tcPr>
            <w:tcW w:w="3024" w:type="dxa"/>
            <w:tcBorders/>
            <w:vAlign w:val="center"/>
          </w:tcPr>
          <w:p>
            <w:pPr>
              <w:pStyle w:val="normal1"/>
              <w:rPr/>
            </w:pPr>
            <w:r>
              <w:rPr/>
              <w:t>Especificidade</w:t>
            </w:r>
          </w:p>
        </w:tc>
        <w:tc>
          <w:tcPr>
            <w:tcW w:w="3024" w:type="dxa"/>
            <w:tcBorders/>
            <w:vAlign w:val="center"/>
          </w:tcPr>
          <w:p>
            <w:pPr>
              <w:pStyle w:val="normal1"/>
              <w:ind w:hanging="0"/>
              <w:rPr/>
            </w:pPr>
            <w:r>
              <w:rPr/>
              <w:t>0,7179 [0,663 – 0,767]</w:t>
            </w:r>
          </w:p>
        </w:tc>
        <w:tc>
          <w:tcPr>
            <w:tcW w:w="3024" w:type="dxa"/>
            <w:tcBorders/>
            <w:vAlign w:val="center"/>
          </w:tcPr>
          <w:p>
            <w:pPr>
              <w:pStyle w:val="normal1"/>
              <w:ind w:hanging="0"/>
              <w:rPr/>
            </w:pPr>
            <w:r>
              <w:rPr/>
              <w:t>0,8393 [0,792 – 0,878]</w:t>
            </w:r>
          </w:p>
        </w:tc>
      </w:tr>
      <w:tr>
        <w:trPr/>
        <w:tc>
          <w:tcPr>
            <w:tcW w:w="3024" w:type="dxa"/>
            <w:tcBorders/>
            <w:vAlign w:val="center"/>
          </w:tcPr>
          <w:p>
            <w:pPr>
              <w:pStyle w:val="normal1"/>
              <w:rPr/>
            </w:pPr>
            <w:r>
              <w:rPr/>
              <w:t>Taxa de falsos positivos</w:t>
            </w:r>
          </w:p>
        </w:tc>
        <w:tc>
          <w:tcPr>
            <w:tcW w:w="3024" w:type="dxa"/>
            <w:tcBorders/>
            <w:vAlign w:val="center"/>
          </w:tcPr>
          <w:p>
            <w:pPr>
              <w:pStyle w:val="normal1"/>
              <w:ind w:hanging="0"/>
              <w:rPr/>
            </w:pPr>
            <w:r>
              <w:rPr/>
              <w:t>0,2821 [0,233 – 0,338]</w:t>
            </w:r>
          </w:p>
        </w:tc>
        <w:tc>
          <w:tcPr>
            <w:tcW w:w="3024" w:type="dxa"/>
            <w:tcBorders/>
            <w:vAlign w:val="center"/>
          </w:tcPr>
          <w:p>
            <w:pPr>
              <w:pStyle w:val="normal1"/>
              <w:ind w:hanging="0"/>
              <w:rPr/>
            </w:pPr>
            <w:r>
              <w:rPr/>
              <w:t>0,1607 [0,122 – 0,208]</w:t>
            </w:r>
          </w:p>
        </w:tc>
      </w:tr>
    </w:tbl>
    <w:p>
      <w:pPr>
        <w:pStyle w:val="normal1"/>
        <w:spacing w:lineRule="auto" w:line="240" w:before="0" w:after="0"/>
        <w:ind w:hanging="0"/>
        <w:jc w:val="left"/>
        <w:rPr/>
      </w:pPr>
      <w:r>
        <w:rPr>
          <w:rFonts w:eastAsia="Times New Roman" w:cs="Times New Roman"/>
          <w:sz w:val="20"/>
          <w:szCs w:val="20"/>
        </w:rPr>
        <w:t>Fonte: elaborado pelo autor com base na análise estatística do experimento (2026).</w:t>
      </w:r>
    </w:p>
    <w:p>
      <w:pPr>
        <w:pStyle w:val="normal1"/>
        <w:rPr/>
      </w:pPr>
      <w:r>
        <w:rPr>
          <w:rFonts w:eastAsia="Cardo" w:cs="Cardo" w:ascii="Cardo" w:hAnsi="Cardo"/>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normal1"/>
        <w:rPr/>
      </w:pPr>
      <w:r>
        <w:rPr/>
        <w:t>Foram também calculados o kappa de Cohen e o coeficiente de correlação de Matthews. O kappa do YOLOv11m em relação ao ground truth foi de 0,414, enquanto o Gemma 3 27B-IT obteve 0,836. O MCC foi de 0,414 para o YOLOv11m e 0,846 para o Gemma 3 27B-IT.</w:t>
      </w:r>
    </w:p>
    <w:p>
      <w:pPr>
        <w:pStyle w:val="normal1"/>
        <w:spacing w:lineRule="auto" w:line="240" w:before="0" w:after="0"/>
        <w:ind w:hanging="0"/>
        <w:jc w:val="center"/>
        <w:rPr/>
      </w:pPr>
      <w:r>
        <w:rPr>
          <w:rFonts w:eastAsia="Times New Roman" w:cs="Times New Roman"/>
          <w:sz w:val="20"/>
          <w:szCs w:val="20"/>
        </w:rPr>
        <w:t>Tabela 9 – Indicadores complementares de concordância e discriminação</w:t>
      </w:r>
    </w:p>
    <w:tbl>
      <w:tblPr>
        <w:tblStyle w:val="Table11"/>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pacing w:lineRule="auto" w:line="240"/>
              <w:jc w:val="left"/>
              <w:rPr/>
            </w:pPr>
            <w:r>
              <w:rPr>
                <w:b/>
                <w:bCs/>
                <w:sz w:val="20"/>
                <w:szCs w:val="20"/>
              </w:rPr>
              <w:t>Indicador</w:t>
            </w:r>
          </w:p>
        </w:tc>
        <w:tc>
          <w:tcPr>
            <w:tcW w:w="3024" w:type="dxa"/>
            <w:tcBorders/>
            <w:vAlign w:val="center"/>
          </w:tcPr>
          <w:p>
            <w:pPr>
              <w:pStyle w:val="normal1"/>
              <w:spacing w:lineRule="auto" w:line="240"/>
              <w:jc w:val="center"/>
              <w:rPr/>
            </w:pPr>
            <w:r>
              <w:rPr>
                <w:b/>
                <w:bCs/>
                <w:sz w:val="20"/>
                <w:szCs w:val="20"/>
              </w:rPr>
              <w:t>YOLOv11m</w:t>
            </w:r>
          </w:p>
        </w:tc>
        <w:tc>
          <w:tcPr>
            <w:tcW w:w="3024" w:type="dxa"/>
            <w:tcBorders/>
            <w:vAlign w:val="center"/>
          </w:tcPr>
          <w:p>
            <w:pPr>
              <w:pStyle w:val="normal1"/>
              <w:spacing w:lineRule="auto" w:line="240"/>
              <w:jc w:val="center"/>
              <w:rPr/>
            </w:pPr>
            <w:r>
              <w:rPr>
                <w:b/>
                <w:bCs/>
                <w:sz w:val="20"/>
                <w:szCs w:val="20"/>
              </w:rPr>
              <w:t>Gemma 3 27B-IT</w:t>
            </w:r>
          </w:p>
        </w:tc>
      </w:tr>
      <w:tr>
        <w:trPr/>
        <w:tc>
          <w:tcPr>
            <w:tcW w:w="3024" w:type="dxa"/>
            <w:tcBorders/>
            <w:vAlign w:val="center"/>
          </w:tcPr>
          <w:p>
            <w:pPr>
              <w:pStyle w:val="normal1"/>
              <w:spacing w:lineRule="auto" w:line="240"/>
              <w:ind w:hanging="0"/>
              <w:jc w:val="left"/>
              <w:rPr>
                <w:sz w:val="20"/>
                <w:szCs w:val="20"/>
              </w:rPr>
            </w:pPr>
            <w:r>
              <w:rPr>
                <w:sz w:val="20"/>
                <w:szCs w:val="20"/>
              </w:rPr>
              <w:t>Kappa de Cohen vs. ground</w:t>
            </w:r>
          </w:p>
          <w:p>
            <w:pPr>
              <w:pStyle w:val="normal1"/>
              <w:spacing w:lineRule="auto" w:line="240"/>
              <w:jc w:val="left"/>
              <w:rPr>
                <w:sz w:val="20"/>
                <w:szCs w:val="20"/>
              </w:rPr>
            </w:pPr>
            <w:r>
              <w:rPr>
                <w:sz w:val="20"/>
                <w:szCs w:val="20"/>
              </w:rPr>
              <w:t>truth</w:t>
            </w:r>
          </w:p>
        </w:tc>
        <w:tc>
          <w:tcPr>
            <w:tcW w:w="3024" w:type="dxa"/>
            <w:tcBorders/>
            <w:vAlign w:val="center"/>
          </w:tcPr>
          <w:p>
            <w:pPr>
              <w:pStyle w:val="normal1"/>
              <w:rPr/>
            </w:pPr>
            <w:r>
              <w:rPr/>
              <w:t>0,414</w:t>
            </w:r>
          </w:p>
        </w:tc>
        <w:tc>
          <w:tcPr>
            <w:tcW w:w="3024" w:type="dxa"/>
            <w:tcBorders/>
            <w:vAlign w:val="center"/>
          </w:tcPr>
          <w:p>
            <w:pPr>
              <w:pStyle w:val="normal1"/>
              <w:spacing w:lineRule="auto" w:line="240"/>
              <w:jc w:val="center"/>
              <w:rPr/>
            </w:pPr>
            <w:r>
              <w:rPr>
                <w:sz w:val="20"/>
                <w:szCs w:val="20"/>
              </w:rPr>
              <w:t>0,836</w:t>
            </w:r>
          </w:p>
        </w:tc>
      </w:tr>
      <w:tr>
        <w:trPr/>
        <w:tc>
          <w:tcPr>
            <w:tcW w:w="3024" w:type="dxa"/>
            <w:tcBorders/>
            <w:vAlign w:val="center"/>
          </w:tcPr>
          <w:p>
            <w:pPr>
              <w:pStyle w:val="normal1"/>
              <w:spacing w:lineRule="auto" w:line="240"/>
              <w:ind w:hanging="0"/>
              <w:jc w:val="left"/>
              <w:rPr>
                <w:sz w:val="20"/>
                <w:szCs w:val="20"/>
              </w:rPr>
            </w:pPr>
            <w:r>
              <w:rPr>
                <w:sz w:val="20"/>
                <w:szCs w:val="20"/>
              </w:rPr>
              <w:t>Coeficiente de correlação de</w:t>
            </w:r>
          </w:p>
          <w:p>
            <w:pPr>
              <w:pStyle w:val="normal1"/>
              <w:spacing w:lineRule="auto" w:line="240"/>
              <w:jc w:val="left"/>
              <w:rPr/>
            </w:pPr>
            <w:r>
              <w:rPr>
                <w:sz w:val="20"/>
                <w:szCs w:val="20"/>
              </w:rPr>
              <w:t>Matthews</w:t>
            </w:r>
          </w:p>
        </w:tc>
        <w:tc>
          <w:tcPr>
            <w:tcW w:w="3024" w:type="dxa"/>
            <w:tcBorders/>
            <w:vAlign w:val="center"/>
          </w:tcPr>
          <w:p>
            <w:pPr>
              <w:pStyle w:val="normal1"/>
              <w:rPr/>
            </w:pPr>
            <w:r>
              <w:rPr/>
              <w:t>0,414</w:t>
            </w:r>
          </w:p>
        </w:tc>
        <w:tc>
          <w:tcPr>
            <w:tcW w:w="3024" w:type="dxa"/>
            <w:tcBorders/>
            <w:vAlign w:val="center"/>
          </w:tcPr>
          <w:p>
            <w:pPr>
              <w:pStyle w:val="normal1"/>
              <w:spacing w:lineRule="auto" w:line="240"/>
              <w:jc w:val="center"/>
              <w:rPr/>
            </w:pPr>
            <w:r>
              <w:rPr>
                <w:sz w:val="20"/>
                <w:szCs w:val="20"/>
              </w:rPr>
              <w:t>0,846</w:t>
            </w:r>
          </w:p>
        </w:tc>
      </w:tr>
      <w:tr>
        <w:trPr/>
        <w:tc>
          <w:tcPr>
            <w:tcW w:w="3024" w:type="dxa"/>
            <w:tcBorders/>
            <w:vAlign w:val="center"/>
          </w:tcPr>
          <w:p>
            <w:pPr>
              <w:pStyle w:val="normal1"/>
              <w:spacing w:lineRule="auto" w:line="240"/>
              <w:ind w:hanging="0"/>
              <w:jc w:val="left"/>
              <w:rPr/>
            </w:pPr>
            <w:r>
              <w:rPr>
                <w:sz w:val="20"/>
                <w:szCs w:val="20"/>
              </w:rPr>
              <w:t>Acurácia balanceada</w:t>
            </w:r>
          </w:p>
        </w:tc>
        <w:tc>
          <w:tcPr>
            <w:tcW w:w="3024" w:type="dxa"/>
            <w:tcBorders/>
            <w:vAlign w:val="center"/>
          </w:tcPr>
          <w:p>
            <w:pPr>
              <w:pStyle w:val="normal1"/>
              <w:rPr/>
            </w:pPr>
            <w:r>
              <w:rPr/>
              <w:t>0,707</w:t>
            </w:r>
          </w:p>
        </w:tc>
        <w:tc>
          <w:tcPr>
            <w:tcW w:w="3024" w:type="dxa"/>
            <w:tcBorders/>
            <w:vAlign w:val="center"/>
          </w:tcPr>
          <w:p>
            <w:pPr>
              <w:pStyle w:val="normal1"/>
              <w:spacing w:lineRule="auto" w:line="240"/>
              <w:jc w:val="center"/>
              <w:rPr/>
            </w:pPr>
            <w:r>
              <w:rPr>
                <w:sz w:val="20"/>
                <w:szCs w:val="20"/>
              </w:rPr>
              <w:t>0,918</w:t>
            </w:r>
          </w:p>
        </w:tc>
      </w:tr>
      <w:tr>
        <w:trPr/>
        <w:tc>
          <w:tcPr>
            <w:tcW w:w="3024" w:type="dxa"/>
            <w:tcBorders/>
            <w:vAlign w:val="center"/>
          </w:tcPr>
          <w:p>
            <w:pPr>
              <w:pStyle w:val="normal1"/>
              <w:spacing w:lineRule="auto" w:line="240"/>
              <w:ind w:hanging="0"/>
              <w:jc w:val="left"/>
              <w:rPr/>
            </w:pPr>
            <w:r>
              <w:rPr>
                <w:sz w:val="20"/>
                <w:szCs w:val="20"/>
              </w:rPr>
              <w:t>Índice J de Youden</w:t>
            </w:r>
          </w:p>
        </w:tc>
        <w:tc>
          <w:tcPr>
            <w:tcW w:w="3024" w:type="dxa"/>
            <w:tcBorders/>
            <w:vAlign w:val="center"/>
          </w:tcPr>
          <w:p>
            <w:pPr>
              <w:pStyle w:val="normal1"/>
              <w:rPr/>
            </w:pPr>
            <w:r>
              <w:rPr/>
              <w:t>0,414</w:t>
            </w:r>
          </w:p>
        </w:tc>
        <w:tc>
          <w:tcPr>
            <w:tcW w:w="3024" w:type="dxa"/>
            <w:tcBorders/>
            <w:vAlign w:val="center"/>
          </w:tcPr>
          <w:p>
            <w:pPr>
              <w:pStyle w:val="normal1"/>
              <w:spacing w:lineRule="auto" w:line="240"/>
              <w:jc w:val="center"/>
              <w:rPr/>
            </w:pPr>
            <w:r>
              <w:rPr>
                <w:sz w:val="20"/>
                <w:szCs w:val="20"/>
              </w:rPr>
              <w:t>0,836</w:t>
            </w:r>
          </w:p>
        </w:tc>
      </w:tr>
    </w:tbl>
    <w:p>
      <w:pPr>
        <w:pStyle w:val="normal1"/>
        <w:spacing w:lineRule="auto" w:line="240" w:before="0" w:after="0"/>
        <w:ind w:hanging="0"/>
        <w:jc w:val="left"/>
        <w:rPr/>
      </w:pPr>
      <w:r>
        <w:rPr>
          <w:rFonts w:eastAsia="Times New Roman" w:cs="Times New Roman"/>
          <w:sz w:val="20"/>
          <w:szCs w:val="20"/>
        </w:rPr>
        <w:t>Fonte: elaborado pelo autor com base na análise estatística do experimento (2026).</w:t>
      </w:r>
    </w:p>
    <w:p>
      <w:pPr>
        <w:pStyle w:val="normal1"/>
        <w:rPr/>
      </w:pPr>
      <w: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4.5 Eficiência computacional</w:t>
      </w:r>
    </w:p>
    <w:p>
      <w:pPr>
        <w:pStyle w:val="normal1"/>
        <w:rPr/>
      </w:pPr>
      <w:r>
        <w:rPr/>
        <w:t>Apesar do melhor desempenho preditivo do Gemma 3 27B-IT nas condições experimentais avaliadas, a análise de eficiência computacional revelou vantagem expressiva do YOLOv11m. O detector especializado apresentou latência média end-to-end de 8,4 milissegundos por imagem, enquanto o Gemma 3 27B-IT apresentou latência média de 1.191,9 milissegundos. Em termos de throughput, o YOLOv11m alcançou 135,2 imagens por segundo, enquanto o Gemma 3 27B-IT processou aproximadamente 0,839 imagem por segundo.</w:t>
      </w:r>
    </w:p>
    <w:p>
      <w:pPr>
        <w:pStyle w:val="normal1"/>
        <w:spacing w:lineRule="auto" w:line="240" w:before="0" w:after="60"/>
        <w:jc w:val="left"/>
        <w:rPr/>
      </w:pPr>
      <w:r>
        <w:rPr/>
      </w:r>
    </w:p>
    <w:p>
      <w:pPr>
        <w:pStyle w:val="normal1"/>
        <w:spacing w:lineRule="auto" w:line="240" w:before="0" w:after="60"/>
        <w:jc w:val="left"/>
        <w:rPr/>
      </w:pPr>
      <w:r>
        <w:rPr/>
      </w:r>
    </w:p>
    <w:p>
      <w:pPr>
        <w:pStyle w:val="normal1"/>
        <w:spacing w:lineRule="auto" w:line="240" w:before="0" w:after="0"/>
        <w:ind w:hanging="0"/>
        <w:jc w:val="center"/>
        <w:rPr/>
      </w:pPr>
      <w:r>
        <w:rPr>
          <w:rFonts w:eastAsia="Times New Roman" w:cs="Times New Roman"/>
          <w:sz w:val="20"/>
          <w:szCs w:val="20"/>
        </w:rPr>
        <w:t>Tabela 10 – Eficiência computacional dos modelos</w:t>
      </w:r>
    </w:p>
    <w:tbl>
      <w:tblPr>
        <w:tblStyle w:val="Table12"/>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pacing w:lineRule="auto" w:line="240"/>
              <w:jc w:val="left"/>
              <w:rPr/>
            </w:pPr>
            <w:r>
              <w:rPr>
                <w:b/>
                <w:bCs/>
                <w:sz w:val="20"/>
                <w:szCs w:val="20"/>
              </w:rPr>
              <w:t>Indicador</w:t>
            </w:r>
          </w:p>
        </w:tc>
        <w:tc>
          <w:tcPr>
            <w:tcW w:w="3024" w:type="dxa"/>
            <w:tcBorders/>
            <w:vAlign w:val="center"/>
          </w:tcPr>
          <w:p>
            <w:pPr>
              <w:pStyle w:val="normal1"/>
              <w:spacing w:lineRule="auto" w:line="240"/>
              <w:jc w:val="center"/>
              <w:rPr/>
            </w:pPr>
            <w:r>
              <w:rPr>
                <w:b/>
                <w:bCs/>
                <w:sz w:val="20"/>
                <w:szCs w:val="20"/>
              </w:rPr>
              <w:t>YOLOv11m</w:t>
            </w:r>
          </w:p>
        </w:tc>
        <w:tc>
          <w:tcPr>
            <w:tcW w:w="3024" w:type="dxa"/>
            <w:tcBorders/>
            <w:vAlign w:val="center"/>
          </w:tcPr>
          <w:p>
            <w:pPr>
              <w:pStyle w:val="normal1"/>
              <w:spacing w:lineRule="auto" w:line="240"/>
              <w:jc w:val="center"/>
              <w:rPr/>
            </w:pPr>
            <w:r>
              <w:rPr>
                <w:b/>
                <w:bCs/>
                <w:sz w:val="20"/>
                <w:szCs w:val="20"/>
              </w:rPr>
              <w:t>Gemma 3 27B-IT</w:t>
            </w:r>
          </w:p>
        </w:tc>
      </w:tr>
      <w:tr>
        <w:trPr/>
        <w:tc>
          <w:tcPr>
            <w:tcW w:w="3024" w:type="dxa"/>
            <w:tcBorders/>
            <w:vAlign w:val="center"/>
          </w:tcPr>
          <w:p>
            <w:pPr>
              <w:pStyle w:val="normal1"/>
              <w:ind w:hanging="0"/>
              <w:rPr/>
            </w:pPr>
            <w:r>
              <w:rPr/>
              <w:t>Latência média end-to-end</w:t>
            </w:r>
          </w:p>
        </w:tc>
        <w:tc>
          <w:tcPr>
            <w:tcW w:w="3024" w:type="dxa"/>
            <w:tcBorders/>
            <w:vAlign w:val="center"/>
          </w:tcPr>
          <w:p>
            <w:pPr>
              <w:pStyle w:val="normal1"/>
              <w:rPr/>
            </w:pPr>
            <w:r>
              <w:rPr/>
              <w:t>8,4 ms</w:t>
            </w:r>
          </w:p>
        </w:tc>
        <w:tc>
          <w:tcPr>
            <w:tcW w:w="3024" w:type="dxa"/>
            <w:tcBorders/>
            <w:vAlign w:val="center"/>
          </w:tcPr>
          <w:p>
            <w:pPr>
              <w:pStyle w:val="normal1"/>
              <w:rPr/>
            </w:pPr>
            <w:r>
              <w:rPr/>
              <w:t>1.191,9 ms</w:t>
            </w:r>
          </w:p>
        </w:tc>
      </w:tr>
      <w:tr>
        <w:trPr/>
        <w:tc>
          <w:tcPr>
            <w:tcW w:w="3024" w:type="dxa"/>
            <w:tcBorders/>
            <w:vAlign w:val="center"/>
          </w:tcPr>
          <w:p>
            <w:pPr>
              <w:pStyle w:val="normal1"/>
              <w:ind w:hanging="0"/>
              <w:rPr/>
            </w:pPr>
            <w:r>
              <w:rPr/>
              <w:t>Latência mediana P50</w:t>
            </w:r>
          </w:p>
        </w:tc>
        <w:tc>
          <w:tcPr>
            <w:tcW w:w="3024" w:type="dxa"/>
            <w:tcBorders/>
            <w:vAlign w:val="center"/>
          </w:tcPr>
          <w:p>
            <w:pPr>
              <w:pStyle w:val="normal1"/>
              <w:rPr/>
            </w:pPr>
            <w:r>
              <w:rPr/>
              <w:t>8,4 ms</w:t>
            </w:r>
          </w:p>
        </w:tc>
        <w:tc>
          <w:tcPr>
            <w:tcW w:w="3024" w:type="dxa"/>
            <w:tcBorders/>
            <w:vAlign w:val="center"/>
          </w:tcPr>
          <w:p>
            <w:pPr>
              <w:pStyle w:val="normal1"/>
              <w:rPr/>
            </w:pPr>
            <w:r>
              <w:rPr/>
              <w:t>1.172,2 ms</w:t>
            </w:r>
          </w:p>
        </w:tc>
      </w:tr>
      <w:tr>
        <w:trPr/>
        <w:tc>
          <w:tcPr>
            <w:tcW w:w="3024" w:type="dxa"/>
            <w:tcBorders/>
            <w:vAlign w:val="center"/>
          </w:tcPr>
          <w:p>
            <w:pPr>
              <w:pStyle w:val="normal1"/>
              <w:ind w:hanging="0"/>
              <w:rPr/>
            </w:pPr>
            <w:r>
              <w:rPr/>
              <w:t>Latência P95</w:t>
            </w:r>
          </w:p>
        </w:tc>
        <w:tc>
          <w:tcPr>
            <w:tcW w:w="3024" w:type="dxa"/>
            <w:tcBorders/>
            <w:vAlign w:val="center"/>
          </w:tcPr>
          <w:p>
            <w:pPr>
              <w:pStyle w:val="normal1"/>
              <w:rPr/>
            </w:pPr>
            <w:r>
              <w:rPr/>
              <w:t>9,3 ms</w:t>
            </w:r>
          </w:p>
        </w:tc>
        <w:tc>
          <w:tcPr>
            <w:tcW w:w="3024" w:type="dxa"/>
            <w:tcBorders/>
            <w:vAlign w:val="center"/>
          </w:tcPr>
          <w:p>
            <w:pPr>
              <w:pStyle w:val="normal1"/>
              <w:rPr/>
            </w:pPr>
            <w:r>
              <w:rPr/>
              <w:t>1.346,9 ms</w:t>
            </w:r>
          </w:p>
        </w:tc>
      </w:tr>
      <w:tr>
        <w:trPr/>
        <w:tc>
          <w:tcPr>
            <w:tcW w:w="3024" w:type="dxa"/>
            <w:tcBorders/>
            <w:vAlign w:val="center"/>
          </w:tcPr>
          <w:p>
            <w:pPr>
              <w:pStyle w:val="normal1"/>
              <w:ind w:hanging="0"/>
              <w:rPr/>
            </w:pPr>
            <w:r>
              <w:rPr/>
              <w:t>Throughput</w:t>
            </w:r>
          </w:p>
        </w:tc>
        <w:tc>
          <w:tcPr>
            <w:tcW w:w="3024" w:type="dxa"/>
            <w:tcBorders/>
            <w:vAlign w:val="center"/>
          </w:tcPr>
          <w:p>
            <w:pPr>
              <w:pStyle w:val="normal1"/>
              <w:rPr/>
            </w:pPr>
            <w:r>
              <w:rPr/>
              <w:t>135,2 img/s</w:t>
            </w:r>
          </w:p>
        </w:tc>
        <w:tc>
          <w:tcPr>
            <w:tcW w:w="3024" w:type="dxa"/>
            <w:tcBorders/>
            <w:vAlign w:val="center"/>
          </w:tcPr>
          <w:p>
            <w:pPr>
              <w:pStyle w:val="normal1"/>
              <w:rPr/>
            </w:pPr>
            <w:r>
              <w:rPr/>
              <w:t>0,839 img/s</w:t>
            </w:r>
          </w:p>
        </w:tc>
      </w:tr>
      <w:tr>
        <w:trPr/>
        <w:tc>
          <w:tcPr>
            <w:tcW w:w="3024" w:type="dxa"/>
            <w:tcBorders/>
            <w:vAlign w:val="center"/>
          </w:tcPr>
          <w:p>
            <w:pPr>
              <w:pStyle w:val="normal1"/>
              <w:ind w:hanging="0"/>
              <w:rPr/>
            </w:pPr>
            <w:r>
              <w:rPr/>
              <w:t>Fator de velocidade</w:t>
            </w:r>
          </w:p>
        </w:tc>
        <w:tc>
          <w:tcPr>
            <w:tcW w:w="3024" w:type="dxa"/>
            <w:tcBorders/>
            <w:vAlign w:val="center"/>
          </w:tcPr>
          <w:p>
            <w:pPr>
              <w:pStyle w:val="normal1"/>
              <w:rPr/>
            </w:pPr>
            <w:r>
              <w:rPr/>
              <w:t>141 vezes mais rápido</w:t>
            </w:r>
          </w:p>
        </w:tc>
        <w:tc>
          <w:tcPr>
            <w:tcW w:w="3024" w:type="dxa"/>
            <w:tcBorders/>
            <w:vAlign w:val="center"/>
          </w:tcPr>
          <w:p>
            <w:pPr>
              <w:pStyle w:val="normal1"/>
              <w:rPr/>
            </w:pPr>
            <w:r>
              <w:rPr/>
              <w:t>referência</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rPr/>
      </w:pPr>
      <w:r>
        <w:rP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pPr>
        <w:pStyle w:val="normal1"/>
        <w:rPr/>
      </w:pPr>
      <w:r>
        <w:rPr/>
        <w:t>Contudo, é necessário interpretar esses números com cautela. As medições foram 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pPr>
        <w:pStyle w:val="normal1"/>
        <w:rPr/>
      </w:pPr>
      <w:r>
        <w:rP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(Redmon et al., 2016). Estudos sobre detecção de resíduos também destacam o potencial da família YOLO em aplicações que exigem bom desempenho, tempo de processamento reduzido e menor consumo de memória (Córdova et al., 2022).</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4.6 Teste da hipótese de pesquisa</w:t>
      </w:r>
    </w:p>
    <w:p>
      <w:pPr>
        <w:pStyle w:val="normal1"/>
        <w:rPr/>
      </w:pPr>
      <w:r>
        <w:rPr/>
        <w:t>A hipótese provisória da pesquisa afirmava que modelos especializados de detecção, como o YOLOv11m, tenderiam a apresentar maior viabilidade operacional para monitoramento automatizado de resíduos urbanos quando comparados a modelos visão-linguagem generalistas em modo zero-shot, especialmente em termos de velocidade de inferência e controle de falsos positivos.</w:t>
      </w:r>
    </w:p>
    <w:p>
      <w:pPr>
        <w:pStyle w:val="normal1"/>
        <w:rPr/>
      </w:pPr>
      <w:r>
        <w:rPr/>
        <w:t>Os resultados permitem afirmar que essa hipótese foi parcialmente corroborada. A primeira parte da hipótese foi confirmada: o YOLOv11m foi significativamente mais rápido que o Gemma 3 27B-IT. A diferença de latência e throughput confirma a vantagem operacional do detector especializado quando o critério principal é processamento em escala ou tempo real.</w:t>
      </w:r>
    </w:p>
    <w:p>
      <w:pPr>
        <w:pStyle w:val="normal1"/>
        <w:rPr/>
      </w:pPr>
      <w: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normal1"/>
        <w:rPr/>
      </w:pPr>
      <w:r>
        <w:rPr/>
        <w:t>A refutação parcial da hipótese é compatível com o método hipotético-dedutivo, pois a hipótese foi submetida ao teste empírico e avaliada à luz dos resultados observados. Nesse desenho, a hipótese pode ser confirmada, refutada ou parcialmente confirmada, conforme sua aderência aos dados. No presente estudo, a suposição inicial de maior controle de falsos positivos por parte do modelo especializado não se sustentou nas condições experimentais adotadas.</w:t>
      </w:r>
    </w:p>
    <w:p>
      <w:pPr>
        <w:pStyle w:val="normal1"/>
        <w:rPr/>
      </w:pPr>
      <w:r>
        <w:rPr/>
        <w:t>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recall observada no conjunto de teste.</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4.7 Análise de erros e complementaridade entre os modelos</w:t>
      </w:r>
    </w:p>
    <w:p>
      <w:pPr>
        <w:pStyle w:val="normal1"/>
        <w:rPr/>
      </w:pPr>
      <w: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before="0" w:after="0"/>
        <w:ind w:hanging="0"/>
        <w:jc w:val="center"/>
        <w:rPr/>
      </w:pPr>
      <w:r>
        <w:rPr>
          <w:rFonts w:eastAsia="Times New Roman" w:cs="Times New Roman"/>
          <w:sz w:val="20"/>
          <w:szCs w:val="20"/>
        </w:rPr>
        <w:t>Tabela 11 – Distribuição conjunta dos casos de acerto e erro</w:t>
      </w:r>
    </w:p>
    <w:tbl>
      <w:tblPr>
        <w:tblStyle w:val="Table13"/>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rPr/>
            </w:pPr>
            <w:r>
              <w:rPr/>
              <w:t>Classificação conjunta</w:t>
            </w:r>
          </w:p>
        </w:tc>
        <w:tc>
          <w:tcPr>
            <w:tcW w:w="2268" w:type="dxa"/>
            <w:tcBorders/>
            <w:vAlign w:val="center"/>
          </w:tcPr>
          <w:p>
            <w:pPr>
              <w:pStyle w:val="normal1"/>
              <w:rPr/>
            </w:pPr>
            <w:r>
              <w:rPr/>
              <w:t>N</w:t>
            </w:r>
          </w:p>
        </w:tc>
        <w:tc>
          <w:tcPr>
            <w:tcW w:w="2268" w:type="dxa"/>
            <w:tcBorders/>
            <w:vAlign w:val="center"/>
          </w:tcPr>
          <w:p>
            <w:pPr>
              <w:pStyle w:val="normal1"/>
              <w:rPr/>
            </w:pPr>
            <w:r>
              <w:rPr/>
              <w:t>%</w:t>
            </w:r>
          </w:p>
        </w:tc>
      </w:tr>
      <w:tr>
        <w:trPr/>
        <w:tc>
          <w:tcPr>
            <w:tcW w:w="4536" w:type="dxa"/>
            <w:tcBorders/>
            <w:vAlign w:val="center"/>
          </w:tcPr>
          <w:p>
            <w:pPr>
              <w:pStyle w:val="normal1"/>
              <w:rPr/>
            </w:pPr>
            <w:r>
              <w:rPr/>
              <w:t>Ambos corretos</w:t>
            </w:r>
          </w:p>
        </w:tc>
        <w:tc>
          <w:tcPr>
            <w:tcW w:w="2268" w:type="dxa"/>
            <w:tcBorders/>
            <w:vAlign w:val="center"/>
          </w:tcPr>
          <w:p>
            <w:pPr>
              <w:pStyle w:val="normal1"/>
              <w:rPr/>
            </w:pPr>
            <w:r>
              <w:rPr/>
              <w:t>363</w:t>
            </w:r>
          </w:p>
        </w:tc>
        <w:tc>
          <w:tcPr>
            <w:tcW w:w="2268" w:type="dxa"/>
            <w:tcBorders/>
            <w:vAlign w:val="center"/>
          </w:tcPr>
          <w:p>
            <w:pPr>
              <w:pStyle w:val="normal1"/>
              <w:rPr/>
            </w:pPr>
            <w:r>
              <w:rPr/>
              <w:t>64,8%</w:t>
            </w:r>
          </w:p>
        </w:tc>
      </w:tr>
      <w:tr>
        <w:trPr/>
        <w:tc>
          <w:tcPr>
            <w:tcW w:w="4536" w:type="dxa"/>
            <w:tcBorders/>
            <w:vAlign w:val="center"/>
          </w:tcPr>
          <w:p>
            <w:pPr>
              <w:pStyle w:val="normal1"/>
              <w:rPr/>
            </w:pPr>
            <w:r>
              <w:rPr/>
              <w:t>Apenas Gemma 3 27B-IT correto</w:t>
            </w:r>
          </w:p>
        </w:tc>
        <w:tc>
          <w:tcPr>
            <w:tcW w:w="2268" w:type="dxa"/>
            <w:tcBorders/>
            <w:vAlign w:val="center"/>
          </w:tcPr>
          <w:p>
            <w:pPr>
              <w:pStyle w:val="normal1"/>
              <w:rPr/>
            </w:pPr>
            <w:r>
              <w:rPr/>
              <w:t>151</w:t>
            </w:r>
          </w:p>
        </w:tc>
        <w:tc>
          <w:tcPr>
            <w:tcW w:w="2268" w:type="dxa"/>
            <w:tcBorders/>
            <w:vAlign w:val="center"/>
          </w:tcPr>
          <w:p>
            <w:pPr>
              <w:pStyle w:val="normal1"/>
              <w:rPr/>
            </w:pPr>
            <w:r>
              <w:rPr/>
              <w:t>27,0%</w:t>
            </w:r>
          </w:p>
        </w:tc>
      </w:tr>
      <w:tr>
        <w:trPr/>
        <w:tc>
          <w:tcPr>
            <w:tcW w:w="4536" w:type="dxa"/>
            <w:tcBorders/>
            <w:vAlign w:val="center"/>
          </w:tcPr>
          <w:p>
            <w:pPr>
              <w:pStyle w:val="normal1"/>
              <w:rPr/>
            </w:pPr>
            <w:r>
              <w:rPr/>
              <w:t>Apenas YOLOv11m correto</w:t>
            </w:r>
          </w:p>
        </w:tc>
        <w:tc>
          <w:tcPr>
            <w:tcW w:w="2268" w:type="dxa"/>
            <w:tcBorders/>
            <w:vAlign w:val="center"/>
          </w:tcPr>
          <w:p>
            <w:pPr>
              <w:pStyle w:val="normal1"/>
              <w:rPr/>
            </w:pPr>
            <w:r>
              <w:rPr/>
              <w:t>33</w:t>
            </w:r>
          </w:p>
        </w:tc>
        <w:tc>
          <w:tcPr>
            <w:tcW w:w="2268" w:type="dxa"/>
            <w:tcBorders/>
            <w:vAlign w:val="center"/>
          </w:tcPr>
          <w:p>
            <w:pPr>
              <w:pStyle w:val="normal1"/>
              <w:rPr/>
            </w:pPr>
            <w:r>
              <w:rPr/>
              <w:t>5,9%</w:t>
            </w:r>
          </w:p>
        </w:tc>
      </w:tr>
      <w:tr>
        <w:trPr/>
        <w:tc>
          <w:tcPr>
            <w:tcW w:w="4536" w:type="dxa"/>
            <w:tcBorders/>
            <w:vAlign w:val="center"/>
          </w:tcPr>
          <w:p>
            <w:pPr>
              <w:pStyle w:val="normal1"/>
              <w:rPr/>
            </w:pPr>
            <w:r>
              <w:rPr/>
              <w:t>Ambos incorretos</w:t>
            </w:r>
          </w:p>
        </w:tc>
        <w:tc>
          <w:tcPr>
            <w:tcW w:w="2268" w:type="dxa"/>
            <w:tcBorders/>
            <w:vAlign w:val="center"/>
          </w:tcPr>
          <w:p>
            <w:pPr>
              <w:pStyle w:val="normal1"/>
              <w:rPr/>
            </w:pPr>
            <w:r>
              <w:rPr/>
              <w:t>13</w:t>
            </w:r>
          </w:p>
        </w:tc>
        <w:tc>
          <w:tcPr>
            <w:tcW w:w="2268" w:type="dxa"/>
            <w:tcBorders/>
            <w:vAlign w:val="center"/>
          </w:tcPr>
          <w:p>
            <w:pPr>
              <w:pStyle w:val="normal1"/>
              <w:rPr/>
            </w:pPr>
            <w:r>
              <w:rPr/>
              <w:t>2,3%</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rPr/>
      </w:pPr>
      <w: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6 – Exemplos de acerto conjunto — imagens com resíduos detectadas por ambos os modelos (GT=1, Y=1, V=1)</w:t>
      </w:r>
    </w:p>
    <w:p>
      <w:pPr>
        <w:pStyle w:val="normal1"/>
        <w:spacing w:lineRule="auto" w:line="240" w:before="0" w:after="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7 – Exemplos de acerto conjunto — imagens sem resíduos classificadas corretamente por ambos os modelos (GT=0, Y=0, V=0)</w:t>
      </w:r>
    </w:p>
    <w:p>
      <w:pPr>
        <w:pStyle w:val="normal1"/>
        <w:spacing w:lineRule="auto" w:line="240" w:before="0" w:after="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8 – Exemplos de erro exclusivo do YOLOv11m — imagens com resíduos identificadas pelo VLM mas não pelo detector (FN YOLO: GT=1, Y=0, V=1)</w:t>
      </w:r>
    </w:p>
    <w:p>
      <w:pPr>
        <w:pStyle w:val="normal1"/>
        <w:spacing w:lineRule="auto" w:line="240" w:before="0" w:after="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9 – Exemplo de erro exclusivo do VLM — imagem com resíduos detectada pelo YOLO mas não identificada pelo Gemma (FN VLM: GT=1, Y=1, V=0)</w:t>
      </w:r>
    </w:p>
    <w:p>
      <w:pPr>
        <w:pStyle w:val="normal1"/>
        <w:spacing w:lineRule="auto" w:line="240" w:before="0" w:after="0"/>
        <w:ind w:hanging="0"/>
        <w:jc w:val="left"/>
        <w:rPr/>
      </w:pPr>
      <w:r>
        <w:rPr>
          <w:rFonts w:eastAsia="Times New Roman" w:cs="Times New Roman"/>
          <w:sz w:val="20"/>
          <w:szCs w:val="20"/>
        </w:rPr>
        <w:t>Fonte: elaborado pelo autor com base na análise qualitativa do experimento (2026). Imagem de via pública brasileira.</w:t>
      </w:r>
    </w:p>
    <w:p>
      <w:pPr>
        <w:pStyle w:val="normal1"/>
        <w:jc w:val="cente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10 – Exemplos de falso positivo exclusivo do YOLOv11m — cenas sem resíduos classificadas erroneamente pelo detector (GT=0, Y=1, V=0)</w:t>
      </w:r>
    </w:p>
    <w:p>
      <w:pPr>
        <w:pStyle w:val="normal1"/>
        <w:spacing w:lineRule="auto" w:line="240" w:before="0" w:after="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11 – Exemplos de falso positivo exclusivo do Gemma 3 27B-IT — cenas sem resíduos classificadas erroneamente pelo VLM (GT=0, Y=0, V=1)</w:t>
      </w:r>
    </w:p>
    <w:p>
      <w:pPr>
        <w:pStyle w:val="normal1"/>
        <w:spacing w:lineRule="auto" w:line="240" w:before="0" w:after="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before="0" w:after="0"/>
        <w:ind w:hanging="0"/>
        <w:jc w:val="center"/>
        <w:rPr/>
      </w:pPr>
      <w:r>
        <w:rPr>
          <w:rFonts w:eastAsia="Times New Roman" w:cs="Times New Roman"/>
          <w:sz w:val="20"/>
          <w:szCs w:val="20"/>
        </w:rPr>
        <w:t>Figura 12 – Exemplos de falso positivo de ambos os modelos — cenas sem resíduos classificadas erroneamente por YOLO e VLM (GT=0, Y=1, V=1)</w:t>
      </w:r>
    </w:p>
    <w:p>
      <w:pPr>
        <w:pStyle w:val="normal1"/>
        <w:spacing w:lineRule="auto" w:line="240" w:before="0" w:after="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rPr/>
      </w:pPr>
      <w:r>
        <w:rPr/>
        <w:t>A inspeção visual dos erros dos dois modelos permitiu caracterizar de forma mais precisa essa diferença de comportamento. Os dois modelos não apenas erraram em casos distintos, mas erraram por motivos qualitativamente diferentes. O Gemma 3 27B-IT tendeu a errar por excesso de interpretação contextual: em diversas situações, sinalizou a presença de resíduos em cenas efetivamente limpas, influenciado por elementos como vegetação, ambientes não pavimentados ou objetos legítimos do cotidiano urbano. Seus erros aproximam-se, portanto, de uma sobre-sinalização, na qual o modelo infere desordem a partir do contexto visual. O YOLOv11m, ao contrário, tendeu a errar por falha de reconhecimento: deixou de identificar resíduos mesmo quando estavam claramente visíveis, em decorrência da lacuna de domínio entre as imagens de treinamento e as imagens reais de teste. Seus erros aproximam-se de uma sub-detecção, na qual o modelo não reconhece o resíduo presente. Essa distinção tem implicações administrativas diretas: enquanto os erros do modelo visão-linguagem tendem a gerar alarmes indevidos, passíveis de filtragem por verificação posterior, os erros do detector especializado tendem a gerar omissões, isto é, focos de descarte irregular que permanecem invisíveis ao sistema. Para a gestão pública, a omissão de um problema existente costuma ser mais crítica do que o alarme sobre um problema inexistente, o que reforça a relevância da maior sensibilidade observada no Gemma 3 27B-IT.</w:t>
      </w:r>
    </w:p>
    <w:p>
      <w:pPr>
        <w:pStyle w:val="normal1"/>
        <w:rPr/>
      </w:pPr>
      <w:r>
        <w:rPr/>
        <w:t>O perfil de erro do YOLOv11m foi marcado por falsos positivos e falsos negativos em proporções relevantes. Após o aumento de background no treinamento, o detector produziu 79 falsos positivos e 85 falsos negativos. Esse comportamento sugere que o modelo passou a rejeitar melhor cenas limpas, mas também se tornou mais conservador diante de algumas cenas com resíduos. Em aplicações públicas, esse equilíbrio precisa ser ajustado de acordo com o custo administrativo atribuído a alarmes falsos e a omissões de descarte irregular.</w:t>
      </w:r>
    </w:p>
    <w:p>
      <w:pPr>
        <w:pStyle w:val="normal1"/>
        <w:rPr/>
      </w:pPr>
      <w:r>
        <w:rPr/>
        <w:t>A inspeção visual dos 85 falsos negativos do YOLOv11m revelou um padrão de erro 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pPr>
        <w:pStyle w:val="normal1"/>
        <w:rPr/>
      </w:pPr>
      <w:r>
        <w:rPr/>
        <w:t>Esse comportamento é coerente com a ocorrência de uma lacuna de domínio (domain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pPr>
        <w:pStyle w:val="normal1"/>
        <w:rPr/>
      </w:pPr>
      <w:r>
        <w:rPr/>
        <w:t>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ground truth. A segunda é a possibilidade de alucinação visual, fenômeno discutido na literatura sobre modelos visão-linguagem de grande porte, em que o modelo produz respostas não correspondentes ao conteúdo efetivamente presente na imagem (Li et al., 2025).</w:t>
      </w:r>
    </w:p>
    <w:p>
      <w:pPr>
        <w:pStyle w:val="normal1"/>
        <w:rPr/>
      </w:pPr>
      <w:r>
        <w:rPr/>
        <w:t>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pPr>
        <w:pStyle w:val="normal1"/>
        <w:rPr/>
      </w:pPr>
      <w: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4.8 Discussão dos resultados à luz do referencial teórico</w:t>
      </w:r>
    </w:p>
    <w:p>
      <w:pPr>
        <w:pStyle w:val="normal1"/>
        <w:rPr/>
      </w:pPr>
      <w: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normal1"/>
        <w:rPr/>
      </w:pPr>
      <w: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normal1"/>
        <w:rPr/>
      </w:pPr>
      <w: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normal1"/>
        <w:rPr/>
      </w:pPr>
      <w:r>
        <w:rPr/>
        <w:t>Os resultados do Gemma 3 27B-IT se relacionam com a literatura sobre modelos visão-linguagem. Zhang et al. (2024) apontam que os VLMs aprendem correlações entre imagens e textos a partir de pares imagem-texto em larga escala, permitindo predições zero-shot em tarefas visuais. Esse fundamento ajuda a explicar por que o Gemma 3 27B-IT, mesmo sem treinamento específico no conjunto de dados do projeto, conseguiu interpretar com alta sensibilidade cenas urbanas contendo resíduos.</w:t>
      </w:r>
    </w:p>
    <w:p>
      <w:pPr>
        <w:pStyle w:val="normal1"/>
        <w:rPr/>
      </w:pPr>
      <w: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pPr>
        <w:pStyle w:val="normal1"/>
        <w:rPr/>
      </w:pPr>
      <w: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4.9 Viabilidade para a gestão pública</w:t>
      </w:r>
    </w:p>
    <w:p>
      <w:pPr>
        <w:pStyle w:val="normal1"/>
        <w:rPr/>
      </w:pPr>
      <w: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before="0" w:after="0"/>
        <w:ind w:hanging="0"/>
        <w:jc w:val="center"/>
        <w:rPr/>
      </w:pPr>
      <w:r>
        <w:rPr>
          <w:rFonts w:eastAsia="Times New Roman" w:cs="Times New Roman"/>
          <w:sz w:val="20"/>
          <w:szCs w:val="20"/>
        </w:rPr>
        <w:t>Quadro 2 – Matriz de viabilidade dos modelos</w:t>
      </w:r>
    </w:p>
    <w:tbl>
      <w:tblPr>
        <w:tblStyle w:val="Table14"/>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pacing w:lineRule="auto" w:line="240"/>
              <w:jc w:val="left"/>
              <w:rPr/>
            </w:pPr>
            <w:r>
              <w:rPr>
                <w:b/>
                <w:bCs/>
                <w:sz w:val="20"/>
                <w:szCs w:val="20"/>
              </w:rPr>
              <w:t>Critério de viabilidade</w:t>
            </w:r>
          </w:p>
        </w:tc>
        <w:tc>
          <w:tcPr>
            <w:tcW w:w="2268" w:type="dxa"/>
            <w:tcBorders/>
            <w:vAlign w:val="center"/>
          </w:tcPr>
          <w:p>
            <w:pPr>
              <w:pStyle w:val="normal1"/>
              <w:spacing w:lineRule="auto" w:line="240"/>
              <w:jc w:val="center"/>
              <w:rPr/>
            </w:pPr>
            <w:r>
              <w:rPr>
                <w:b/>
                <w:bCs/>
                <w:sz w:val="20"/>
                <w:szCs w:val="20"/>
              </w:rPr>
              <w:t>YOLOv11m</w:t>
            </w:r>
          </w:p>
        </w:tc>
        <w:tc>
          <w:tcPr>
            <w:tcW w:w="2268" w:type="dxa"/>
            <w:tcBorders/>
            <w:vAlign w:val="center"/>
          </w:tcPr>
          <w:p>
            <w:pPr>
              <w:pStyle w:val="normal1"/>
              <w:spacing w:lineRule="auto" w:line="240"/>
              <w:jc w:val="center"/>
              <w:rPr/>
            </w:pPr>
            <w:r>
              <w:rPr>
                <w:b/>
                <w:bCs/>
                <w:sz w:val="20"/>
                <w:szCs w:val="20"/>
              </w:rPr>
              <w:t>Gemma 3 27B-IT</w:t>
            </w:r>
          </w:p>
        </w:tc>
        <w:tc>
          <w:tcPr>
            <w:tcW w:w="2267" w:type="dxa"/>
            <w:tcBorders/>
            <w:vAlign w:val="center"/>
          </w:tcPr>
          <w:p>
            <w:pPr>
              <w:pStyle w:val="normal1"/>
              <w:spacing w:lineRule="auto" w:line="240"/>
              <w:jc w:val="center"/>
              <w:rPr/>
            </w:pPr>
            <w:r>
              <w:rPr>
                <w:b/>
                <w:bCs/>
                <w:sz w:val="20"/>
                <w:szCs w:val="20"/>
              </w:rPr>
              <w:t>Modelo com vantagem</w:t>
            </w:r>
          </w:p>
        </w:tc>
      </w:tr>
      <w:tr>
        <w:trPr/>
        <w:tc>
          <w:tcPr>
            <w:tcW w:w="2268" w:type="dxa"/>
            <w:tcBorders/>
            <w:vAlign w:val="center"/>
          </w:tcPr>
          <w:p>
            <w:pPr>
              <w:pStyle w:val="normal1"/>
              <w:spacing w:lineRule="auto" w:line="240"/>
              <w:ind w:hanging="0"/>
              <w:jc w:val="left"/>
              <w:rPr/>
            </w:pPr>
            <w:r>
              <w:rPr>
                <w:sz w:val="20"/>
                <w:szCs w:val="20"/>
              </w:rPr>
              <w:t>Desempenho preditivo geral</w:t>
            </w:r>
          </w:p>
        </w:tc>
        <w:tc>
          <w:tcPr>
            <w:tcW w:w="2268" w:type="dxa"/>
            <w:tcBorders/>
            <w:vAlign w:val="center"/>
          </w:tcPr>
          <w:p>
            <w:pPr>
              <w:pStyle w:val="normal1"/>
              <w:rPr/>
            </w:pPr>
            <w:r>
              <w:rPr/>
              <w:t>F1 = 0,7040</w:t>
            </w:r>
          </w:p>
        </w:tc>
        <w:tc>
          <w:tcPr>
            <w:tcW w:w="2268" w:type="dxa"/>
            <w:tcBorders/>
            <w:vAlign w:val="center"/>
          </w:tcPr>
          <w:p>
            <w:pPr>
              <w:pStyle w:val="normal1"/>
              <w:rPr/>
            </w:pPr>
            <w:r>
              <w:rPr/>
              <w:t>F1 = 0,9238</w:t>
            </w:r>
          </w:p>
        </w:tc>
        <w:tc>
          <w:tcPr>
            <w:tcW w:w="2267" w:type="dxa"/>
            <w:tcBorders/>
            <w:vAlign w:val="center"/>
          </w:tcPr>
          <w:p>
            <w:pPr>
              <w:pStyle w:val="normal1"/>
              <w:spacing w:lineRule="auto" w:line="240"/>
              <w:ind w:hanging="0"/>
              <w:jc w:val="center"/>
              <w:rPr/>
            </w:pPr>
            <w:r>
              <w:rPr>
                <w:sz w:val="20"/>
                <w:szCs w:val="20"/>
              </w:rPr>
              <w:t>Gemma 3 27B-IT</w:t>
            </w:r>
          </w:p>
        </w:tc>
      </w:tr>
      <w:tr>
        <w:trPr/>
        <w:tc>
          <w:tcPr>
            <w:tcW w:w="2268" w:type="dxa"/>
            <w:tcBorders/>
            <w:vAlign w:val="center"/>
          </w:tcPr>
          <w:p>
            <w:pPr>
              <w:pStyle w:val="normal1"/>
              <w:spacing w:lineRule="auto" w:line="240"/>
              <w:ind w:hanging="0"/>
              <w:jc w:val="left"/>
              <w:rPr/>
            </w:pPr>
            <w:r>
              <w:rPr>
                <w:sz w:val="20"/>
                <w:szCs w:val="20"/>
              </w:rPr>
              <w:t>Velocidade de inferência</w:t>
            </w:r>
          </w:p>
        </w:tc>
        <w:tc>
          <w:tcPr>
            <w:tcW w:w="2268" w:type="dxa"/>
            <w:tcBorders/>
            <w:vAlign w:val="center"/>
          </w:tcPr>
          <w:p>
            <w:pPr>
              <w:pStyle w:val="normal1"/>
              <w:rPr/>
            </w:pPr>
            <w:r>
              <w:rPr/>
              <w:t>8,4 ms</w:t>
            </w:r>
          </w:p>
        </w:tc>
        <w:tc>
          <w:tcPr>
            <w:tcW w:w="2268" w:type="dxa"/>
            <w:tcBorders/>
            <w:vAlign w:val="center"/>
          </w:tcPr>
          <w:p>
            <w:pPr>
              <w:pStyle w:val="normal1"/>
              <w:rPr/>
            </w:pPr>
            <w:r>
              <w:rPr/>
              <w:t>1.191,9 ms</w:t>
            </w:r>
          </w:p>
        </w:tc>
        <w:tc>
          <w:tcPr>
            <w:tcW w:w="2267" w:type="dxa"/>
            <w:tcBorders/>
            <w:vAlign w:val="center"/>
          </w:tcPr>
          <w:p>
            <w:pPr>
              <w:pStyle w:val="normal1"/>
              <w:spacing w:lineRule="auto" w:line="240"/>
              <w:ind w:hanging="0"/>
              <w:jc w:val="center"/>
              <w:rPr/>
            </w:pPr>
            <w:r>
              <w:rPr>
                <w:sz w:val="20"/>
                <w:szCs w:val="20"/>
              </w:rPr>
              <w:t>YOLOv11m</w:t>
            </w:r>
          </w:p>
        </w:tc>
      </w:tr>
      <w:tr>
        <w:trPr/>
        <w:tc>
          <w:tcPr>
            <w:tcW w:w="2268" w:type="dxa"/>
            <w:tcBorders/>
            <w:vAlign w:val="center"/>
          </w:tcPr>
          <w:p>
            <w:pPr>
              <w:pStyle w:val="normal1"/>
              <w:spacing w:lineRule="auto" w:line="240"/>
              <w:ind w:hanging="0"/>
              <w:jc w:val="left"/>
              <w:rPr/>
            </w:pPr>
            <w:r>
              <w:rPr>
                <w:sz w:val="20"/>
                <w:szCs w:val="20"/>
              </w:rPr>
              <w:t>Controle de falsos positivos</w:t>
            </w:r>
          </w:p>
        </w:tc>
        <w:tc>
          <w:tcPr>
            <w:tcW w:w="2268" w:type="dxa"/>
            <w:tcBorders/>
            <w:vAlign w:val="center"/>
          </w:tcPr>
          <w:p>
            <w:pPr>
              <w:pStyle w:val="normal1"/>
              <w:rPr/>
            </w:pPr>
            <w:r>
              <w:rPr/>
              <w:t>FPR = 0,2821</w:t>
            </w:r>
          </w:p>
        </w:tc>
        <w:tc>
          <w:tcPr>
            <w:tcW w:w="2268" w:type="dxa"/>
            <w:tcBorders/>
            <w:vAlign w:val="center"/>
          </w:tcPr>
          <w:p>
            <w:pPr>
              <w:pStyle w:val="normal1"/>
              <w:rPr/>
            </w:pPr>
            <w:r>
              <w:rPr/>
              <w:t>FPR = 0,1607</w:t>
            </w:r>
          </w:p>
        </w:tc>
        <w:tc>
          <w:tcPr>
            <w:tcW w:w="2267" w:type="dxa"/>
            <w:tcBorders/>
            <w:vAlign w:val="center"/>
          </w:tcPr>
          <w:p>
            <w:pPr>
              <w:pStyle w:val="normal1"/>
              <w:spacing w:lineRule="auto" w:line="240"/>
              <w:ind w:hanging="0"/>
              <w:jc w:val="center"/>
              <w:rPr/>
            </w:pPr>
            <w:r>
              <w:rPr>
                <w:sz w:val="20"/>
                <w:szCs w:val="20"/>
              </w:rPr>
              <w:t>Gemma 3 27B-IT</w:t>
            </w:r>
          </w:p>
        </w:tc>
      </w:tr>
      <w:tr>
        <w:trPr/>
        <w:tc>
          <w:tcPr>
            <w:tcW w:w="2268" w:type="dxa"/>
            <w:tcBorders/>
            <w:vAlign w:val="center"/>
          </w:tcPr>
          <w:p>
            <w:pPr>
              <w:pStyle w:val="normal1"/>
              <w:spacing w:lineRule="auto" w:line="240"/>
              <w:ind w:hanging="0"/>
              <w:jc w:val="left"/>
              <w:rPr/>
            </w:pPr>
            <w:r>
              <w:rPr>
                <w:sz w:val="20"/>
                <w:szCs w:val="20"/>
              </w:rPr>
              <w:t>Recall/Sensibilidade</w:t>
            </w:r>
          </w:p>
        </w:tc>
        <w:tc>
          <w:tcPr>
            <w:tcW w:w="2268" w:type="dxa"/>
            <w:tcBorders/>
            <w:vAlign w:val="center"/>
          </w:tcPr>
          <w:p>
            <w:pPr>
              <w:pStyle w:val="normal1"/>
              <w:rPr/>
            </w:pPr>
            <w:r>
              <w:rPr/>
              <w:t>0,6964</w:t>
            </w:r>
          </w:p>
        </w:tc>
        <w:tc>
          <w:tcPr>
            <w:tcW w:w="2268" w:type="dxa"/>
            <w:tcBorders/>
            <w:vAlign w:val="center"/>
          </w:tcPr>
          <w:p>
            <w:pPr>
              <w:pStyle w:val="normal1"/>
              <w:rPr/>
            </w:pPr>
            <w:r>
              <w:rPr/>
              <w:t>0,9964</w:t>
            </w:r>
          </w:p>
        </w:tc>
        <w:tc>
          <w:tcPr>
            <w:tcW w:w="2267" w:type="dxa"/>
            <w:tcBorders/>
            <w:vAlign w:val="center"/>
          </w:tcPr>
          <w:p>
            <w:pPr>
              <w:pStyle w:val="normal1"/>
              <w:spacing w:lineRule="auto" w:line="240"/>
              <w:ind w:hanging="0"/>
              <w:jc w:val="center"/>
              <w:rPr/>
            </w:pPr>
            <w:r>
              <w:rPr>
                <w:sz w:val="20"/>
                <w:szCs w:val="20"/>
              </w:rPr>
              <w:t>Gemma 3 27B-IT</w:t>
            </w:r>
          </w:p>
        </w:tc>
      </w:tr>
      <w:tr>
        <w:trPr/>
        <w:tc>
          <w:tcPr>
            <w:tcW w:w="2268" w:type="dxa"/>
            <w:tcBorders/>
            <w:vAlign w:val="center"/>
          </w:tcPr>
          <w:p>
            <w:pPr>
              <w:pStyle w:val="normal1"/>
              <w:spacing w:lineRule="auto" w:line="240"/>
              <w:ind w:hanging="0"/>
              <w:jc w:val="left"/>
              <w:rPr/>
            </w:pPr>
            <w:r>
              <w:rPr>
                <w:sz w:val="20"/>
                <w:szCs w:val="20"/>
              </w:rPr>
              <w:t>Custo computacional estimado</w:t>
            </w:r>
          </w:p>
        </w:tc>
        <w:tc>
          <w:tcPr>
            <w:tcW w:w="2268" w:type="dxa"/>
            <w:tcBorders/>
            <w:vAlign w:val="center"/>
          </w:tcPr>
          <w:p>
            <w:pPr>
              <w:pStyle w:val="normal1"/>
              <w:spacing w:lineRule="auto" w:line="240"/>
              <w:jc w:val="center"/>
              <w:rPr/>
            </w:pPr>
            <w:r>
              <w:rPr>
                <w:sz w:val="20"/>
                <w:szCs w:val="20"/>
              </w:rPr>
              <w:t>Menor</w:t>
            </w:r>
          </w:p>
        </w:tc>
        <w:tc>
          <w:tcPr>
            <w:tcW w:w="2268" w:type="dxa"/>
            <w:tcBorders/>
            <w:vAlign w:val="center"/>
          </w:tcPr>
          <w:p>
            <w:pPr>
              <w:pStyle w:val="normal1"/>
              <w:spacing w:lineRule="auto" w:line="240"/>
              <w:jc w:val="center"/>
              <w:rPr/>
            </w:pPr>
            <w:r>
              <w:rPr>
                <w:sz w:val="20"/>
                <w:szCs w:val="20"/>
              </w:rPr>
              <w:t>Maior</w:t>
            </w:r>
          </w:p>
        </w:tc>
        <w:tc>
          <w:tcPr>
            <w:tcW w:w="2267" w:type="dxa"/>
            <w:tcBorders/>
            <w:vAlign w:val="center"/>
          </w:tcPr>
          <w:p>
            <w:pPr>
              <w:pStyle w:val="normal1"/>
              <w:spacing w:lineRule="auto" w:line="240"/>
              <w:ind w:hanging="0"/>
              <w:jc w:val="center"/>
              <w:rPr/>
            </w:pPr>
            <w:r>
              <w:rPr>
                <w:sz w:val="20"/>
                <w:szCs w:val="20"/>
              </w:rPr>
              <w:t>YOLOv11m</w:t>
            </w:r>
          </w:p>
        </w:tc>
      </w:tr>
      <w:tr>
        <w:trPr/>
        <w:tc>
          <w:tcPr>
            <w:tcW w:w="2268" w:type="dxa"/>
            <w:tcBorders/>
            <w:vAlign w:val="center"/>
          </w:tcPr>
          <w:p>
            <w:pPr>
              <w:pStyle w:val="normal1"/>
              <w:spacing w:lineRule="auto" w:line="240"/>
              <w:ind w:hanging="0"/>
              <w:jc w:val="left"/>
              <w:rPr/>
            </w:pPr>
            <w:r>
              <w:rPr>
                <w:sz w:val="20"/>
                <w:szCs w:val="20"/>
              </w:rPr>
              <w:t>Rastreabilidade visual</w:t>
            </w:r>
          </w:p>
        </w:tc>
        <w:tc>
          <w:tcPr>
            <w:tcW w:w="2268" w:type="dxa"/>
            <w:tcBorders/>
            <w:vAlign w:val="center"/>
          </w:tcPr>
          <w:p>
            <w:pPr>
              <w:pStyle w:val="normal1"/>
              <w:spacing w:lineRule="auto" w:line="240"/>
              <w:ind w:hanging="0"/>
              <w:jc w:val="center"/>
              <w:rPr/>
            </w:pPr>
            <w:r>
              <w:rPr>
                <w:sz w:val="20"/>
                <w:szCs w:val="20"/>
              </w:rPr>
              <w:t>Caixas delimitadoras</w:t>
            </w:r>
          </w:p>
        </w:tc>
        <w:tc>
          <w:tcPr>
            <w:tcW w:w="2268" w:type="dxa"/>
            <w:tcBorders/>
            <w:vAlign w:val="center"/>
          </w:tcPr>
          <w:p>
            <w:pPr>
              <w:pStyle w:val="normal1"/>
              <w:spacing w:lineRule="auto" w:line="240"/>
              <w:ind w:hanging="0"/>
              <w:jc w:val="center"/>
              <w:rPr/>
            </w:pPr>
            <w:r>
              <w:rPr>
                <w:sz w:val="20"/>
                <w:szCs w:val="20"/>
              </w:rPr>
              <w:t>Rótulo por imagem</w:t>
            </w:r>
          </w:p>
        </w:tc>
        <w:tc>
          <w:tcPr>
            <w:tcW w:w="2267" w:type="dxa"/>
            <w:tcBorders/>
            <w:vAlign w:val="center"/>
          </w:tcPr>
          <w:p>
            <w:pPr>
              <w:pStyle w:val="normal1"/>
              <w:spacing w:lineRule="auto" w:line="240"/>
              <w:ind w:hanging="0"/>
              <w:jc w:val="center"/>
              <w:rPr/>
            </w:pPr>
            <w:r>
              <w:rPr>
                <w:sz w:val="20"/>
                <w:szCs w:val="20"/>
              </w:rPr>
              <w:t>YOLOv11m</w:t>
            </w:r>
          </w:p>
        </w:tc>
      </w:tr>
      <w:tr>
        <w:trPr/>
        <w:tc>
          <w:tcPr>
            <w:tcW w:w="2268" w:type="dxa"/>
            <w:tcBorders/>
            <w:vAlign w:val="center"/>
          </w:tcPr>
          <w:p>
            <w:pPr>
              <w:pStyle w:val="normal1"/>
              <w:spacing w:lineRule="auto" w:line="240"/>
              <w:ind w:hanging="0"/>
              <w:jc w:val="left"/>
              <w:rPr/>
            </w:pPr>
            <w:r>
              <w:rPr>
                <w:sz w:val="20"/>
                <w:szCs w:val="20"/>
              </w:rPr>
              <w:t>Uso sem treinamento específico</w:t>
            </w:r>
          </w:p>
        </w:tc>
        <w:tc>
          <w:tcPr>
            <w:tcW w:w="2268" w:type="dxa"/>
            <w:tcBorders/>
            <w:vAlign w:val="center"/>
          </w:tcPr>
          <w:p>
            <w:pPr>
              <w:pStyle w:val="normal1"/>
              <w:spacing w:lineRule="auto" w:line="240"/>
              <w:jc w:val="center"/>
              <w:rPr/>
            </w:pPr>
            <w:r>
              <w:rPr>
                <w:sz w:val="20"/>
                <w:szCs w:val="20"/>
              </w:rPr>
              <w:t>Não</w:t>
            </w:r>
          </w:p>
        </w:tc>
        <w:tc>
          <w:tcPr>
            <w:tcW w:w="2268" w:type="dxa"/>
            <w:tcBorders/>
            <w:vAlign w:val="center"/>
          </w:tcPr>
          <w:p>
            <w:pPr>
              <w:pStyle w:val="normal1"/>
              <w:spacing w:lineRule="auto" w:line="240"/>
              <w:jc w:val="center"/>
              <w:rPr/>
            </w:pPr>
            <w:r>
              <w:rPr>
                <w:sz w:val="20"/>
                <w:szCs w:val="20"/>
              </w:rPr>
              <w:t>Sim</w:t>
            </w:r>
          </w:p>
        </w:tc>
        <w:tc>
          <w:tcPr>
            <w:tcW w:w="2267" w:type="dxa"/>
            <w:tcBorders/>
            <w:vAlign w:val="center"/>
          </w:tcPr>
          <w:p>
            <w:pPr>
              <w:pStyle w:val="normal1"/>
              <w:spacing w:lineRule="auto" w:line="240"/>
              <w:ind w:hanging="0"/>
              <w:jc w:val="center"/>
              <w:rPr/>
            </w:pPr>
            <w:r>
              <w:rPr>
                <w:sz w:val="20"/>
                <w:szCs w:val="20"/>
              </w:rPr>
              <w:t>Gemma 3 27B-IT</w:t>
            </w:r>
          </w:p>
        </w:tc>
      </w:tr>
      <w:tr>
        <w:trPr/>
        <w:tc>
          <w:tcPr>
            <w:tcW w:w="2268" w:type="dxa"/>
            <w:tcBorders/>
            <w:vAlign w:val="center"/>
          </w:tcPr>
          <w:p>
            <w:pPr>
              <w:pStyle w:val="normal1"/>
              <w:spacing w:lineRule="auto" w:line="240"/>
              <w:ind w:hanging="0"/>
              <w:jc w:val="left"/>
              <w:rPr/>
            </w:pPr>
            <w:r>
              <w:rPr>
                <w:sz w:val="20"/>
                <w:szCs w:val="20"/>
              </w:rPr>
              <w:t>Escalabilidade em tempo real</w:t>
            </w:r>
          </w:p>
        </w:tc>
        <w:tc>
          <w:tcPr>
            <w:tcW w:w="2268" w:type="dxa"/>
            <w:tcBorders/>
            <w:vAlign w:val="center"/>
          </w:tcPr>
          <w:p>
            <w:pPr>
              <w:pStyle w:val="normal1"/>
              <w:spacing w:lineRule="auto" w:line="240"/>
              <w:jc w:val="center"/>
              <w:rPr/>
            </w:pPr>
            <w:r>
              <w:rPr>
                <w:sz w:val="20"/>
                <w:szCs w:val="20"/>
              </w:rPr>
              <w:t>Alta</w:t>
            </w:r>
          </w:p>
        </w:tc>
        <w:tc>
          <w:tcPr>
            <w:tcW w:w="2268" w:type="dxa"/>
            <w:tcBorders/>
            <w:vAlign w:val="center"/>
          </w:tcPr>
          <w:p>
            <w:pPr>
              <w:pStyle w:val="normal1"/>
              <w:spacing w:lineRule="auto" w:line="240"/>
              <w:jc w:val="center"/>
              <w:rPr/>
            </w:pPr>
            <w:r>
              <w:rPr>
                <w:sz w:val="20"/>
                <w:szCs w:val="20"/>
              </w:rPr>
              <w:t>Baixa</w:t>
            </w:r>
          </w:p>
        </w:tc>
        <w:tc>
          <w:tcPr>
            <w:tcW w:w="2267" w:type="dxa"/>
            <w:tcBorders/>
            <w:vAlign w:val="center"/>
          </w:tcPr>
          <w:p>
            <w:pPr>
              <w:pStyle w:val="normal1"/>
              <w:spacing w:lineRule="auto" w:line="240"/>
              <w:ind w:hanging="0"/>
              <w:jc w:val="center"/>
              <w:rPr/>
            </w:pPr>
            <w:r>
              <w:rPr>
                <w:sz w:val="20"/>
                <w:szCs w:val="20"/>
              </w:rPr>
              <w:t>YOLOv11m</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rPr/>
      </w:pPr>
      <w:r>
        <w:rPr/>
        <w:t>Para monitoramento em rede, alto volume de imagens ou uso em tempo real, o YOLOv11m apresenta maior viabilidade operacional. Sua latência reduzida e seu alto throughput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normal1"/>
        <w:rPr/>
      </w:pPr>
      <w: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normal1"/>
        <w:jc w:val="both"/>
        <w:rPr/>
      </w:pPr>
      <w:r>
        <w:rPr>
          <w:rFonts w:eastAsia="Times New Roman" w:cs="Times New Roman"/>
          <w:sz w:val="24"/>
          <w:szCs w:val="24"/>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normal1"/>
        <w:rPr/>
      </w:pPr>
      <w: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normal1"/>
        <w:rPr/>
      </w:pPr>
      <w: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before="0" w:after="0"/>
        <w:ind w:hanging="0"/>
        <w:jc w:val="center"/>
        <w:rPr/>
      </w:pPr>
      <w:r>
        <w:rPr>
          <w:rFonts w:eastAsia="Times New Roman" w:cs="Times New Roman"/>
          <w:sz w:val="20"/>
          <w:szCs w:val="20"/>
        </w:rPr>
        <w:t>Quadro 3 – Síntese gerencial dos cenários de uso</w:t>
      </w:r>
    </w:p>
    <w:tbl>
      <w:tblPr>
        <w:tblStyle w:val="Table15"/>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pacing w:lineRule="auto" w:line="240"/>
              <w:jc w:val="left"/>
              <w:rPr/>
            </w:pPr>
            <w:r>
              <w:rPr>
                <w:b/>
                <w:bCs/>
                <w:sz w:val="20"/>
                <w:szCs w:val="20"/>
              </w:rPr>
              <w:t>Cenário de uso</w:t>
            </w:r>
          </w:p>
        </w:tc>
        <w:tc>
          <w:tcPr>
            <w:tcW w:w="3024" w:type="dxa"/>
            <w:tcBorders/>
            <w:vAlign w:val="center"/>
          </w:tcPr>
          <w:p>
            <w:pPr>
              <w:pStyle w:val="normal1"/>
              <w:spacing w:lineRule="auto" w:line="240"/>
              <w:jc w:val="center"/>
              <w:rPr/>
            </w:pPr>
            <w:r>
              <w:rPr>
                <w:b/>
                <w:bCs/>
                <w:sz w:val="20"/>
                <w:szCs w:val="20"/>
              </w:rPr>
              <w:t>Modelo mais indicado</w:t>
            </w:r>
          </w:p>
        </w:tc>
        <w:tc>
          <w:tcPr>
            <w:tcW w:w="3024" w:type="dxa"/>
            <w:tcBorders/>
            <w:vAlign w:val="center"/>
          </w:tcPr>
          <w:p>
            <w:pPr>
              <w:pStyle w:val="normal1"/>
              <w:spacing w:lineRule="auto" w:line="240"/>
              <w:jc w:val="center"/>
              <w:rPr/>
            </w:pPr>
            <w:r>
              <w:rPr>
                <w:b/>
                <w:bCs/>
                <w:sz w:val="20"/>
                <w:szCs w:val="20"/>
              </w:rPr>
              <w:t>Justificativa</w:t>
            </w:r>
          </w:p>
        </w:tc>
      </w:tr>
      <w:tr>
        <w:trPr/>
        <w:tc>
          <w:tcPr>
            <w:tcW w:w="3024" w:type="dxa"/>
            <w:tcBorders/>
            <w:vAlign w:val="center"/>
          </w:tcPr>
          <w:p>
            <w:pPr>
              <w:pStyle w:val="normal1"/>
              <w:spacing w:lineRule="auto" w:line="240"/>
              <w:ind w:hanging="0"/>
              <w:jc w:val="left"/>
              <w:rPr/>
            </w:pPr>
            <w:r>
              <w:rPr>
                <w:sz w:val="20"/>
                <w:szCs w:val="20"/>
              </w:rPr>
              <w:t>Monitoramento em tempo real ou alto volume</w:t>
            </w:r>
          </w:p>
        </w:tc>
        <w:tc>
          <w:tcPr>
            <w:tcW w:w="3024" w:type="dxa"/>
            <w:tcBorders/>
            <w:vAlign w:val="center"/>
          </w:tcPr>
          <w:p>
            <w:pPr>
              <w:pStyle w:val="normal1"/>
              <w:spacing w:lineRule="auto" w:line="240"/>
              <w:ind w:hanging="0"/>
              <w:jc w:val="center"/>
              <w:rPr/>
            </w:pPr>
            <w:r>
              <w:rPr>
                <w:sz w:val="20"/>
                <w:szCs w:val="20"/>
              </w:rPr>
              <w:t>YOLOv11m</w:t>
            </w:r>
          </w:p>
        </w:tc>
        <w:tc>
          <w:tcPr>
            <w:tcW w:w="3024" w:type="dxa"/>
            <w:tcBorders/>
            <w:vAlign w:val="center"/>
          </w:tcPr>
          <w:p>
            <w:pPr>
              <w:pStyle w:val="normal1"/>
              <w:spacing w:lineRule="auto" w:line="240"/>
              <w:ind w:hanging="0"/>
              <w:jc w:val="center"/>
              <w:rPr/>
            </w:pPr>
            <w:r>
              <w:rPr>
                <w:sz w:val="20"/>
                <w:szCs w:val="20"/>
              </w:rPr>
              <w:t>Apresentou latência muito baixa e throughput elevado, embora exija controle dos falsos positivos.</w:t>
            </w:r>
          </w:p>
        </w:tc>
      </w:tr>
      <w:tr>
        <w:trPr/>
        <w:tc>
          <w:tcPr>
            <w:tcW w:w="3024" w:type="dxa"/>
            <w:tcBorders/>
            <w:vAlign w:val="center"/>
          </w:tcPr>
          <w:p>
            <w:pPr>
              <w:pStyle w:val="normal1"/>
              <w:spacing w:lineRule="auto" w:line="240"/>
              <w:ind w:hanging="0"/>
              <w:jc w:val="left"/>
              <w:rPr/>
            </w:pPr>
            <w:r>
              <w:rPr>
                <w:sz w:val="20"/>
                <w:szCs w:val="20"/>
              </w:rPr>
              <w:t>Análise offline ou auditoria de imagens</w:t>
            </w:r>
          </w:p>
        </w:tc>
        <w:tc>
          <w:tcPr>
            <w:tcW w:w="3024" w:type="dxa"/>
            <w:tcBorders/>
            <w:vAlign w:val="center"/>
          </w:tcPr>
          <w:p>
            <w:pPr>
              <w:pStyle w:val="normal1"/>
              <w:spacing w:lineRule="auto" w:line="240"/>
              <w:ind w:hanging="0"/>
              <w:jc w:val="center"/>
              <w:rPr/>
            </w:pPr>
            <w:r>
              <w:rPr>
                <w:sz w:val="20"/>
                <w:szCs w:val="20"/>
              </w:rPr>
              <w:t>Gemma 3 27B-IT</w:t>
            </w:r>
          </w:p>
        </w:tc>
        <w:tc>
          <w:tcPr>
            <w:tcW w:w="3024" w:type="dxa"/>
            <w:tcBorders/>
            <w:vAlign w:val="center"/>
          </w:tcPr>
          <w:p>
            <w:pPr>
              <w:pStyle w:val="normal1"/>
              <w:spacing w:lineRule="auto" w:line="240"/>
              <w:ind w:hanging="0"/>
              <w:jc w:val="center"/>
              <w:rPr/>
            </w:pPr>
            <w:r>
              <w:rPr>
                <w:sz w:val="20"/>
                <w:szCs w:val="20"/>
              </w:rPr>
              <w:t>Apresentou maior desempenho preditivo, recall quase perfeito e menor taxa de falsos positivos.</w:t>
            </w:r>
          </w:p>
        </w:tc>
      </w:tr>
      <w:tr>
        <w:trPr/>
        <w:tc>
          <w:tcPr>
            <w:tcW w:w="3024" w:type="dxa"/>
            <w:tcBorders/>
            <w:vAlign w:val="center"/>
          </w:tcPr>
          <w:p>
            <w:pPr>
              <w:pStyle w:val="normal1"/>
              <w:spacing w:lineRule="auto" w:line="240"/>
              <w:ind w:hanging="0"/>
              <w:jc w:val="left"/>
              <w:rPr/>
            </w:pPr>
            <w:r>
              <w:rPr>
                <w:sz w:val="20"/>
                <w:szCs w:val="20"/>
              </w:rPr>
              <w:t>Sistema de triagem com confirmação</w:t>
            </w:r>
          </w:p>
        </w:tc>
        <w:tc>
          <w:tcPr>
            <w:tcW w:w="3024" w:type="dxa"/>
            <w:tcBorders/>
            <w:vAlign w:val="center"/>
          </w:tcPr>
          <w:p>
            <w:pPr>
              <w:pStyle w:val="normal1"/>
              <w:spacing w:lineRule="auto" w:line="240"/>
              <w:ind w:hanging="0"/>
              <w:jc w:val="center"/>
              <w:rPr/>
            </w:pPr>
            <w:r>
              <w:rPr>
                <w:sz w:val="20"/>
                <w:szCs w:val="20"/>
              </w:rPr>
              <w:t>Abordagem híbrida</w:t>
            </w:r>
          </w:p>
        </w:tc>
        <w:tc>
          <w:tcPr>
            <w:tcW w:w="3024" w:type="dxa"/>
            <w:tcBorders/>
            <w:vAlign w:val="center"/>
          </w:tcPr>
          <w:p>
            <w:pPr>
              <w:pStyle w:val="normal1"/>
              <w:spacing w:lineRule="auto" w:line="240"/>
              <w:ind w:hanging="0"/>
              <w:jc w:val="center"/>
              <w:rPr/>
            </w:pPr>
            <w:r>
              <w:rPr>
                <w:sz w:val="20"/>
                <w:szCs w:val="20"/>
              </w:rPr>
              <w:t>O YOLO pode realizar triagem rápida e o Gemma pode confirmar casos positivos ou duvidosos.</w:t>
            </w:r>
          </w:p>
        </w:tc>
      </w:tr>
      <w:tr>
        <w:trPr/>
        <w:tc>
          <w:tcPr>
            <w:tcW w:w="3024" w:type="dxa"/>
            <w:tcBorders/>
            <w:vAlign w:val="center"/>
          </w:tcPr>
          <w:p>
            <w:pPr>
              <w:pStyle w:val="normal1"/>
              <w:spacing w:lineRule="auto" w:line="240"/>
              <w:ind w:hanging="0"/>
              <w:jc w:val="left"/>
              <w:rPr/>
            </w:pPr>
            <w:r>
              <w:rPr>
                <w:sz w:val="20"/>
                <w:szCs w:val="20"/>
              </w:rPr>
              <w:t>Implantação com restrição de infraestrutura</w:t>
            </w:r>
          </w:p>
        </w:tc>
        <w:tc>
          <w:tcPr>
            <w:tcW w:w="3024" w:type="dxa"/>
            <w:tcBorders/>
            <w:vAlign w:val="center"/>
          </w:tcPr>
          <w:p>
            <w:pPr>
              <w:pStyle w:val="normal1"/>
              <w:spacing w:lineRule="auto" w:line="240"/>
              <w:ind w:hanging="0"/>
              <w:jc w:val="center"/>
              <w:rPr/>
            </w:pPr>
            <w:r>
              <w:rPr>
                <w:sz w:val="20"/>
                <w:szCs w:val="20"/>
              </w:rPr>
              <w:t>YOLOv11m ou versão menor</w:t>
            </w:r>
          </w:p>
        </w:tc>
        <w:tc>
          <w:tcPr>
            <w:tcW w:w="3024" w:type="dxa"/>
            <w:tcBorders/>
            <w:vAlign w:val="center"/>
          </w:tcPr>
          <w:p>
            <w:pPr>
              <w:pStyle w:val="normal1"/>
              <w:spacing w:lineRule="auto" w:line="240"/>
              <w:ind w:hanging="0"/>
              <w:jc w:val="center"/>
              <w:rPr/>
            </w:pPr>
            <w:r>
              <w:rPr>
                <w:sz w:val="20"/>
                <w:szCs w:val="20"/>
              </w:rPr>
              <w:t>Tende a exigir menos recursos computacionais que um VLM de grande porte.</w:t>
            </w:r>
          </w:p>
        </w:tc>
      </w:tr>
    </w:tbl>
    <w:p>
      <w:pPr>
        <w:pStyle w:val="normal1"/>
        <w:spacing w:lineRule="auto" w:line="240" w:before="0" w:after="0"/>
        <w:ind w:hanging="0"/>
        <w:jc w:val="left"/>
        <w:rPr/>
      </w:pPr>
      <w:r>
        <w:rPr>
          <w:rFonts w:eastAsia="Times New Roman" w:cs="Times New Roman"/>
          <w:sz w:val="20"/>
          <w:szCs w:val="20"/>
        </w:rPr>
        <w:t>Fonte: elaborado pelo autor com base nos resultados do experimento (2026).</w:t>
      </w:r>
    </w:p>
    <w:p>
      <w:pPr>
        <w:pStyle w:val="normal1"/>
        <w:rPr/>
      </w:pPr>
      <w:r>
        <w:rPr/>
        <w:t>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zero-shot, o que sugere maior capacidade de generalização imediata para diferentes contextos visuais. Em termos administrativos, essa diferença é significativa: o 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4.10 Limitações dos resultados</w:t>
      </w:r>
    </w:p>
    <w:p>
      <w:pPr>
        <w:pStyle w:val="normal1"/>
        <w:rPr/>
      </w:pPr>
      <w: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pPr>
        <w:pStyle w:val="normal1"/>
        <w:rPr/>
      </w:pPr>
      <w:r>
        <w:rPr/>
        <w:t>A segunda limitação refere-se à escolha da proporção de imagens negativas no treinamento do YOLOv11m. O conjunto de treino teve 15,6% de background, dentro da faixa adotada como referência interna para exemplos negativos. Essa decisão favoreceu o controle de falsos positivos, mas pode ter contribuído para um comportamento mais conservador do detector e para a redução do recall. Estudos futuros podem comparar diferentes proporções de background e diferentes limiares de confiança para verificar o melhor equilíbrio entre especificidade e sensibilidade.</w:t>
      </w:r>
    </w:p>
    <w:p>
      <w:pPr>
        <w:pStyle w:val="normal1"/>
        <w:rPr/>
      </w:pPr>
      <w:r>
        <w:rPr/>
        <w:t>A terceira limitação diz respeito ao viés de anotação. Como algumas anotações foram feitas por região de descarte e podem ignorar resíduos muito pequenos, certos falsos positivos do Gemma podem corresponder a detecções corretas não representadas no ground truth.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pPr>
        <w:pStyle w:val="normal1"/>
        <w:rPr/>
      </w:pPr>
      <w:r>
        <w:rPr/>
        <w:t>A quarta limitação está na comparação assimétrica entre os modelos. O YOLOv11m foi treinado especificamente para a classe “lixo”, enquanto o Gemma 3 27B-IT foi usado em modo zero-shot.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pPr>
        <w:pStyle w:val="normal1"/>
        <w:rPr/>
      </w:pPr>
      <w: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pPr>
        <w:pStyle w:val="normal1"/>
        <w:rPr/>
      </w:pPr>
      <w:r>
        <w:rPr/>
        <w:t>Por fim, o domínio visual das imagens de treinamento e teste pode influenciar os resultados. Embora o teste tenha utilizado imagens reais de ruas brasileiras, parte relevante do treinamento veio de datasets abertos com origem heterogênea. A ampliação de dados locais, especialmente de Fortaleza e de outras cidades brasileiras, pode melhorar a validade externa dos modelos e permitir avaliações mais próximas das condições reais de implantação.</w:t>
      </w:r>
    </w:p>
    <w:p>
      <w:pPr>
        <w:pStyle w:val="normal1"/>
        <w:keepNext w:val="false"/>
        <w:keepLines w:val="false"/>
        <w:pageBreakBefore w:val="false"/>
        <w:widowControl w:val="false"/>
        <w:shd w:val="clear" w:fill="auto"/>
        <w:spacing w:lineRule="auto" w:line="360" w:before="240" w:after="120"/>
        <w:ind w:firstLine="709" w:left="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 w:val="24"/>
          <w:szCs w:val="24"/>
          <w:u w:val="none"/>
          <w:shd w:fill="auto" w:val="clear"/>
          <w:vertAlign w:val="baseline"/>
        </w:rPr>
        <w:t>4.11 Síntese da discussão</w:t>
      </w:r>
    </w:p>
    <w:p>
      <w:pPr>
        <w:pStyle w:val="normal1"/>
        <w:rPr/>
      </w:pPr>
      <w: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pPr>
      <w:r>
        <w:rP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pPr>
        <w:pStyle w:val="normal1"/>
        <w:rPr/>
      </w:pPr>
      <w: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pPr>
      <w: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pPr>
      <w:r>
        <w:rPr/>
      </w:r>
      <w:r>
        <w:br w:type="page"/>
      </w:r>
    </w:p>
    <w:p>
      <w:pPr>
        <w:pStyle w:val="Heading1"/>
        <w:numPr>
          <w:ilvl w:val="0"/>
          <w:numId w:val="1"/>
        </w:numPr>
        <w:spacing w:before="0" w:after="240"/>
        <w:ind w:hanging="0" w:left="0"/>
        <w:rPr/>
      </w:pPr>
      <w:r>
        <w:rPr/>
        <w:t>5 CONSIDERAÇÕES FINAIS</w:t>
      </w:r>
    </w:p>
    <w:p>
      <w:pPr>
        <w:pStyle w:val="normal1"/>
        <w:rPr/>
      </w:pPr>
      <w:r>
        <w:rPr/>
        <w:t>A presente pesquisa analisou a viabilidade do uso de inteligência artificial no monitoramento de resíduos urbanos em vias públicas, a partir da comparação entre dois paradigmas distintos: o YOLOv11m, utilizado como detector especializado após fine-tuning para a classe única “lixo”, e o Gemma 3 27B-IT, utilizado como modelo visão-linguagem generalista em regime zero-shot. O estudo partiu da compreensão de que a gestão dos resíduos sólidos urbanos representa um desafio relevante para a Administração Pública, especialmente em razão de seus impactos ambientais, sanitários, operacionais e financeiros.</w:t>
      </w:r>
    </w:p>
    <w:p>
      <w:pPr>
        <w:pStyle w:val="normal1"/>
        <w:rPr/>
      </w:pPr>
      <w: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pPr>
        <w:pStyle w:val="normal1"/>
        <w:rPr/>
      </w:pPr>
      <w: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pPr>
        <w:pStyle w:val="normal1"/>
        <w:rPr/>
      </w:pPr>
      <w:r>
        <w:rP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pPr>
        <w:pStyle w:val="normal1"/>
        <w:rPr/>
      </w:pPr>
      <w:r>
        <w:rPr/>
        <w:t>A hipótese provisória afirmava que modelos especializados de detecção, como o YOLOv11m, tenderiam a apresentar maior viabilidade operacional do que modelos visão-linguagem generalistas em modo zero-shot,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pPr>
        <w:pStyle w:val="normal1"/>
        <w:rPr/>
      </w:pPr>
      <w: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pPr>
        <w:pStyle w:val="normal1"/>
        <w:rPr/>
      </w:pPr>
      <w:r>
        <w:rPr/>
        <w:t>Por outro lado, o YOLOv11m apresentou vantagem expressiva em eficiência computacional. Sua baixa latência e seu alto throughput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pPr>
        <w:pStyle w:val="normal1"/>
        <w:spacing w:lineRule="auto" w:line="360" w:before="0" w:after="0"/>
        <w:ind w:firstLine="709"/>
        <w:jc w:val="both"/>
        <w:rPr/>
      </w:pPr>
      <w:r>
        <w:rPr>
          <w:rFonts w:eastAsia="Times New Roman" w:cs="Times New Roman"/>
          <w:sz w:val="24"/>
          <w:szCs w:val="24"/>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pPr>
        <w:pStyle w:val="normal1"/>
        <w:rPr/>
      </w:pPr>
      <w:r>
        <w:rP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pPr>
        <w:pStyle w:val="normal1"/>
        <w:rPr/>
      </w:pPr>
      <w:r>
        <w:rPr/>
        <w:t>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serviço, custo operacional, risco de falsos alarmes, possibilidade de auditoria, infraestrutura disponível, controle humano e adequação institucional. Além disso, o estudo contribui ao comparar um detector especializado e um modelo visão-linguagem em uma tarefa aplicada ao monitoramento de resíduos em ruas brasileiras, oferecendo evidências empíricas para orientar novas investigações.</w:t>
      </w:r>
    </w:p>
    <w:p>
      <w:pPr>
        <w:pStyle w:val="normal1"/>
        <w:rPr/>
      </w:pPr>
      <w:r>
        <w:rPr/>
        <w:t>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zero-shot. Essa assimetria reflete alternativas reais de adoção tecnológica, mas impede afirmar superioridade arquitetural universal de um modelo sobre o outro.</w:t>
      </w:r>
    </w:p>
    <w:p>
      <w:pPr>
        <w:pStyle w:val="normal1"/>
        <w:rPr/>
      </w:pPr>
      <w:r>
        <w:rP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ground truth permanece sujeita ao julgamento do anotador. Estudos futuros podem adotar anotação independente por múltiplos avaliadores, com medida de concordância entre eles, para fortalecer a confiabilidade dessa caracterização qualitativa.</w:t>
      </w:r>
    </w:p>
    <w:p>
      <w:pPr>
        <w:pStyle w:val="normal1"/>
        <w:rPr/>
      </w:pPr>
      <w:r>
        <w:rPr/>
        <w:t>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recall.</w:t>
      </w:r>
    </w:p>
    <w:p>
      <w:pPr>
        <w:pStyle w:val="normal1"/>
        <w:rPr/>
      </w:pPr>
      <w: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pPr>
        <w:pStyle w:val="normal1"/>
        <w:spacing w:lineRule="auto" w:line="360" w:before="0" w:after="0"/>
        <w:ind w:firstLine="709"/>
        <w:jc w:val="both"/>
        <w:rPr/>
      </w:pPr>
      <w:r>
        <w:rPr>
          <w:rFonts w:eastAsia="Times New Roman" w:cs="Times New Roman"/>
          <w:sz w:val="24"/>
          <w:szCs w:val="24"/>
        </w:rPr>
        <w:t>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preditivamente, porém mais compatível com cenários de maior escala, menor latência e maior necessidade de rastreabilidade visual.</w:t>
      </w:r>
    </w:p>
    <w:p>
      <w:pPr>
        <w:pStyle w:val="normal1"/>
        <w:rPr/>
      </w:pPr>
      <w:r>
        <w:rPr/>
      </w:r>
      <w:r>
        <w:br w:type="page"/>
      </w:r>
    </w:p>
    <w:p>
      <w:pPr>
        <w:pStyle w:val="normal1"/>
        <w:spacing w:lineRule="auto" w:line="360" w:before="0" w:after="0"/>
        <w:ind w:hanging="0"/>
        <w:jc w:val="center"/>
        <w:rPr/>
      </w:pPr>
      <w:r>
        <w:rPr>
          <w:rFonts w:eastAsia="Times New Roman" w:cs="Times New Roman"/>
          <w:b/>
          <w:bCs/>
          <w:sz w:val="24"/>
          <w:szCs w:val="24"/>
        </w:rPr>
        <w:t>REFERÊNCIAS</w:t>
      </w:r>
    </w:p>
    <w:p>
      <w:pPr>
        <w:pStyle w:val="normal1"/>
        <w:rPr/>
      </w:pPr>
      <w:r>
        <w:rPr/>
      </w:r>
    </w:p>
    <w:p>
      <w:pPr>
        <w:pStyle w:val="normal1"/>
        <w:spacing w:lineRule="auto" w:line="240" w:before="0" w:after="120"/>
        <w:ind w:hanging="0" w:left="0"/>
        <w:jc w:val="left"/>
        <w:rPr/>
      </w:pPr>
      <w:r>
        <w:rPr>
          <w:rFonts w:eastAsia="Times New Roman" w:cs="Times New Roman"/>
          <w:b w:val="false"/>
          <w:bCs w:val="false"/>
          <w:sz w:val="24"/>
          <w:szCs w:val="24"/>
        </w:rPr>
        <w:t xml:space="preserve">ASSOCIAÇÃO BRASILEIRA DE NORMAS TÉCNICAS. </w:t>
      </w:r>
      <w:r>
        <w:rPr>
          <w:rFonts w:eastAsia="Times New Roman" w:cs="Times New Roman"/>
          <w:b/>
          <w:bCs/>
          <w:sz w:val="24"/>
          <w:szCs w:val="24"/>
        </w:rPr>
        <w:t>NBR 10004: resíduos sólidos: classificação</w:t>
      </w:r>
      <w:r>
        <w:rPr>
          <w:rFonts w:eastAsia="Times New Roman" w:cs="Times New Roman"/>
          <w:b w:val="false"/>
          <w:bCs w:val="false"/>
          <w:sz w:val="24"/>
          <w:szCs w:val="24"/>
        </w:rPr>
        <w:t>. Rio de Janeiro: ABNT, 2004.</w:t>
      </w:r>
    </w:p>
    <w:p>
      <w:pPr>
        <w:pStyle w:val="normal1"/>
        <w:spacing w:lineRule="auto" w:line="240" w:before="0" w:after="120"/>
        <w:ind w:hanging="0" w:left="0"/>
        <w:jc w:val="left"/>
        <w:rPr/>
      </w:pPr>
      <w:r>
        <w:rPr>
          <w:rFonts w:eastAsia="Times New Roman" w:cs="Times New Roman"/>
          <w:b w:val="false"/>
          <w:bCs w:val="false"/>
          <w:sz w:val="24"/>
          <w:szCs w:val="24"/>
        </w:rPr>
        <w:t xml:space="preserve">BRASIL. </w:t>
      </w:r>
      <w:r>
        <w:rPr>
          <w:rFonts w:eastAsia="Times New Roman" w:cs="Times New Roman"/>
          <w:b/>
          <w:bCs/>
          <w:sz w:val="24"/>
          <w:szCs w:val="24"/>
        </w:rPr>
        <w:t>Lei nº 12.305, de 2 de agosto de 2010</w:t>
      </w:r>
      <w:r>
        <w:rPr>
          <w:rFonts w:eastAsia="Times New Roman" w:cs="Times New Roman"/>
          <w:b w:val="false"/>
          <w:bCs w:val="false"/>
          <w:sz w:val="24"/>
          <w:szCs w:val="24"/>
        </w:rPr>
        <w:t>. Institui a Política Nacional de Resíduos Sólidos. Brasília, DF: Presidência da República, 2010. Disponível em: https://www.planalto.gov.br/ccivil_03/_ato2007-2010/2010/lei/l12305.htm.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CARDOSO, F. C. A. I.; CARDOSO, J. C. O problema do lixo e algumas perspectivas para redução de impactos. </w:t>
      </w:r>
      <w:r>
        <w:rPr>
          <w:rFonts w:eastAsia="Times New Roman" w:cs="Times New Roman"/>
          <w:b/>
          <w:bCs/>
          <w:sz w:val="24"/>
          <w:szCs w:val="24"/>
        </w:rPr>
        <w:t>Ciência e Cultura</w:t>
      </w:r>
      <w:r>
        <w:rPr>
          <w:rFonts w:eastAsia="Times New Roman" w:cs="Times New Roman"/>
          <w:b w:val="false"/>
          <w:bCs w:val="false"/>
          <w:sz w:val="24"/>
          <w:szCs w:val="24"/>
        </w:rPr>
        <w:t>, São Paulo, v. 68, n. 4, p. 25-29, 2016.</w:t>
      </w:r>
    </w:p>
    <w:p>
      <w:pPr>
        <w:pStyle w:val="normal1"/>
        <w:spacing w:lineRule="auto" w:line="240" w:before="0" w:after="120"/>
        <w:ind w:hanging="0" w:left="0"/>
        <w:jc w:val="left"/>
        <w:rPr/>
      </w:pPr>
      <w:r>
        <w:rPr>
          <w:rFonts w:eastAsia="Times New Roman" w:cs="Times New Roman"/>
          <w:b w:val="false"/>
          <w:bCs w:val="false"/>
          <w:sz w:val="24"/>
          <w:szCs w:val="24"/>
        </w:rPr>
        <w:t xml:space="preserve">CÓRDOVA, M.; PINTO, A.; HELLEVIK, C. C.; ALALIYAT, S. A.-A.; HAMEED, I. A.; PEDRINI, H.; TORRES, R. S. Litter detection with deep learning: a comparative study. </w:t>
      </w:r>
      <w:r>
        <w:rPr>
          <w:rFonts w:eastAsia="Times New Roman" w:cs="Times New Roman"/>
          <w:b/>
          <w:bCs/>
          <w:sz w:val="24"/>
          <w:szCs w:val="24"/>
        </w:rPr>
        <w:t>Sensors</w:t>
      </w:r>
      <w:r>
        <w:rPr>
          <w:rFonts w:eastAsia="Times New Roman" w:cs="Times New Roman"/>
          <w:b w:val="false"/>
          <w:bCs w:val="false"/>
          <w:sz w:val="24"/>
          <w:szCs w:val="24"/>
        </w:rPr>
        <w:t>, Basel, v. 22, n. 2, artigo 548, 2022. DOI: https://doi.org/10.3390/s22020548.</w:t>
      </w:r>
    </w:p>
    <w:p>
      <w:pPr>
        <w:pStyle w:val="normal1"/>
        <w:spacing w:lineRule="auto" w:line="240" w:before="0" w:after="120"/>
        <w:ind w:hanging="0" w:left="0"/>
        <w:jc w:val="left"/>
        <w:rPr/>
      </w:pPr>
      <w:r>
        <w:rPr>
          <w:rFonts w:eastAsia="Times New Roman" w:cs="Times New Roman"/>
          <w:b w:val="false"/>
          <w:bCs w:val="false"/>
          <w:sz w:val="24"/>
          <w:szCs w:val="24"/>
        </w:rPr>
        <w:t xml:space="preserve">FORTALEZA. Autarquia de Regulação, Fiscalização e Controle dos Serviços Públicos de Saneamento Ambiental de Fortaleza. </w:t>
      </w:r>
      <w:r>
        <w:rPr>
          <w:rFonts w:eastAsia="Times New Roman" w:cs="Times New Roman"/>
          <w:b/>
          <w:bCs/>
          <w:sz w:val="24"/>
          <w:szCs w:val="24"/>
        </w:rPr>
        <w:t>Resíduos sólidos Fortaleza</w:t>
      </w:r>
      <w:r>
        <w:rPr>
          <w:rFonts w:eastAsia="Times New Roman" w:cs="Times New Roman"/>
          <w:b w:val="false"/>
          <w:bCs w:val="false"/>
          <w:sz w:val="24"/>
          <w:szCs w:val="24"/>
        </w:rPr>
        <w:t>. Fortaleza: Dados Abertos Fortaleza, 2022. Disponível em: https://dados.fortaleza.ce.gov.br/dataset/residuos-solidos-fortaleza.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FREITAS, M. F.; PIRES, M. M.; BENINCÁ, D. Fragilidades e potencialidades na gestão dos resíduos sólidos urbanos no Brasil. </w:t>
      </w:r>
      <w:r>
        <w:rPr>
          <w:rFonts w:eastAsia="Times New Roman" w:cs="Times New Roman"/>
          <w:b/>
          <w:bCs/>
          <w:sz w:val="24"/>
          <w:szCs w:val="24"/>
        </w:rPr>
        <w:t>urbe. Revista Brasileira de Gestão Urbana</w:t>
      </w:r>
      <w:r>
        <w:rPr>
          <w:rFonts w:eastAsia="Times New Roman" w:cs="Times New Roman"/>
          <w:b w:val="false"/>
          <w:bCs w:val="false"/>
          <w:sz w:val="24"/>
          <w:szCs w:val="24"/>
        </w:rPr>
        <w:t>, Curitiba, v. 16, e20230271, 2024. DOI: https://doi.org/10.1590/2175-3369.016.e20230271.</w:t>
      </w:r>
    </w:p>
    <w:p>
      <w:pPr>
        <w:pStyle w:val="normal1"/>
        <w:spacing w:lineRule="auto" w:line="240" w:before="0" w:after="120"/>
        <w:ind w:hanging="0" w:left="0"/>
        <w:jc w:val="left"/>
        <w:rPr/>
      </w:pPr>
      <w:r>
        <w:rPr>
          <w:rFonts w:eastAsia="Times New Roman" w:cs="Times New Roman"/>
          <w:b w:val="false"/>
          <w:bCs w:val="false"/>
          <w:sz w:val="24"/>
          <w:szCs w:val="24"/>
        </w:rPr>
        <w:t xml:space="preserve">GIL, A. C. </w:t>
      </w:r>
      <w:r>
        <w:rPr>
          <w:rFonts w:eastAsia="Times New Roman" w:cs="Times New Roman"/>
          <w:b/>
          <w:bCs/>
          <w:sz w:val="24"/>
          <w:szCs w:val="24"/>
        </w:rPr>
        <w:t>Como elaborar projetos de pesquisa</w:t>
      </w:r>
      <w:r>
        <w:rPr>
          <w:rFonts w:eastAsia="Times New Roman" w:cs="Times New Roman"/>
          <w:b w:val="false"/>
          <w:bCs w:val="false"/>
          <w:sz w:val="24"/>
          <w:szCs w:val="24"/>
        </w:rPr>
        <w:t>. 5. ed. São Paulo: Atlas, 2010.</w:t>
      </w:r>
    </w:p>
    <w:p>
      <w:pPr>
        <w:pStyle w:val="normal1"/>
        <w:spacing w:lineRule="auto" w:line="240" w:before="0" w:after="120"/>
        <w:ind w:hanging="0" w:left="0"/>
        <w:jc w:val="left"/>
        <w:rPr/>
      </w:pPr>
      <w:r>
        <w:rPr>
          <w:rFonts w:eastAsia="Times New Roman" w:cs="Times New Roman"/>
          <w:b w:val="false"/>
          <w:bCs w:val="false"/>
          <w:sz w:val="24"/>
          <w:szCs w:val="24"/>
        </w:rPr>
        <w:t xml:space="preserve">GOMES, A. O. S.; BELÉM, M. O. O lixo como um fator de risco à saúde pública na cidade de Fortaleza, Ceará. </w:t>
      </w:r>
      <w:r>
        <w:rPr>
          <w:rFonts w:eastAsia="Times New Roman" w:cs="Times New Roman"/>
          <w:b/>
          <w:bCs/>
          <w:sz w:val="24"/>
          <w:szCs w:val="24"/>
        </w:rPr>
        <w:t>SANARE - Revista de Políticas Públicas</w:t>
      </w:r>
      <w:r>
        <w:rPr>
          <w:rFonts w:eastAsia="Times New Roman" w:cs="Times New Roman"/>
          <w:b w:val="false"/>
          <w:bCs w:val="false"/>
          <w:sz w:val="24"/>
          <w:szCs w:val="24"/>
        </w:rPr>
        <w:t>, Sobral, v. 21, n. 1, 2022.</w:t>
      </w:r>
    </w:p>
    <w:p>
      <w:pPr>
        <w:pStyle w:val="normal1"/>
        <w:spacing w:lineRule="auto" w:line="240" w:before="0" w:after="120"/>
        <w:ind w:hanging="0" w:left="0"/>
        <w:jc w:val="left"/>
        <w:rPr/>
      </w:pPr>
      <w:r>
        <w:rPr>
          <w:rFonts w:eastAsia="Times New Roman" w:cs="Times New Roman"/>
          <w:b w:val="false"/>
          <w:bCs w:val="false"/>
          <w:sz w:val="24"/>
          <w:szCs w:val="24"/>
        </w:rPr>
        <w:t xml:space="preserve">GOODFELLOW, I.; BENGIO, Y.; COURVILLE, A. </w:t>
      </w:r>
      <w:r>
        <w:rPr>
          <w:rFonts w:eastAsia="Times New Roman" w:cs="Times New Roman"/>
          <w:b/>
          <w:bCs/>
          <w:sz w:val="24"/>
          <w:szCs w:val="24"/>
        </w:rPr>
        <w:t>Deep learning</w:t>
      </w:r>
      <w:r>
        <w:rPr>
          <w:rFonts w:eastAsia="Times New Roman" w:cs="Times New Roman"/>
          <w:b w:val="false"/>
          <w:bCs w:val="false"/>
          <w:sz w:val="24"/>
          <w:szCs w:val="24"/>
        </w:rPr>
        <w:t>. Cambridge: MIT Press, 2016.</w:t>
      </w:r>
    </w:p>
    <w:p>
      <w:pPr>
        <w:pStyle w:val="normal1"/>
        <w:spacing w:lineRule="auto" w:line="240" w:before="0" w:after="120"/>
        <w:ind w:hanging="0" w:left="0"/>
        <w:jc w:val="left"/>
        <w:rPr/>
      </w:pPr>
      <w:r>
        <w:rPr>
          <w:rFonts w:eastAsia="Times New Roman" w:cs="Times New Roman"/>
          <w:b w:val="false"/>
          <w:bCs w:val="false"/>
          <w:sz w:val="24"/>
          <w:szCs w:val="24"/>
        </w:rPr>
        <w:t xml:space="preserve">GOOGLE. </w:t>
      </w:r>
      <w:r>
        <w:rPr>
          <w:rFonts w:eastAsia="Times New Roman" w:cs="Times New Roman"/>
          <w:b/>
          <w:bCs/>
          <w:sz w:val="24"/>
          <w:szCs w:val="24"/>
        </w:rPr>
        <w:t>Google-contributed Street View imagery policy</w:t>
      </w:r>
      <w:r>
        <w:rPr>
          <w:rFonts w:eastAsia="Times New Roman" w:cs="Times New Roman"/>
          <w:b w:val="false"/>
          <w:bCs w:val="false"/>
          <w:sz w:val="24"/>
          <w:szCs w:val="24"/>
        </w:rPr>
        <w:t>. [S. l.]: Google, [s.d.]. Disponível em: https://www.google.com/streetview/policy/.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JIAO, L.; ZHANG, F.; LIU, F.; YANG, S.; LI, L.; FENG, Z.; QU, R. A survey of deep learning-based object detection. </w:t>
      </w:r>
      <w:r>
        <w:rPr>
          <w:rFonts w:eastAsia="Times New Roman" w:cs="Times New Roman"/>
          <w:b/>
          <w:bCs/>
          <w:sz w:val="24"/>
          <w:szCs w:val="24"/>
        </w:rPr>
        <w:t>IEEE Access</w:t>
      </w:r>
      <w:r>
        <w:rPr>
          <w:rFonts w:eastAsia="Times New Roman" w:cs="Times New Roman"/>
          <w:b w:val="false"/>
          <w:bCs w:val="false"/>
          <w:sz w:val="24"/>
          <w:szCs w:val="24"/>
        </w:rPr>
        <w:t>, [s. l.], v. 7, p. 128837-128868, 2019. DOI: https://doi.org/10.1109/ACCESS.2019.2939201.</w:t>
      </w:r>
    </w:p>
    <w:p>
      <w:pPr>
        <w:pStyle w:val="normal1"/>
        <w:spacing w:lineRule="auto" w:line="240" w:before="0" w:after="120"/>
        <w:ind w:hanging="0" w:left="0"/>
        <w:jc w:val="left"/>
        <w:rPr/>
      </w:pPr>
      <w:r>
        <w:rPr>
          <w:rFonts w:eastAsia="Times New Roman" w:cs="Times New Roman"/>
          <w:b w:val="false"/>
          <w:bCs w:val="false"/>
          <w:sz w:val="24"/>
          <w:szCs w:val="24"/>
        </w:rPr>
        <w:t xml:space="preserve">KAUR, R.; SINGH, S. A comprehensive review of object detection with deep learning. </w:t>
      </w:r>
      <w:r>
        <w:rPr>
          <w:rFonts w:eastAsia="Times New Roman" w:cs="Times New Roman"/>
          <w:b/>
          <w:bCs/>
          <w:sz w:val="24"/>
          <w:szCs w:val="24"/>
        </w:rPr>
        <w:t>Digital Signal Processing</w:t>
      </w:r>
      <w:r>
        <w:rPr>
          <w:rFonts w:eastAsia="Times New Roman" w:cs="Times New Roman"/>
          <w:b w:val="false"/>
          <w:bCs w:val="false"/>
          <w:sz w:val="24"/>
          <w:szCs w:val="24"/>
        </w:rPr>
        <w:t>, [s. l.], v. 132, artigo 103812, 2023. DOI: https://doi.org/10.1016/j.dsp.2022.103812.</w:t>
      </w:r>
    </w:p>
    <w:p>
      <w:pPr>
        <w:pStyle w:val="normal1"/>
        <w:spacing w:lineRule="auto" w:line="240" w:before="0" w:after="120"/>
        <w:ind w:hanging="0" w:left="0"/>
        <w:jc w:val="left"/>
        <w:rPr/>
      </w:pPr>
      <w:r>
        <w:rPr>
          <w:rFonts w:eastAsia="Times New Roman" w:cs="Times New Roman"/>
          <w:b w:val="false"/>
          <w:bCs w:val="false"/>
          <w:sz w:val="24"/>
          <w:szCs w:val="24"/>
        </w:rPr>
        <w:t xml:space="preserve">LECUN, Y.; BENGIO, Y.; HINTON, G. Deep learning. </w:t>
      </w:r>
      <w:r>
        <w:rPr>
          <w:rFonts w:eastAsia="Times New Roman" w:cs="Times New Roman"/>
          <w:b/>
          <w:bCs/>
          <w:sz w:val="24"/>
          <w:szCs w:val="24"/>
        </w:rPr>
        <w:t>Nature</w:t>
      </w:r>
      <w:r>
        <w:rPr>
          <w:rFonts w:eastAsia="Times New Roman" w:cs="Times New Roman"/>
          <w:b w:val="false"/>
          <w:bCs w:val="false"/>
          <w:sz w:val="24"/>
          <w:szCs w:val="24"/>
        </w:rPr>
        <w:t>, London, v. 521, n. 7553, p. 436-444, 2015. DOI: https://doi.org/10.1038/nature14539.</w:t>
      </w:r>
    </w:p>
    <w:p>
      <w:pPr>
        <w:pStyle w:val="normal1"/>
        <w:spacing w:lineRule="auto" w:line="240" w:before="0" w:after="120"/>
        <w:ind w:hanging="0" w:left="0"/>
        <w:jc w:val="left"/>
        <w:rPr/>
      </w:pPr>
      <w:r>
        <w:rPr>
          <w:rFonts w:eastAsia="Times New Roman" w:cs="Times New Roman"/>
          <w:b w:val="false"/>
          <w:bCs w:val="false"/>
          <w:sz w:val="24"/>
          <w:szCs w:val="24"/>
        </w:rPr>
        <w:t xml:space="preserve">LI, Z.; WU, X.; DU, H.; LIU, F.; NGHIEM, H.; SHI, G. </w:t>
      </w:r>
      <w:r>
        <w:rPr>
          <w:rFonts w:eastAsia="Times New Roman" w:cs="Times New Roman"/>
          <w:b/>
          <w:bCs/>
          <w:sz w:val="24"/>
          <w:szCs w:val="24"/>
        </w:rPr>
        <w:t>A survey of state of the art large vision language models: alignment, benchmark, evaluations and challenges</w:t>
      </w:r>
      <w:r>
        <w:rPr>
          <w:rFonts w:eastAsia="Times New Roman" w:cs="Times New Roman"/>
          <w:b w:val="false"/>
          <w:bCs w:val="false"/>
          <w:sz w:val="24"/>
          <w:szCs w:val="24"/>
        </w:rPr>
        <w:t>. arXiv, 2025. Disponível em: https://arxiv.org/abs/2501.02189.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LIU, L.; OUYANG, W.; WANG, X.; FIEGUTH, P.; CHEN, J.; LIU, X.; PIETIKÄINEN, M. Deep learning for generic object detection: a survey. </w:t>
      </w:r>
      <w:r>
        <w:rPr>
          <w:rFonts w:eastAsia="Times New Roman" w:cs="Times New Roman"/>
          <w:b/>
          <w:bCs/>
          <w:sz w:val="24"/>
          <w:szCs w:val="24"/>
        </w:rPr>
        <w:t>International Journal of Computer Vision</w:t>
      </w:r>
      <w:r>
        <w:rPr>
          <w:rFonts w:eastAsia="Times New Roman" w:cs="Times New Roman"/>
          <w:b w:val="false"/>
          <w:bCs w:val="false"/>
          <w:sz w:val="24"/>
          <w:szCs w:val="24"/>
        </w:rPr>
        <w:t>, New York, v. 128, n. 2, p. 261-318, 2020. DOI: https://doi.org/10.1007/s11263-019-01247-4.</w:t>
      </w:r>
    </w:p>
    <w:p>
      <w:pPr>
        <w:pStyle w:val="normal1"/>
        <w:spacing w:lineRule="auto" w:line="240" w:before="0" w:after="120"/>
        <w:ind w:hanging="0" w:left="0"/>
        <w:jc w:val="left"/>
        <w:rPr/>
      </w:pPr>
      <w:r>
        <w:rPr>
          <w:rFonts w:eastAsia="Times New Roman" w:cs="Times New Roman"/>
          <w:b w:val="false"/>
          <w:bCs w:val="false"/>
          <w:sz w:val="24"/>
          <w:szCs w:val="24"/>
        </w:rPr>
        <w:t xml:space="preserve">LU, W. Big data analytics to identify illegal construction waste dumping: a Hong Kong study. </w:t>
      </w:r>
      <w:r>
        <w:rPr>
          <w:rFonts w:eastAsia="Times New Roman" w:cs="Times New Roman"/>
          <w:b/>
          <w:bCs/>
          <w:sz w:val="24"/>
          <w:szCs w:val="24"/>
        </w:rPr>
        <w:t>Resources, Conservation and Recycling</w:t>
      </w:r>
      <w:r>
        <w:rPr>
          <w:rFonts w:eastAsia="Times New Roman" w:cs="Times New Roman"/>
          <w:b w:val="false"/>
          <w:bCs w:val="false"/>
          <w:sz w:val="24"/>
          <w:szCs w:val="24"/>
        </w:rPr>
        <w:t>, Amsterdam, v. 141, p. 264-272, 2019. DOI: https://doi.org/10.1016/j.resconrec.2018.10.039.</w:t>
      </w:r>
    </w:p>
    <w:p>
      <w:pPr>
        <w:pStyle w:val="normal1"/>
        <w:spacing w:lineRule="auto" w:line="240" w:before="0" w:after="120"/>
        <w:ind w:hanging="0" w:left="0"/>
        <w:jc w:val="left"/>
        <w:rPr/>
      </w:pPr>
      <w:r>
        <w:rPr>
          <w:rFonts w:eastAsia="Times New Roman" w:cs="Times New Roman"/>
          <w:b w:val="false"/>
          <w:bCs w:val="false"/>
          <w:sz w:val="24"/>
          <w:szCs w:val="24"/>
        </w:rPr>
        <w:t xml:space="preserve">MADAN, R.; ASHOK, M. Making sense of AI benefits: a mixed-method study in Canadian public administration. </w:t>
      </w:r>
      <w:r>
        <w:rPr>
          <w:rFonts w:eastAsia="Times New Roman" w:cs="Times New Roman"/>
          <w:b/>
          <w:bCs/>
          <w:sz w:val="24"/>
          <w:szCs w:val="24"/>
        </w:rPr>
        <w:t>Information Systems Frontiers</w:t>
      </w:r>
      <w:r>
        <w:rPr>
          <w:rFonts w:eastAsia="Times New Roman" w:cs="Times New Roman"/>
          <w:b w:val="false"/>
          <w:bCs w:val="false"/>
          <w:sz w:val="24"/>
          <w:szCs w:val="24"/>
        </w:rPr>
        <w:t>, New York, v. 27, p. 889-923, 2025. DOI: https://doi.org/10.1007/s10796-024-10475-0.</w:t>
      </w:r>
    </w:p>
    <w:p>
      <w:pPr>
        <w:pStyle w:val="normal1"/>
        <w:spacing w:lineRule="auto" w:line="240" w:before="0" w:after="120"/>
        <w:ind w:hanging="0" w:left="0"/>
        <w:jc w:val="left"/>
        <w:rPr/>
      </w:pPr>
      <w:r>
        <w:rPr>
          <w:rFonts w:eastAsia="Times New Roman" w:cs="Times New Roman"/>
          <w:b w:val="false"/>
          <w:bCs w:val="false"/>
          <w:sz w:val="24"/>
          <w:szCs w:val="24"/>
        </w:rPr>
        <w:t xml:space="preserve">MAJCHROWSKA, S.; MIKOŁAJCZYK, A.; FERLIN, M.; KLAWIKOWSKA, Z.; PLANTYKOW, M. A.; KWASIGROCH, A.; MAJEK, K. Deep learning-based waste detection in natural and urban environments. </w:t>
      </w:r>
      <w:r>
        <w:rPr>
          <w:rFonts w:eastAsia="Times New Roman" w:cs="Times New Roman"/>
          <w:b/>
          <w:bCs/>
          <w:sz w:val="24"/>
          <w:szCs w:val="24"/>
        </w:rPr>
        <w:t>Waste Management</w:t>
      </w:r>
      <w:r>
        <w:rPr>
          <w:rFonts w:eastAsia="Times New Roman" w:cs="Times New Roman"/>
          <w:b w:val="false"/>
          <w:bCs w:val="false"/>
          <w:sz w:val="24"/>
          <w:szCs w:val="24"/>
        </w:rPr>
        <w:t>, Oxford, v. 138, p. 274-284, 2022.</w:t>
      </w:r>
    </w:p>
    <w:p>
      <w:pPr>
        <w:pStyle w:val="normal1"/>
        <w:spacing w:lineRule="auto" w:line="240" w:before="0" w:after="120"/>
        <w:ind w:hanging="0" w:left="0"/>
        <w:jc w:val="left"/>
        <w:rPr/>
      </w:pPr>
      <w:r>
        <w:rPr>
          <w:rFonts w:eastAsia="Times New Roman" w:cs="Times New Roman"/>
          <w:b w:val="false"/>
          <w:bCs w:val="false"/>
          <w:sz w:val="24"/>
          <w:szCs w:val="24"/>
        </w:rPr>
        <w:t xml:space="preserve">MARCONI, M. A.; LAKATOS, E. M. </w:t>
      </w:r>
      <w:r>
        <w:rPr>
          <w:rFonts w:eastAsia="Times New Roman" w:cs="Times New Roman"/>
          <w:b/>
          <w:bCs/>
          <w:sz w:val="24"/>
          <w:szCs w:val="24"/>
        </w:rPr>
        <w:t>Metodologia científica</w:t>
      </w:r>
      <w:r>
        <w:rPr>
          <w:rFonts w:eastAsia="Times New Roman" w:cs="Times New Roman"/>
          <w:b w:val="false"/>
          <w:bCs w:val="false"/>
          <w:sz w:val="24"/>
          <w:szCs w:val="24"/>
        </w:rPr>
        <w:t>. 6. ed. São Paulo: Atlas, 2011.</w:t>
      </w:r>
    </w:p>
    <w:p>
      <w:pPr>
        <w:pStyle w:val="normal1"/>
        <w:spacing w:lineRule="auto" w:line="240" w:before="0" w:after="120"/>
        <w:ind w:hanging="0" w:left="0"/>
        <w:jc w:val="left"/>
        <w:rPr/>
      </w:pPr>
      <w:r>
        <w:rPr>
          <w:rFonts w:eastAsia="Times New Roman" w:cs="Times New Roman"/>
          <w:b w:val="false"/>
          <w:bCs w:val="false"/>
          <w:sz w:val="24"/>
          <w:szCs w:val="24"/>
        </w:rPr>
        <w:t xml:space="preserve">MIŠIĆ, J.; VAN EST, R.; KOOL, L. Good governance of public sector AI: a combined value framework for good order and a good society. </w:t>
      </w:r>
      <w:r>
        <w:rPr>
          <w:rFonts w:eastAsia="Times New Roman" w:cs="Times New Roman"/>
          <w:b/>
          <w:bCs/>
          <w:sz w:val="24"/>
          <w:szCs w:val="24"/>
        </w:rPr>
        <w:t>AI and Ethics</w:t>
      </w:r>
      <w:r>
        <w:rPr>
          <w:rFonts w:eastAsia="Times New Roman" w:cs="Times New Roman"/>
          <w:b w:val="false"/>
          <w:bCs w:val="false"/>
          <w:sz w:val="24"/>
          <w:szCs w:val="24"/>
        </w:rPr>
        <w:t>, Cham, v. 5, p. 4875-4889, 2025. DOI: https://doi.org/10.1007/s43681-025-00751-3.</w:t>
      </w:r>
    </w:p>
    <w:p>
      <w:pPr>
        <w:pStyle w:val="normal1"/>
        <w:spacing w:lineRule="auto" w:line="240" w:before="0" w:after="120"/>
        <w:ind w:hanging="0" w:left="0"/>
        <w:jc w:val="left"/>
        <w:rPr/>
      </w:pPr>
      <w:r>
        <w:rPr>
          <w:rFonts w:eastAsia="Times New Roman" w:cs="Times New Roman"/>
          <w:b w:val="false"/>
          <w:bCs w:val="false"/>
          <w:sz w:val="24"/>
          <w:szCs w:val="24"/>
        </w:rPr>
        <w:t xml:space="preserve">MUCELIN, C. A.; BELLINI, M. Lixo e impactos ambientais perceptíveis no ecossistema urbano. </w:t>
      </w:r>
      <w:r>
        <w:rPr>
          <w:rFonts w:eastAsia="Times New Roman" w:cs="Times New Roman"/>
          <w:b/>
          <w:bCs/>
          <w:sz w:val="24"/>
          <w:szCs w:val="24"/>
        </w:rPr>
        <w:t>Sociedade &amp; Natureza</w:t>
      </w:r>
      <w:r>
        <w:rPr>
          <w:rFonts w:eastAsia="Times New Roman" w:cs="Times New Roman"/>
          <w:b w:val="false"/>
          <w:bCs w:val="false"/>
          <w:sz w:val="24"/>
          <w:szCs w:val="24"/>
        </w:rPr>
        <w:t>, Uberlândia, v. 20, n. 1, p. 111-124, 2008.</w:t>
      </w:r>
    </w:p>
    <w:p>
      <w:pPr>
        <w:pStyle w:val="normal1"/>
        <w:spacing w:lineRule="auto" w:line="240" w:before="0" w:after="120"/>
        <w:ind w:hanging="0" w:left="0"/>
        <w:jc w:val="left"/>
        <w:rPr/>
      </w:pPr>
      <w:r>
        <w:rPr>
          <w:rFonts w:eastAsia="Times New Roman" w:cs="Times New Roman"/>
          <w:b w:val="false"/>
          <w:bCs w:val="false"/>
          <w:sz w:val="24"/>
          <w:szCs w:val="24"/>
        </w:rPr>
        <w:t xml:space="preserve">NASCIMENTO, V. F.; SOBRAL, A. C.; ANDRADE, P. R.; OMETTO, J. P. H. B. Evolução e desafios no gerenciamento dos resíduos sólidos urbanos no Brasil. </w:t>
      </w:r>
      <w:r>
        <w:rPr>
          <w:rFonts w:eastAsia="Times New Roman" w:cs="Times New Roman"/>
          <w:b/>
          <w:bCs/>
          <w:sz w:val="24"/>
          <w:szCs w:val="24"/>
        </w:rPr>
        <w:t>Revista Ambiente &amp; Água</w:t>
      </w:r>
      <w:r>
        <w:rPr>
          <w:rFonts w:eastAsia="Times New Roman" w:cs="Times New Roman"/>
          <w:b w:val="false"/>
          <w:bCs w:val="false"/>
          <w:sz w:val="24"/>
          <w:szCs w:val="24"/>
        </w:rPr>
        <w:t>, Taubaté, v. 10, n. 4, p. 889-902, 2015. DOI: https://doi.org/10.4136/ambi-agua.1635.</w:t>
      </w:r>
    </w:p>
    <w:p>
      <w:pPr>
        <w:pStyle w:val="normal1"/>
        <w:spacing w:lineRule="auto" w:line="240" w:before="0" w:after="120"/>
        <w:ind w:hanging="0" w:left="0"/>
        <w:jc w:val="left"/>
        <w:rPr/>
      </w:pPr>
      <w:r>
        <w:rPr>
          <w:rFonts w:eastAsia="Times New Roman" w:cs="Times New Roman"/>
          <w:b w:val="false"/>
          <w:bCs w:val="false"/>
          <w:sz w:val="24"/>
          <w:szCs w:val="24"/>
        </w:rPr>
        <w:t xml:space="preserve">PROENÇA, P. F.; SIMÕES, P. </w:t>
      </w:r>
      <w:r>
        <w:rPr>
          <w:rFonts w:eastAsia="Times New Roman" w:cs="Times New Roman"/>
          <w:b/>
          <w:bCs/>
          <w:sz w:val="24"/>
          <w:szCs w:val="24"/>
        </w:rPr>
        <w:t>TACO: Trash Annotations in Context for Litter Detection</w:t>
      </w:r>
      <w:r>
        <w:rPr>
          <w:rFonts w:eastAsia="Times New Roman" w:cs="Times New Roman"/>
          <w:b w:val="false"/>
          <w:bCs w:val="false"/>
          <w:sz w:val="24"/>
          <w:szCs w:val="24"/>
        </w:rPr>
        <w:t>. arXiv, 2020. Disponível em: https://arxiv.org/abs/2003.06975.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RADFORD, A.; KIM, J. W.; HALLACY, C.; RAMESH, A.; GOH, G.; AGARWAL, S.; SASTRY, G.; ASKELL, A.; MISHKIN, P.; CLARK, J.; KRUEGER, G.; SUTSKEVER, I. </w:t>
      </w:r>
      <w:r>
        <w:rPr>
          <w:rFonts w:eastAsia="Times New Roman" w:cs="Times New Roman"/>
          <w:b/>
          <w:bCs/>
          <w:sz w:val="24"/>
          <w:szCs w:val="24"/>
        </w:rPr>
        <w:t>Learning transferable visual models from natural language supervision</w:t>
      </w:r>
      <w:r>
        <w:rPr>
          <w:rFonts w:eastAsia="Times New Roman" w:cs="Times New Roman"/>
          <w:b w:val="false"/>
          <w:bCs w:val="false"/>
          <w:sz w:val="24"/>
          <w:szCs w:val="24"/>
        </w:rPr>
        <w:t>. In: INTERNATIONAL CONFERENCE ON MACHINE LEARNING, 38., 2021. Proceedings [...]. [S. l.]: PMLR, 2021. p. 8748-8763. (Proceedings of Machine Learning Research, v. 139).</w:t>
      </w:r>
    </w:p>
    <w:p>
      <w:pPr>
        <w:pStyle w:val="normal1"/>
        <w:spacing w:lineRule="auto" w:line="240" w:before="0" w:after="120"/>
        <w:ind w:hanging="0" w:left="0"/>
        <w:jc w:val="left"/>
        <w:rPr/>
      </w:pPr>
      <w:r>
        <w:rPr>
          <w:rFonts w:eastAsia="Times New Roman" w:cs="Times New Roman"/>
          <w:b w:val="false"/>
          <w:bCs w:val="false"/>
          <w:sz w:val="24"/>
          <w:szCs w:val="24"/>
        </w:rPr>
        <w:t xml:space="preserve">REDMON, J.; DIVVALA, S.; GIRSHICK, R.; FARHADI, A. </w:t>
      </w:r>
      <w:r>
        <w:rPr>
          <w:rFonts w:eastAsia="Times New Roman" w:cs="Times New Roman"/>
          <w:b/>
          <w:bCs/>
          <w:sz w:val="24"/>
          <w:szCs w:val="24"/>
        </w:rPr>
        <w:t>You only look once: unified, real-time object detection</w:t>
      </w:r>
      <w:r>
        <w:rPr>
          <w:rFonts w:eastAsia="Times New Roman" w:cs="Times New Roman"/>
          <w:b w:val="false"/>
          <w:bCs w:val="false"/>
          <w:sz w:val="24"/>
          <w:szCs w:val="24"/>
        </w:rPr>
        <w:t>. In: IEEE CONFERENCE ON COMPUTER VISION AND PATTERN RECOGNITION, 2016, Las Vegas. Proceedings [...]. Las Vegas: IEEE, 2016. p. 779-788.</w:t>
      </w:r>
    </w:p>
    <w:p>
      <w:pPr>
        <w:pStyle w:val="normal1"/>
        <w:spacing w:lineRule="auto" w:line="240" w:before="0" w:after="120"/>
        <w:ind w:hanging="0" w:left="0"/>
        <w:jc w:val="left"/>
        <w:rPr/>
      </w:pPr>
      <w:r>
        <w:rPr>
          <w:rFonts w:eastAsia="Times New Roman" w:cs="Times New Roman"/>
          <w:b w:val="false"/>
          <w:bCs w:val="false"/>
          <w:sz w:val="24"/>
          <w:szCs w:val="24"/>
        </w:rPr>
        <w:t xml:space="preserve">REIS, J.; ESPÍRITO SANTO, P.; MELÃO, N. </w:t>
      </w:r>
      <w:r>
        <w:rPr>
          <w:rFonts w:eastAsia="Times New Roman" w:cs="Times New Roman"/>
          <w:b/>
          <w:bCs/>
          <w:sz w:val="24"/>
          <w:szCs w:val="24"/>
        </w:rPr>
        <w:t>Artificial intelligence in government services: a systematic literature review</w:t>
      </w:r>
      <w:r>
        <w:rPr>
          <w:rFonts w:eastAsia="Times New Roman" w:cs="Times New Roman"/>
          <w:b w:val="false"/>
          <w:bCs w:val="false"/>
          <w:sz w:val="24"/>
          <w:szCs w:val="24"/>
        </w:rPr>
        <w:t>. In: ROCHA, Á. et al. (org.). New knowledge in information systems and technologies. Cham: Springer, 2019. p. 241-252. DOI: https://doi.org/10.1007/978-3-030-16181-1_23.</w:t>
      </w:r>
    </w:p>
    <w:p>
      <w:pPr>
        <w:pStyle w:val="normal1"/>
        <w:spacing w:lineRule="auto" w:line="240" w:before="0" w:after="120"/>
        <w:ind w:hanging="0" w:left="0"/>
        <w:jc w:val="left"/>
        <w:rPr/>
      </w:pPr>
      <w:r>
        <w:rPr>
          <w:rFonts w:eastAsia="Times New Roman" w:cs="Times New Roman"/>
          <w:b w:val="false"/>
          <w:bCs w:val="false"/>
          <w:sz w:val="24"/>
          <w:szCs w:val="24"/>
        </w:rPr>
        <w:t xml:space="preserve">REN, Y.; LI, Y.; GAO, X. An MRS-YOLO model for high-precision waste detection and classification. </w:t>
      </w:r>
      <w:r>
        <w:rPr>
          <w:rFonts w:eastAsia="Times New Roman" w:cs="Times New Roman"/>
          <w:b/>
          <w:bCs/>
          <w:sz w:val="24"/>
          <w:szCs w:val="24"/>
        </w:rPr>
        <w:t>Sensors</w:t>
      </w:r>
      <w:r>
        <w:rPr>
          <w:rFonts w:eastAsia="Times New Roman" w:cs="Times New Roman"/>
          <w:b w:val="false"/>
          <w:bCs w:val="false"/>
          <w:sz w:val="24"/>
          <w:szCs w:val="24"/>
        </w:rPr>
        <w:t>, Basel, v. 24, n. 13, artigo 4339, 2024. DOI: https://doi.org/10.3390/s24134339.</w:t>
      </w:r>
    </w:p>
    <w:p>
      <w:pPr>
        <w:pStyle w:val="normal1"/>
        <w:spacing w:lineRule="auto" w:line="240" w:before="0" w:after="120"/>
        <w:ind w:hanging="0" w:left="0"/>
        <w:jc w:val="left"/>
        <w:rPr/>
      </w:pPr>
      <w:r>
        <w:rPr>
          <w:rFonts w:eastAsia="Times New Roman" w:cs="Times New Roman"/>
          <w:b w:val="false"/>
          <w:bCs w:val="false"/>
          <w:sz w:val="24"/>
          <w:szCs w:val="24"/>
        </w:rPr>
        <w:t xml:space="preserve">RODRIGUES, W.; MAGALHÃES FILHO, L. N. L.; PEREIRA, R. S. Análise dos determinantes dos custos de resíduos sólidos urbanos nas capitais estaduais brasileiras. </w:t>
      </w:r>
      <w:r>
        <w:rPr>
          <w:rFonts w:eastAsia="Times New Roman" w:cs="Times New Roman"/>
          <w:b/>
          <w:bCs/>
          <w:sz w:val="24"/>
          <w:szCs w:val="24"/>
        </w:rPr>
        <w:t>urbe. Revista Brasileira de Gestão Urbana</w:t>
      </w:r>
      <w:r>
        <w:rPr>
          <w:rFonts w:eastAsia="Times New Roman" w:cs="Times New Roman"/>
          <w:b w:val="false"/>
          <w:bCs w:val="false"/>
          <w:sz w:val="24"/>
          <w:szCs w:val="24"/>
        </w:rPr>
        <w:t>, Curitiba, v. 8, n. 1, p. 130-141, 2016. DOI: https://doi.org/10.1590/2175-3369.008.001.AO02.</w:t>
      </w:r>
    </w:p>
    <w:p>
      <w:pPr>
        <w:pStyle w:val="normal1"/>
        <w:spacing w:lineRule="auto" w:line="240" w:before="0" w:after="120"/>
        <w:ind w:hanging="0" w:left="0"/>
        <w:jc w:val="left"/>
        <w:rPr/>
      </w:pPr>
      <w:r>
        <w:rPr>
          <w:rFonts w:eastAsia="Times New Roman" w:cs="Times New Roman"/>
          <w:b w:val="false"/>
          <w:bCs w:val="false"/>
          <w:sz w:val="24"/>
          <w:szCs w:val="24"/>
        </w:rPr>
        <w:t xml:space="preserve">SIDEWALK. </w:t>
      </w:r>
      <w:r>
        <w:rPr>
          <w:rFonts w:eastAsia="Times New Roman" w:cs="Times New Roman"/>
          <w:b/>
          <w:bCs/>
          <w:sz w:val="24"/>
          <w:szCs w:val="24"/>
        </w:rPr>
        <w:t>Sidewalk Segmentation Dataset</w:t>
      </w:r>
      <w:r>
        <w:rPr>
          <w:rFonts w:eastAsia="Times New Roman" w:cs="Times New Roman"/>
          <w:b w:val="false"/>
          <w:bCs w:val="false"/>
          <w:sz w:val="24"/>
          <w:szCs w:val="24"/>
        </w:rPr>
        <w:t>. Roboflow Universe, dez. 2022. Disponível em: https://universe.roboflow.com/sidewalk/sidewalk-segmentation.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SZELISKI, R. </w:t>
      </w:r>
      <w:r>
        <w:rPr>
          <w:rFonts w:eastAsia="Times New Roman" w:cs="Times New Roman"/>
          <w:b/>
          <w:bCs/>
          <w:sz w:val="24"/>
          <w:szCs w:val="24"/>
        </w:rPr>
        <w:t>Computer vision: algorithms and applications</w:t>
      </w:r>
      <w:r>
        <w:rPr>
          <w:rFonts w:eastAsia="Times New Roman" w:cs="Times New Roman"/>
          <w:b w:val="false"/>
          <w:bCs w:val="false"/>
          <w:sz w:val="24"/>
          <w:szCs w:val="24"/>
        </w:rPr>
        <w:t>. 2. ed. Cham: Springer, 2022.</w:t>
      </w:r>
    </w:p>
    <w:p>
      <w:pPr>
        <w:pStyle w:val="normal1"/>
        <w:spacing w:lineRule="auto" w:line="240" w:before="0" w:after="120"/>
        <w:ind w:hanging="0" w:left="0"/>
        <w:jc w:val="left"/>
        <w:rPr/>
      </w:pPr>
      <w:r>
        <w:rPr>
          <w:rFonts w:eastAsia="Times New Roman" w:cs="Times New Roman"/>
          <w:b w:val="false"/>
          <w:bCs w:val="false"/>
          <w:sz w:val="24"/>
          <w:szCs w:val="24"/>
        </w:rPr>
        <w:t xml:space="preserve">TERVEN, J.; CÓRDOVA-ESPARZA, D. M.; ROMERO-GONZÁLEZ, J. A. A comprehensive review of YOLO architectures in computer vision: from YOLOv1 to YOLOv8 and YOLO-NAS. </w:t>
      </w:r>
      <w:r>
        <w:rPr>
          <w:rFonts w:eastAsia="Times New Roman" w:cs="Times New Roman"/>
          <w:b/>
          <w:bCs/>
          <w:sz w:val="24"/>
          <w:szCs w:val="24"/>
        </w:rPr>
        <w:t>Machine Learning and Knowledge Extraction</w:t>
      </w:r>
      <w:r>
        <w:rPr>
          <w:rFonts w:eastAsia="Times New Roman" w:cs="Times New Roman"/>
          <w:b w:val="false"/>
          <w:bCs w:val="false"/>
          <w:sz w:val="24"/>
          <w:szCs w:val="24"/>
        </w:rPr>
        <w:t>, Basel, v. 5, n. 4, p. 1680-1716, 2023. DOI: https://doi.org/10.3390/make5040083.</w:t>
      </w:r>
    </w:p>
    <w:p>
      <w:pPr>
        <w:pStyle w:val="normal1"/>
        <w:spacing w:lineRule="auto" w:line="240" w:before="0" w:after="120"/>
        <w:ind w:hanging="0" w:left="0"/>
        <w:jc w:val="left"/>
        <w:rPr/>
      </w:pPr>
      <w:r>
        <w:rPr>
          <w:rFonts w:eastAsia="Times New Roman" w:cs="Times New Roman"/>
          <w:b w:val="false"/>
          <w:bCs w:val="false"/>
          <w:sz w:val="24"/>
          <w:szCs w:val="24"/>
        </w:rPr>
        <w:t xml:space="preserve">TRASH DATASET FOR ORIENTED BOUNDED BOX. </w:t>
      </w:r>
      <w:r>
        <w:rPr>
          <w:rFonts w:eastAsia="Times New Roman" w:cs="Times New Roman"/>
          <w:b/>
          <w:bCs/>
          <w:sz w:val="24"/>
          <w:szCs w:val="24"/>
        </w:rPr>
        <w:t>Trash Detection Dataset</w:t>
      </w:r>
      <w:r>
        <w:rPr>
          <w:rFonts w:eastAsia="Times New Roman" w:cs="Times New Roman"/>
          <w:b w:val="false"/>
          <w:bCs w:val="false"/>
          <w:sz w:val="24"/>
          <w:szCs w:val="24"/>
        </w:rPr>
        <w:t>. Roboflow Universe, jan. 2026. Disponível em: https://universe.roboflow.com/trash-dataset-for-oriented-bounded-box/trash-detection-1fjjc.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ULTRALYTICS. </w:t>
      </w:r>
      <w:r>
        <w:rPr>
          <w:rFonts w:eastAsia="Times New Roman" w:cs="Times New Roman"/>
          <w:b/>
          <w:bCs/>
          <w:sz w:val="24"/>
          <w:szCs w:val="24"/>
        </w:rPr>
        <w:t>Ultralytics YOLO Docs</w:t>
      </w:r>
      <w:r>
        <w:rPr>
          <w:rFonts w:eastAsia="Times New Roman" w:cs="Times New Roman"/>
          <w:b w:val="false"/>
          <w:bCs w:val="false"/>
          <w:sz w:val="24"/>
          <w:szCs w:val="24"/>
        </w:rPr>
        <w:t>: tips for best training results. [S. l.]: Ultralytics, 2024. Disponível em: https://docs.ultralytics.com/guides/model-training-tips/.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ZAILAN, N. A.; AZIZAN, M. M.; HASIKIN, K.; MOHD KHAIRUDDIN, A. S.; KHAIRUDDIN, U. An automated solid waste detection using the optimized YOLO model for riverine management. </w:t>
      </w:r>
      <w:r>
        <w:rPr>
          <w:rFonts w:eastAsia="Times New Roman" w:cs="Times New Roman"/>
          <w:b/>
          <w:bCs/>
          <w:sz w:val="24"/>
          <w:szCs w:val="24"/>
        </w:rPr>
        <w:t>Frontiers in Public Health</w:t>
      </w:r>
      <w:r>
        <w:rPr>
          <w:rFonts w:eastAsia="Times New Roman" w:cs="Times New Roman"/>
          <w:b w:val="false"/>
          <w:bCs w:val="false"/>
          <w:sz w:val="24"/>
          <w:szCs w:val="24"/>
        </w:rPr>
        <w:t>, Lausanne, v. 10, artigo 907280, 2022. DOI: https://doi.org/10.3389/fpubh.2022.907280.</w:t>
      </w:r>
    </w:p>
    <w:p>
      <w:pPr>
        <w:pStyle w:val="normal1"/>
        <w:spacing w:lineRule="auto" w:line="240" w:before="0" w:after="120"/>
        <w:ind w:hanging="0" w:left="0"/>
        <w:jc w:val="left"/>
        <w:rPr/>
      </w:pPr>
      <w:r>
        <w:rPr>
          <w:rFonts w:eastAsia="Times New Roman" w:cs="Times New Roman"/>
          <w:b w:val="false"/>
          <w:bCs w:val="false"/>
          <w:sz w:val="24"/>
          <w:szCs w:val="24"/>
        </w:rPr>
        <w:t xml:space="preserve">ZHANG, J.; HUANG, J.; JIN, S.; LU, S. </w:t>
      </w:r>
      <w:r>
        <w:rPr>
          <w:rFonts w:eastAsia="Times New Roman" w:cs="Times New Roman"/>
          <w:b/>
          <w:bCs/>
          <w:sz w:val="24"/>
          <w:szCs w:val="24"/>
        </w:rPr>
        <w:t>Vision-language models for vision tasks: a survey</w:t>
      </w:r>
      <w:r>
        <w:rPr>
          <w:rFonts w:eastAsia="Times New Roman" w:cs="Times New Roman"/>
          <w:b w:val="false"/>
          <w:bCs w:val="false"/>
          <w:sz w:val="24"/>
          <w:szCs w:val="24"/>
        </w:rPr>
        <w:t>. arXiv, 2024. Disponível em: https://arxiv.org/abs/2304.00685. Acesso em: 8 jun. 2026.</w:t>
      </w:r>
    </w:p>
    <w:p>
      <w:pPr>
        <w:pStyle w:val="normal1"/>
        <w:spacing w:lineRule="auto" w:line="240" w:before="0" w:after="120"/>
        <w:ind w:hanging="0" w:left="0"/>
        <w:jc w:val="left"/>
        <w:rPr/>
      </w:pPr>
      <w:r>
        <w:rPr>
          <w:rFonts w:eastAsia="Times New Roman" w:cs="Times New Roman"/>
          <w:b w:val="false"/>
          <w:bCs w:val="false"/>
          <w:sz w:val="24"/>
          <w:szCs w:val="24"/>
        </w:rPr>
        <w:t xml:space="preserve">ZOU, Z.; CHEN, K.; SHI, Z.; GUO, Y.; YE, J. Object detection in 20 years: a survey. </w:t>
      </w:r>
      <w:r>
        <w:rPr>
          <w:rFonts w:eastAsia="Times New Roman" w:cs="Times New Roman"/>
          <w:b/>
          <w:bCs/>
          <w:sz w:val="24"/>
          <w:szCs w:val="24"/>
        </w:rPr>
        <w:t>Proceedings of the IEEE</w:t>
      </w:r>
      <w:r>
        <w:rPr>
          <w:rFonts w:eastAsia="Times New Roman" w:cs="Times New Roman"/>
          <w:b w:val="false"/>
          <w:bCs w:val="false"/>
          <w:sz w:val="24"/>
          <w:szCs w:val="24"/>
        </w:rPr>
        <w:t>, New York, v. 111, n. 3, p. 257-276, 2023. DOI: https://doi.org/10.1109/JPROC.2023.3238524.</w:t>
      </w:r>
    </w:p>
    <w:p>
      <w:pPr>
        <w:pStyle w:val="normal1"/>
        <w:spacing w:lineRule="auto" w:line="240" w:before="0" w:after="120"/>
        <w:ind w:hanging="0" w:left="0"/>
        <w:jc w:val="left"/>
        <w:rPr/>
      </w:pPr>
      <w:r>
        <w:rPr>
          <w:rFonts w:eastAsia="Times New Roman" w:cs="Times New Roman"/>
          <w:b w:val="false"/>
          <w:bCs w:val="false"/>
          <w:sz w:val="24"/>
          <w:szCs w:val="24"/>
        </w:rPr>
        <w:t xml:space="preserve">ZUIDERWIJK, A.; CHEN, Y.-C.; SALEM, F. Implications of the use of artificial intelligence in public governance: a systematic literature review and a research agenda. </w:t>
      </w:r>
      <w:r>
        <w:rPr>
          <w:rFonts w:eastAsia="Times New Roman" w:cs="Times New Roman"/>
          <w:b/>
          <w:bCs/>
          <w:sz w:val="24"/>
          <w:szCs w:val="24"/>
        </w:rPr>
        <w:t>Government Information Quarterly</w:t>
      </w:r>
      <w:r>
        <w:rPr>
          <w:rFonts w:eastAsia="Times New Roman" w:cs="Times New Roman"/>
          <w:b w:val="false"/>
          <w:bCs w:val="false"/>
          <w:sz w:val="24"/>
          <w:szCs w:val="24"/>
        </w:rPr>
        <w:t>, Amsterdam, v. 38, n. 3, artigo 101577, 2021. DOI: https://doi.org/10.1016/j.giq.2021.101577.</w:t>
      </w:r>
    </w:p>
    <w:p>
      <w:pPr>
        <w:pStyle w:val="normal1"/>
        <w:spacing w:lineRule="auto" w:line="360" w:before="0" w:after="0"/>
        <w:ind w:firstLine="709"/>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spacing w:lineRule="auto" w:line="360" w:before="0" w:after="0"/>
        <w:ind w:hanging="0"/>
        <w:rPr/>
      </w:pPr>
      <w:r>
        <w:rPr/>
      </w:r>
    </w:p>
    <w:p>
      <w:pPr>
        <w:pStyle w:val="normal1"/>
        <w:rPr/>
      </w:pPr>
      <w:r>
        <w:rPr/>
      </w:r>
      <w:r>
        <w:br w:type="page"/>
      </w:r>
    </w:p>
    <w:p>
      <w:pPr>
        <w:pStyle w:val="normal1"/>
        <w:spacing w:lineRule="auto" w:line="360" w:before="0" w:after="0"/>
        <w:ind w:hanging="0"/>
        <w:jc w:val="center"/>
        <w:rPr/>
      </w:pPr>
      <w:r>
        <w:rPr>
          <w:rFonts w:eastAsia="Times New Roman" w:cs="Times New Roman"/>
          <w:b/>
          <w:bCs/>
          <w:sz w:val="24"/>
          <w:szCs w:val="24"/>
        </w:rPr>
        <w:t>APÊNDICE A – MATERIAIS PARA REPRODUTIBILIDADE DO EXPERIMENTO</w:t>
      </w:r>
    </w:p>
    <w:p>
      <w:pPr>
        <w:pStyle w:val="normal1"/>
        <w:spacing w:lineRule="auto" w:line="360" w:before="0" w:after="120"/>
        <w:ind w:firstLine="709"/>
        <w:jc w:val="both"/>
        <w:rPr/>
      </w:pPr>
      <w: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lineRule="auto" w:line="360" w:before="0" w:after="120"/>
        <w:ind w:firstLine="709"/>
        <w:jc w:val="both"/>
        <w:rPr/>
      </w:pPr>
      <w:r>
        <w:rPr/>
        <w:t>O experimento foi executado em ambiente com GPU NVIDIA GeForce RTX 5090 (32 GB de VRAM GDDR7, CUDA 12.8,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lineRule="auto" w:line="360" w:before="0" w:after="120"/>
        <w:ind w:firstLine="709"/>
        <w:jc w:val="both"/>
        <w:rPr/>
      </w:pPr>
      <w: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lineRule="auto" w:line="360" w:before="0" w:after="120"/>
        <w:ind w:firstLine="709"/>
        <w:jc w:val="both"/>
        <w:rPr/>
      </w:pPr>
      <w:r>
        <w:rPr/>
        <w:t xml:space="preserve">Os scripts de preparação dos dados, treinamento, inferência e cálculo das métricas, bem como os arquivos de configuração, os pesos finais, os registros de execução e as instruções de obtenção das bases de imagens, estão disponíveis no repositório do projeto: </w:t>
      </w:r>
      <w:r>
        <w:rPr>
          <w:highlight w:val="yellow"/>
        </w:rPr>
        <w:t>[INFORMAR O ENDEREÇO DO REPOSITÓRIO, ex.: https://github.com/usuario/nome-do-repositorio]</w:t>
      </w:r>
      <w:r>
        <w:rPr/>
        <w:t>.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sectPr>
      <w:headerReference w:type="default" r:id="rId23"/>
      <w:headerReference w:type="first" r:id="rId24"/>
      <w:footerReference w:type="default" r:id="rId25"/>
      <w:footerReference w:type="first" r:id="rId26"/>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roman"/>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 w:name="Cardo">
    <w:charset w:val="01"/>
    <w:family w:val="roman"/>
    <w:pitch w:val="variable"/>
    <w:embedRegular r:id="rId25" w:fontKey="{19014A78-CABC-4EF0-12AC-5CD89AEFDE19}"/>
    <w:embedBold r:id="rId26" w:fontKey="{1A014A78-CABC-4EF0-12AC-5CD89AEFDE1A}"/>
    <w:embedItalic r:id="rId27" w:fontKey="{1B014A78-CABC-4EF0-12AC-5CD89AEFDE1B}"/>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tabs>
        <w:tab w:val="clear" w:pos="720"/>
        <w:tab w:val="center" w:pos="4252" w:leader="none"/>
        <w:tab w:val="right" w:pos="8504" w:leader="none"/>
      </w:tabs>
      <w:spacing w:lineRule="auto" w:line="360" w:before="0" w:after="0"/>
      <w:ind w:firstLine="709" w:left="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tabs>
        <w:tab w:val="clear" w:pos="720"/>
        <w:tab w:val="center" w:pos="4252" w:leader="none"/>
        <w:tab w:val="right" w:pos="8504" w:leader="none"/>
      </w:tabs>
      <w:spacing w:lineRule="auto" w:line="360" w:before="0" w:after="0"/>
      <w:ind w:firstLine="709" w:left="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tabs>
        <w:tab w:val="clear" w:pos="720"/>
        <w:tab w:val="center" w:pos="4252" w:leader="none"/>
        <w:tab w:val="right" w:pos="8504" w:leader="none"/>
      </w:tabs>
      <w:spacing w:lineRule="auto" w:line="360" w:before="0" w:after="0"/>
      <w:ind w:firstLine="709" w:left="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tabs>
        <w:tab w:val="clear" w:pos="720"/>
        <w:tab w:val="center" w:pos="4535" w:leader="none"/>
        <w:tab w:val="right" w:pos="9071" w:leader="none"/>
      </w:tabs>
      <w:spacing w:lineRule="auto" w:line="360" w:before="0" w:after="0"/>
      <w:ind w:firstLine="709" w:left="0" w:right="0"/>
      <w:jc w:val="righ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val="false"/>
      <w:shd w:val="clear" w:fill="auto"/>
      <w:tabs>
        <w:tab w:val="clear" w:pos="720"/>
        <w:tab w:val="center" w:pos="4535" w:leader="none"/>
        <w:tab w:val="right" w:pos="9071" w:leader="none"/>
      </w:tabs>
      <w:spacing w:lineRule="auto" w:line="360" w:before="0" w:after="0"/>
      <w:ind w:firstLine="709" w:left="0" w:right="0"/>
      <w:jc w:val="righ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tabs>
        <w:tab w:val="clear" w:pos="720"/>
        <w:tab w:val="center" w:pos="4535" w:leader="none"/>
        <w:tab w:val="right" w:pos="9071" w:leader="none"/>
      </w:tabs>
      <w:spacing w:lineRule="auto" w:line="360" w:before="0" w:after="0"/>
      <w:ind w:firstLine="709" w:left="0" w:right="0"/>
      <w:jc w:val="righ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val="false"/>
      <w:shd w:val="clear" w:fill="auto"/>
      <w:tabs>
        <w:tab w:val="clear" w:pos="720"/>
        <w:tab w:val="center" w:pos="4535" w:leader="none"/>
        <w:tab w:val="right" w:pos="9071" w:leader="none"/>
      </w:tabs>
      <w:spacing w:lineRule="auto" w:line="360" w:before="0" w:after="0"/>
      <w:ind w:firstLine="709" w:left="0" w:right="0"/>
      <w:jc w:val="righ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tabs>
        <w:tab w:val="clear" w:pos="720"/>
        <w:tab w:val="center" w:pos="4535" w:leader="none"/>
        <w:tab w:val="right" w:pos="9071" w:leader="none"/>
      </w:tabs>
      <w:spacing w:lineRule="auto" w:line="360" w:before="0" w:after="0"/>
      <w:ind w:firstLine="709" w:left="0" w:right="0"/>
      <w:jc w:val="righ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69</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1"/>
    <w:next w:val="normal1"/>
    <w:qFormat/>
    <w:pPr>
      <w:keepNext w:val="true"/>
      <w:spacing w:lineRule="auto" w:line="240" w:before="0" w:after="240"/>
      <w:ind w:hanging="0" w:left="0"/>
      <w:jc w:val="left"/>
    </w:pPr>
    <w:rPr>
      <w:rFonts w:ascii="Times New Roman" w:hAnsi="Times New Roman" w:eastAsia="Times New Roman" w:cs="Times New Roman"/>
      <w:b/>
      <w:bCs/>
      <w:sz w:val="24"/>
      <w:szCs w:val="24"/>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alhoerodap">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LibreOffice/24.2.7.2$Linux_X86_64 LibreOffice_project/420$Build-2</Application>
  <AppVersion>15.0000</AppVersion>
  <Pages>71</Pages>
  <Words>20104</Words>
  <Characters>120986</Characters>
  <CharactersWithSpaces>140448</CharactersWithSpaces>
  <Paragraphs>738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2026-06-11T07:39:34Z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