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_rels/fontTable.xml.rels" ContentType="application/vnd.openxmlformats-package.relationships+xml"/>
  <Override PartName="/word/_rels/document.xml.rels" ContentType="application/vnd.openxmlformats-package.relationships+xml"/>
  <Override PartName="/word/comments.xml" ContentType="application/vnd.openxmlformats-officedocument.wordprocessingml.comments+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w:t>
      </w:r>
      <w:r>
        <w:rPr>
          <w:rFonts w:eastAsia="Times New Roman" w:cs="Times New Roman"/>
          <w:i/>
          <w:iCs/>
          <w:lang w:val="pt-BR"/>
        </w:rPr>
        <w:t>fine-tuning</w:t>
      </w:r>
      <w:r>
        <w:rPr>
          <w:rFonts w:eastAsia="Times New Roman" w:cs="Times New Roman"/>
          <w:lang w:val="pt-BR"/>
        </w:rPr>
        <w:t xml:space="preserve">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apresentaram viabilidade técnico-experimental inicial, nas condições avaliadas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C9211E"/>
          <w:lang w:val="pt-BR"/>
        </w:rPr>
      </w:pPr>
      <w:r>
        <w:rPr>
          <w:rFonts w:eastAsia="Times New Roman" w:cs="Times New Roman"/>
          <w:color w:val="C9211E"/>
          <w:lang w:val="pt-BR"/>
        </w:rPr>
        <w:t>Urban waste management on public roads is a relevant challenge for Public Administration because it involves environmental, sanitary, operational and financial impacts. In this context, this study aimed to analyze the feasibility of using artificial intelligence to monitor urban waste in real images of Brazilian streets by comparing the YOLOv11m model, used as a specialized object detector, and the Gemma 3 27B-IT model, used as a vision-language model in a zero-shot setting. The research was characterized as applied, descriptive and exploratory, with a quantitative approach, guided by the hypothetical-deductive method and developed through an experimental-computational procedure. The experiment was carried out with 560 real images of Brazilian public roads, evenly distributed between images with and without visible waste. YOLOv11m was fine-tuned for the single class “waste”, while Gemma 3 27B-IT was evaluated without task-specific training on the project dataset. The comparison considered binary metrics, such as accuracy, precision, sensitivity, specificity, F1-score, false positive rate, confusion matrix, inference time and throughput. Under the adopted experimental conditions and for the binary image-level task, the results indicated that Gemma 3 27B-IT achieved better predictive performance, with higher accuracy, sensitivity, specificity and F1-score, as well as a lower false positive rate. Conversely, YOLOv11m showed greater computational efficiency, processing images approximately 141 times faster. It was concluded that both models are feasible for supporting urban waste monitoring, although under different usage regimes: Gemma 3 27B-IT was more suitable for punctual analyses requiring higher reliability, whereas YOLOv11m was more suitable for large-scale screening, real-time use and scenarios that require visual traceability.</w:t>
      </w:r>
    </w:p>
    <w:p>
      <w:pPr>
        <w:pStyle w:val="normal1"/>
        <w:ind w:hanging="0"/>
        <w:rPr>
          <w:color w:val="C9211E"/>
          <w:lang w:val="pt-BR"/>
        </w:rPr>
      </w:pPr>
      <w:r>
        <w:rPr>
          <w:rFonts w:eastAsia="Times New Roman" w:cs="Times New Roman"/>
          <w:color w:val="C9211E"/>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rPr>
          <w:lang w:val="pt-BR"/>
        </w:rPr>
      </w:pPr>
      <w:r>
        <w:rPr>
          <w:lang w:val="pt-BR"/>
        </w:rPr>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normal1"/>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normal1"/>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normal1"/>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normal1"/>
        <w:rPr>
          <w:lang w:val="pt-BR"/>
        </w:rPr>
      </w:pPr>
      <w:r>
        <w:rPr>
          <w:shd w:fill="2A6099" w:val="clear"/>
          <w:lang w:val="pt-BR"/>
        </w:rPr>
        <w:t>A relevância desta pesquisa está em aproximar o debate sobre inteligência artificial das necessidades práticas da administração pública urbana</w:t>
      </w:r>
      <w:r>
        <w:rPr>
          <w:lang w:val="pt-BR"/>
        </w:rPr>
        <w:t>.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normal1"/>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normal1"/>
        <w:rPr>
          <w:lang w:val="pt-BR"/>
        </w:rPr>
      </w:pPr>
      <w:r>
        <w:rPr>
          <w:lang w:val="pt-BR"/>
        </w:rPr>
        <w:t>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dos resultados obtidos no experimento computacional.</w:t>
      </w:r>
    </w:p>
    <w:p>
      <w:pPr>
        <w:pStyle w:val="normal1"/>
        <w:rPr>
          <w:lang w:val="pt-BR"/>
        </w:rPr>
      </w:pPr>
      <w:r>
        <w:rPr>
          <w:lang w:val="pt-BR"/>
        </w:rP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fine-tuning, e do Gemma 3 27B-IT, em regime zero-shot, por meio de métricas binárias e testes estatísticos para amostras pareadas; mensurar e comparar a eficiência computacional dos modelos quanto à latência e ao throughput; e caracterizar os padrões de erro de cada modelo e discutir suas implicações para a adoção da tecnologia pela gestão pública municipal.</w:t>
      </w:r>
    </w:p>
    <w:p>
      <w:pPr>
        <w:pStyle w:val="normal1"/>
        <w:rPr>
          <w:lang w:val="pt-BR"/>
        </w:rPr>
      </w:pPr>
      <w:r>
        <w:rPr>
          <w:lang w:val="pt-BR"/>
        </w:rP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pPr>
        <w:pStyle w:val="normal1"/>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normal1"/>
        <w:rPr>
          <w:color w:val="800080"/>
          <w:lang w:val="pt-BR"/>
        </w:rPr>
      </w:pPr>
      <w:r>
        <w:rPr>
          <w:color w:val="800080"/>
          <w:lang w:val="pt-BR"/>
        </w:rPr>
        <w:t>Este capítulo apresenta a fundamentação teórica do estudo a partir dos conceitos-chave definidos na matriz do TCC: gestão pública de resíduos sólidos urbanos, inteligência artificial aplicada à administração pública, visão computacional, detecção automatizada de resíduos e modelos visão-linguagem. A organização das seções segue uma progressão conceitual: primeiro, contextualiza-se o problema público dos resíduos urbanos, em seguida, discutem-se as bases da inteligência artificial no setor público, e por fim, apresentam-se os paradigmas técnicos que sustentam a comparação empírica entre modelos especializados de detecção e modelos generalistas multimodais.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normal1"/>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normal1"/>
        <w:rPr>
          <w:shd w:fill="FF7B59" w:val="clear"/>
          <w:lang w:val="pt-BR"/>
        </w:rPr>
      </w:pPr>
      <w:r>
        <w:rPr>
          <w:shd w:fill="FF7B59" w:val="clear"/>
          <w:lang w:val="pt-BR"/>
        </w:rPr>
        <w:t>A literatura brasileira indica que os resíduos sólidos urbanos permanecem como desafio estrutural para os municípios. Nascimento et al. (2015) apontam que a geração de resíduos no Brasil cresceu ao longo do tempo e que a efetivação da PNRS depende de avanços na coleta, no tratamento, na destinação final e na participação social em processos de separação e redução de resíduos. De modo complementar, Freitas, Pires e Benincá (2024) observam que, apesar da existência de práticas e modelos de gestão ambientalmente adequados previstos na PNRS, muitos municípios ainda enfrentam fragilidades relacionadas à infraestrutura, planejamento, recursos financeiros, recursos humanos, educação ambiental e ausência de diagnósticos consistentes sobre geração e destinação dos resíduos.</w:t>
      </w:r>
    </w:p>
    <w:p>
      <w:pPr>
        <w:pStyle w:val="normal1"/>
        <w:rPr>
          <w:shd w:fill="FF7B59" w:val="clear"/>
          <w:lang w:val="pt-BR"/>
        </w:rPr>
      </w:pPr>
      <w:r>
        <w:rPr>
          <w:shd w:fill="FF7B59" w:val="clear"/>
          <w:lang w:val="pt-BR"/>
        </w:rPr>
        <w:t>A comparação entre essas abordagens permite compreender que o problema dos resíduos urbanos não decorre apenas da existência de normas, mas também da capacidade institucional de transformar diretrizes legais em ações contínuas. Enquanto Nascimento et al. (2015) enfatizam a evolução e os desafios gerais do gerenciamento dos RSU no Brasil, Freitas, Pires e Benincá (2024) detalham fragilidades e potencialidades municipais, evidenciando que planejamento, diagnóstico e recursos administrativos são condições relevantes para a efetividade da política pública.</w:t>
      </w:r>
    </w:p>
    <w:p>
      <w:pPr>
        <w:pStyle w:val="normal1"/>
        <w:rPr>
          <w:shd w:fill="FF7B59" w:val="clear"/>
          <w:lang w:val="pt-BR"/>
        </w:rPr>
      </w:pPr>
      <w:r>
        <w:rPr>
          <w:shd w:fill="FF7B59" w:val="clear"/>
          <w:lang w:val="pt-BR"/>
        </w:rPr>
        <w:t>Os dados discutidos por Freitas, Pires e Benincá (2024) reforçam a dimensão gerencial do problema. Segundo as autoras, em 2022 aproximadamente 75% dos municípios brasileiros apresentavam alguma iniciativa de coleta seletiva, embora muitas dessas iniciativas fossem pontuais e sem abrangência plena da população. No mesmo período, cerca de 61% dos resíduos sólidos urbanos coletados foram encaminhados a aterros sanitários, enquanto aproximadamente 39% seguiram para destinação inadequada, como lixões e aterros controlados. Esses dados demonstram que o desafio dos resíduos urbanos envolve capacidade administrativa, diagnóstico territorial e continuidade das ações públicas.</w:t>
      </w:r>
    </w:p>
    <w:p>
      <w:pPr>
        <w:pStyle w:val="normal1"/>
        <w:rPr>
          <w:lang w:val="pt-BR"/>
        </w:rPr>
      </w:pPr>
      <w:r>
        <w:rPr>
          <w:lang w:val="pt-BR"/>
        </w:rPr>
        <w:t>No espaço urbano, o descarte irregular de resíduos representa problema recorrente para a gestão municipal, pois impõe desafios ao planejamento, à fiscalização e à prestação dos serviços de limpeza urbana (FORTALEZA, 2012; GARCIA, 2021). A presença de resíduos em ruas, calçadas, terrenos, canais e outros espaços públicos compromete a paisagem urbana, afeta a circulação de pessoas, pode agravar problemas de drenagem e amplia a demanda por serviços de limpeza urbana (FORTALEZA, 2012).Cardoso e Cardoso (2016) destacam que o problema do lixo envolve impactos diversos e exige estratégias de redução de danos, enquanto Mucelin e Bellini (2008) apontam impactos ambientais perceptíveis no ecossistema urbano. Assim, o descarte irregular deve ser compreendido como fenômeno que ultrapassa a dimensão ambiental, alcançando também a organização dos serviços públicos, a saúde coletiva e a qualidade de vida urbana.</w:t>
      </w:r>
    </w:p>
    <w:p>
      <w:pPr>
        <w:pStyle w:val="normal1"/>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normal1"/>
        <w:rPr>
          <w:lang w:val="pt-BR"/>
        </w:rPr>
      </w:pPr>
      <w:r>
        <w:rPr>
          <w:lang w:val="pt-BR"/>
        </w:rPr>
        <w:t xml:space="preserve">Nesse contexto, a produção de informações territorializadas pode apoiar decisões públicas mais direcionadas. Lu (2019), ao analisar o uso de </w:t>
      </w:r>
      <w:r>
        <w:rPr>
          <w:i/>
          <w:iCs/>
          <w:lang w:val="pt-BR"/>
        </w:rPr>
        <w:t>big data</w:t>
      </w:r>
      <w:r>
        <w:rPr>
          <w:lang w:val="pt-BR"/>
        </w:rPr>
        <w:t xml:space="preserve">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normal1"/>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normal1"/>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normal1"/>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normal1"/>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normal1"/>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normal1"/>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normal1"/>
        <w:rPr>
          <w:lang w:val="pt-BR"/>
        </w:rPr>
      </w:pPr>
      <w:r>
        <w:rPr>
          <w:lang w:val="pt-BR"/>
        </w:rPr>
        <w:t>No plano técnico, o deep learning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normal1"/>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normal1"/>
        <w:rPr>
          <w:color w:val="000000"/>
          <w:lang w:val="pt-BR"/>
        </w:rPr>
      </w:pPr>
      <w:r>
        <w:rPr>
          <w:color w:val="000000"/>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normal1"/>
        <w:rPr>
          <w:color w:val="000000"/>
          <w:lang w:val="pt-BR"/>
        </w:rPr>
      </w:pPr>
      <w:r>
        <w:rPr>
          <w:color w:val="000000"/>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normal1"/>
        <w:rPr>
          <w:color w:val="000000"/>
          <w:lang w:val="pt-BR"/>
        </w:rPr>
      </w:pPr>
      <w:r>
        <w:rPr>
          <w:color w:val="000000"/>
          <w:lang w:val="pt-BR"/>
        </w:rPr>
        <w:t>O YOLO tornou-se uma das famílias de modelos mais conhecidas em detecção de objetos por sua proposta de realizar inferência de forma unificada e rápida, característica que favorece aplicações em tempo real, inclusive em tarefas de detecção automatizada de resíduos (ZHANG; ZHU; GAN, 2024). Redmon et al. (2016) mostram que o modelo original processava imagens em tempo real, embora também apresentasse limitações, especialmente na localização precisa de alguns objetos e na detecção de objetos pequenos.</w:t>
      </w:r>
    </w:p>
    <w:p>
      <w:pPr>
        <w:pStyle w:val="normal1"/>
        <w:rPr>
          <w:color w:val="000000"/>
          <w:lang w:val="pt-BR"/>
        </w:rPr>
      </w:pPr>
      <w:r>
        <w:rPr>
          <w:color w:val="000000"/>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normal1"/>
        <w:rPr>
          <w:color w:val="000000"/>
          <w:lang w:val="pt-BR"/>
        </w:rPr>
      </w:pPr>
      <w:r>
        <w:rPr>
          <w:color w:val="000000"/>
          <w:lang w:val="pt-BR"/>
        </w:rPr>
        <w:t>A avaliação de modelos de detecção envolve critérios capazes de indicar se a identificação visual é consistente e se o processamento ocorre em tempo compatível com a aplicação pretendida. Em estudos de detecção de resíduos com deep learning,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recall e interseção sobre união, ao mesmo tempo em que enfrenta desafios persistentes relacionados a oclusões, variações de escala e capacidade de processamento em tempo real.</w:t>
      </w:r>
    </w:p>
    <w:p>
      <w:pPr>
        <w:pStyle w:val="normal1"/>
        <w:rPr>
          <w:color w:val="000000"/>
          <w:lang w:val="pt-BR"/>
        </w:rPr>
      </w:pPr>
      <w:r>
        <w:rPr>
          <w:color w:val="000000"/>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normal1"/>
        <w:rPr>
          <w:lang w:val="pt-BR"/>
        </w:rPr>
      </w:pPr>
      <w:r>
        <w:rPr>
          <w:lang w:val="pt-BR"/>
        </w:rPr>
        <w:t>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deep learning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deep learning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normal1"/>
        <w:rPr>
          <w:lang w:val="pt-BR"/>
        </w:rPr>
      </w:pPr>
      <w:r>
        <w:rPr>
          <w:lang w:val="pt-BR"/>
        </w:rPr>
        <w:t>O uso de deep learning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smartphones.</w:t>
      </w:r>
    </w:p>
    <w:p>
      <w:pPr>
        <w:pStyle w:val="normal1"/>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normal1"/>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normal1"/>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normal1"/>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normal1"/>
        <w:rPr>
          <w:lang w:val="pt-BR"/>
        </w:rPr>
      </w:pPr>
      <w:r>
        <w:rPr>
          <w:lang w:val="pt-BR"/>
        </w:rPr>
        <w:t xml:space="preserve">Os modelos visão-linguagem, conhecidos como </w:t>
      </w:r>
      <w:r>
        <w:rPr>
          <w:i/>
          <w:iCs/>
          <w:lang w:val="pt-BR"/>
        </w:rPr>
        <w:t>Vision-Language Models</w:t>
      </w:r>
      <w:r>
        <w:rPr>
          <w:lang w:val="pt-BR"/>
        </w:rPr>
        <w:t xml:space="preserve"> (VLMs),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normal1"/>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normal1"/>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normal1"/>
        <w:rPr>
          <w:lang w:val="pt-BR"/>
        </w:rPr>
      </w:pPr>
      <w:r>
        <w:rPr>
          <w:lang w:val="pt-BR"/>
        </w:rPr>
        <w:t>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visual grounding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normal1"/>
        <w:rPr>
          <w:color w:val="000000"/>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associados à localização visual e à eficiência computacional; de outro, modelos visão-linguagem, associados à interpretação multimodal e à classificação orientada por prompts. Essa articulação é relevante porque o monitoramento de resíduos urbanos exige não apenas desempenho preditivo, mas também velocidade, controle de erros, rastreabilidade, custo operacional e adequação ao uso público da tecnologia (Redmon et al., 2016; Terven; Córdova-Esparza; Romero-González, 2023; Zhang et al., 2024; Li et al.,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normal1"/>
        <w:rPr>
          <w:color w:val="000000"/>
          <w:lang w:val="pt-BR"/>
        </w:rPr>
      </w:pPr>
      <w:r>
        <w:rPr>
          <w:color w:val="000000"/>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normal1"/>
        <w:rPr>
          <w:color w:val="000000"/>
          <w:lang w:val="pt-BR"/>
        </w:rPr>
      </w:pPr>
      <w:r>
        <w:rPr>
          <w:color w:val="000000"/>
          <w:lang w:val="pt-BR"/>
        </w:rPr>
        <w:t>Quanto à finalidade, a pesquisa foi aplicada, pois avaliou a viabilidade de modelos de inteligên</w:t>
      </w:r>
      <w:r>
        <w:rPr>
          <w:color w:val="000000"/>
          <w:shd w:fill="auto" w:val="clear"/>
          <w:lang w:val="pt-BR"/>
        </w:rPr>
        <w:t>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normal1"/>
        <w:rPr>
          <w:highlight w:val="none"/>
          <w:shd w:fill="auto" w:val="clear"/>
        </w:rPr>
      </w:pPr>
      <w:r>
        <w:rPr>
          <w:shd w:fill="auto" w:val="clea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normal1"/>
        <w:rPr>
          <w:lang w:val="pt-BR"/>
        </w:rPr>
      </w:pPr>
      <w:r>
        <w:rPr>
          <w:shd w:fill="auto" w:val="clear"/>
          <w:lang w:val="pt-BR"/>
        </w:rPr>
        <w:t xml:space="preserve">A pesquisa também foi exploratória, pois examinou uma possibilidade tecnológica ainda em consolidação no contexto da </w:t>
      </w:r>
      <w:r>
        <w:rPr>
          <w:shd w:fill="auto" w:val="clear"/>
          <w:lang w:val="pt-BR"/>
        </w:rPr>
        <w:t>administração</w:t>
      </w:r>
      <w:r>
        <w:rPr>
          <w:shd w:fill="auto" w:val="clear"/>
          <w:lang w:val="pt-BR"/>
        </w:rPr>
        <w:t xml:space="preserve"> pública. Essa classificação foi adequada porque o estudo buscou ampliar a compreensão sobre a viabilidade de duas </w:t>
      </w:r>
      <w:r>
        <w:rPr>
          <w:lang w:val="pt-BR"/>
        </w:rPr>
        <w:t>abordagens distintas de IA, um detector especializado e um modelo visão-linguagem generalista, diante de uma tarefa aplicada à Administração Pública.</w:t>
      </w:r>
    </w:p>
    <w:p>
      <w:pPr>
        <w:pStyle w:val="normal1"/>
        <w:rPr>
          <w:lang w:val="pt-BR"/>
        </w:rPr>
      </w:pPr>
      <w:r>
        <w:rPr>
          <w:lang w:val="pt-BR"/>
        </w:rPr>
        <w:t>Quanto à abordagem, tratou-se de pesquisa quantitativa, pois os resultados foram analisados por meio de métricas numéricas, como acurácia, precisão, recall, especificidade, F1-score, taxa de falsos positivos, matriz de confusão, tempo de inferência e throughput.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normal1"/>
        <w:rPr>
          <w:color w:val="000000"/>
          <w:lang w:val="pt-BR"/>
        </w:rPr>
      </w:pPr>
      <w:r>
        <w:rPr>
          <w:color w:val="000000"/>
          <w:lang w:val="pt-BR"/>
        </w:rP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pPr>
        <w:pStyle w:val="normal1"/>
        <w:rPr>
          <w:color w:val="000000"/>
          <w:lang w:val="pt-BR"/>
        </w:rPr>
      </w:pPr>
      <w:r>
        <w:rPr>
          <w:color w:val="000000"/>
          <w:lang w:val="pt-BR"/>
        </w:rPr>
        <w:t>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datasets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normal1"/>
        <w:rPr>
          <w:color w:val="000000"/>
          <w:lang w:val="pt-BR"/>
        </w:rPr>
      </w:pPr>
      <w:r>
        <w:rPr>
          <w:color w:val="000000"/>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normal1"/>
        <w:rPr>
          <w:color w:val="000000"/>
          <w:lang w:val="pt-BR"/>
        </w:rPr>
      </w:pPr>
      <w:r>
        <w:rPr>
          <w:color w:val="000000"/>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normal1"/>
        <w:rPr>
          <w:color w:val="000000"/>
          <w:lang w:val="pt-BR"/>
        </w:rPr>
      </w:pPr>
      <w:r>
        <w:rPr>
          <w:color w:val="000000"/>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normal1"/>
        <w:rPr>
          <w:color w:val="000000"/>
          <w:lang w:val="pt-BR"/>
        </w:rPr>
      </w:pPr>
      <w:r>
        <w:rPr>
          <w:color w:val="000000"/>
          <w:lang w:val="pt-BR"/>
        </w:rPr>
        <w:t>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zero-shot (Radford et al., 2021).</w:t>
      </w:r>
    </w:p>
    <w:p>
      <w:pPr>
        <w:pStyle w:val="normal1"/>
        <w:rPr>
          <w:color w:val="000000"/>
          <w:lang w:val="pt-BR"/>
        </w:rPr>
      </w:pPr>
      <w:r>
        <w:rPr>
          <w:rFonts w:eastAsia="Times New Roman" w:cs="Times New Roman"/>
          <w:color w:val="000000"/>
          <w:lang w:val="pt-BR"/>
        </w:rPr>
        <w:t>O primeiro modelo foi o YOLOv11m, utilizado como detector especializado. Esse modelo foi treinado por fine-tuning para reconhecer a classe única “lixo”. Ele representou uma abordagem especializada de detecção de objetos, na qual o modelo foi ajustado para uma tarefa específica a partir de imagens anotadas.</w:t>
      </w:r>
    </w:p>
    <w:p>
      <w:pPr>
        <w:pStyle w:val="normal1"/>
        <w:rPr>
          <w:color w:val="000000"/>
          <w:lang w:val="pt-BR"/>
        </w:rPr>
      </w:pPr>
      <w:r>
        <w:rPr>
          <w:rFonts w:eastAsia="Times New Roman" w:cs="Times New Roman"/>
          <w:color w:val="000000"/>
          <w:lang w:val="pt-BR"/>
        </w:rP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pPr>
        <w:pStyle w:val="normal1"/>
        <w:rPr>
          <w:color w:val="000000"/>
          <w:lang w:val="pt-BR"/>
        </w:rPr>
      </w:pPr>
      <w:r>
        <w:rPr>
          <w:color w:val="000000"/>
          <w:lang w:val="pt-BR"/>
        </w:rPr>
        <w:t>Essa comparação confrontou duas formas distintas de aplicação da IA: uma abordagem especializada, baseada em treinamento direcionado, e uma abordagem generalista, baseada em interpretação multimodal sem ajuste específico ao domínio estudado. A abordagem zero-shot dispensa exemplos rotulados da tarefa-alvo, comparando a imagem a descrições textuais para estimar a correspondência com o prompt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normal1"/>
        <w:rPr>
          <w:color w:val="000000"/>
          <w:lang w:val="pt-BR"/>
        </w:rPr>
      </w:pPr>
      <w:r>
        <w:rPr>
          <w:color w:val="000000"/>
          <w:lang w:val="pt-BR"/>
        </w:rPr>
        <w:t xml:space="preserve">A comparação entre os modelos foi assimétrica por desenho metodológico: o YOLOv11m foi ajustado por fine-tuning com dados rotulados da tarefa, enquanto o Gemma 3 27B-IT foi utilizado em modo zero-shot. Essa assimetria não invalidou o estudo, pois representa </w:t>
      </w:r>
      <w:r>
        <w:rPr>
          <w:color w:val="000000"/>
          <w:lang w:val="pt-BR"/>
        </w:rPr>
        <w:t>possibilidades</w:t>
      </w:r>
      <w:r>
        <w:rPr>
          <w:color w:val="000000"/>
          <w:lang w:val="pt-BR"/>
        </w:rPr>
        <w:t xml:space="preserve">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normal1"/>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normal1"/>
        <w:rPr>
          <w:lang w:val="pt-BR"/>
        </w:rPr>
      </w:pPr>
      <w:r>
        <w:rPr>
          <w:lang w:val="pt-BR"/>
        </w:rPr>
        <w:t>A base TACO (Trash Annotations in Context) foi utilizada como uma das principais fontes de imagens positivas de resíduos, por se tratar de dataset aberto construído especificamente para detecção e segmentação de lixo em contexto real. Como o dataset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normal1"/>
        <w:rPr>
          <w:lang w:val="pt-BR"/>
        </w:rPr>
      </w:pPr>
      <w:commentRangeStart w:id="0"/>
      <w:r>
        <w:rPr>
          <w:color w:val="000000"/>
          <w:lang w:val="pt-BR"/>
        </w:rPr>
        <w:t xml:space="preserve">Além do TACO, foi utilizado o dataset </w:t>
      </w:r>
      <w:r>
        <w:rPr>
          <w:i/>
          <w:iCs/>
          <w:color w:val="000000"/>
          <w:lang w:val="pt-BR"/>
        </w:rPr>
        <w:t>Trash Detection</w:t>
      </w:r>
      <w:r>
        <w:rPr>
          <w:color w:val="000000"/>
          <w:lang w:val="pt-BR"/>
        </w:rPr>
        <w:t xml:space="preserve">, disponibilizado no Roboflow Universe pelo perfil </w:t>
      </w:r>
      <w:r>
        <w:rPr>
          <w:i/>
          <w:iCs/>
          <w:color w:val="000000"/>
          <w:lang w:val="pt-BR"/>
        </w:rPr>
        <w:t>Trash Dataset for Oriented Bounded Box</w:t>
      </w:r>
      <w:r>
        <w:rPr>
          <w:color w:val="000000"/>
          <w:lang w:val="pt-BR"/>
        </w:rPr>
        <w:t xml:space="preserve">. Esse conjunto foi selecionado como base complementar de imagens positivas em razão de sua utilidade metodológica para ampliar a diversidade visual do treinamento. Conforme as informações da versão v14 do repositório consultado, o dataset apresenta 6.783 imagens e 64 classes (Trash Dataset for Oriented Bounded Box, 2026). No experimento executado, a exportação dessa base foi submetida à padronização para a classe única “lixo” e à deduplicação perceptual, resultando em 5.322 imagens positivas efetivamente utilizadas. Para fins de transparência metodológica, distingue-se, portanto, o volume informado na versão exportada do repositório e o volume final mantido após filtragem, padronização e deduplicação. </w:t>
      </w:r>
      <w:r>
        <w:rPr>
          <w:lang w:val="pt-BR"/>
        </w:rPr>
        <w:t>Também foi utilizado o dataset Sidewalk Segmentation, disponibilizado no Roboflow Universe pelo perfil Sidewalk. Esse conjunto foi empregado como fonte de imagens negativas, isto é, imagens urbanas sem resíduos anotados. No experimento executado, essa fonte contribuiu com 1.203 imagens de background. A inclusão de imagens negativas teve a função de expor o modelo a cenários urbanos sem lixo visível, reduzindo a tendência de classificar qualquer elemento urbano como resíduo e contribuindo para o controle de falsos positivos (Sidewalk, 2022).</w:t>
      </w:r>
      <w:commentRangeEnd w:id="0"/>
      <w:r>
        <w:commentReference w:id="0"/>
      </w:r>
      <w:r>
        <w:rPr>
          <w:lang w:val="pt-BR"/>
        </w:rPr>
      </w:r>
    </w:p>
    <w:p>
      <w:pPr>
        <w:pStyle w:val="normal1"/>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normal1"/>
        <w:rPr>
          <w:lang w:val="pt-BR"/>
        </w:rPr>
      </w:pPr>
      <w:r>
        <w:rPr>
          <w:lang w:val="pt-BR"/>
        </w:rPr>
        <w:t xml:space="preserve">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w:t>
      </w:r>
      <w:r>
        <w:rPr>
          <w:color w:val="000000"/>
          <w:lang w:val="pt-BR"/>
        </w:rPr>
        <w:t>(Google, [s.d.]).</w:t>
      </w:r>
      <w:r>
        <w:rPr>
          <w:lang w:val="pt-BR"/>
        </w:rPr>
        <w:t xml:space="preserve"> Essa característica contribuiu para reduzir o risco de exposição de dados pessoais, embora não tenha substituído a revisão visual manual.</w:t>
      </w:r>
    </w:p>
    <w:p>
      <w:pPr>
        <w:pStyle w:val="normal1"/>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normal1"/>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color w:val="000000"/>
          <w:lang w:val="pt-BR"/>
        </w:rPr>
      </w:pPr>
      <w:r>
        <w:rPr>
          <w:rFonts w:eastAsia="Times New Roman" w:cs="Times New Roman"/>
          <w:color w:val="000000"/>
          <w:sz w:val="20"/>
          <w:szCs w:val="20"/>
          <w:lang w:val="pt-BR"/>
        </w:rPr>
        <w:t>Tabela 1 – Fontes de dados utilizadas no experimento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199"/>
        <w:gridCol w:w="3001"/>
        <w:gridCol w:w="3872"/>
      </w:tblGrid>
      <w:tr>
        <w:trPr>
          <w:tblHeader w:val="true"/>
        </w:trPr>
        <w:tc>
          <w:tcPr>
            <w:tcW w:w="2199" w:type="dxa"/>
            <w:tcBorders/>
            <w:vAlign w:val="center"/>
          </w:tcPr>
          <w:p>
            <w:pPr>
              <w:pStyle w:val="normal1"/>
              <w:suppressAutoHyphens w:val="true"/>
              <w:spacing w:lineRule="auto" w:line="240" w:before="0" w:after="0"/>
              <w:ind w:hanging="0"/>
              <w:jc w:val="left"/>
              <w:rPr>
                <w:color w:val="000000"/>
                <w:lang w:val="pt-BR"/>
              </w:rPr>
            </w:pPr>
            <w:commentRangeStart w:id="1"/>
            <w:r>
              <w:rPr>
                <w:rFonts w:eastAsia="Noto Serif CJK SC" w:cs="Noto Sans Devanagari"/>
                <w:b/>
                <w:bCs/>
                <w:color w:val="000000"/>
                <w:kern w:val="0"/>
                <w:sz w:val="20"/>
                <w:szCs w:val="20"/>
                <w:lang w:val="pt-BR" w:eastAsia="zh-CN" w:bidi="hi-IN"/>
              </w:rPr>
              <w:t>Fonte/base</w:t>
            </w:r>
          </w:p>
        </w:tc>
        <w:tc>
          <w:tcPr>
            <w:tcW w:w="3001"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b/>
                <w:bCs/>
                <w:color w:val="000000"/>
                <w:kern w:val="0"/>
                <w:sz w:val="20"/>
                <w:szCs w:val="20"/>
                <w:lang w:val="pt-BR" w:eastAsia="zh-CN" w:bidi="hi-IN"/>
              </w:rPr>
              <w:t>Função no experimento</w:t>
            </w:r>
          </w:p>
        </w:tc>
        <w:tc>
          <w:tcPr>
            <w:tcW w:w="3872"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b/>
                <w:bCs/>
                <w:color w:val="000000"/>
                <w:kern w:val="0"/>
                <w:sz w:val="20"/>
                <w:szCs w:val="20"/>
                <w:lang w:val="pt-BR" w:eastAsia="zh-CN" w:bidi="hi-IN"/>
              </w:rPr>
              <w:t>Volume utilizado</w:t>
            </w:r>
          </w:p>
        </w:tc>
      </w:tr>
      <w:tr>
        <w:trPr/>
        <w:tc>
          <w:tcPr>
            <w:tcW w:w="2199" w:type="dxa"/>
            <w:tcBorders/>
            <w:vAlign w:val="center"/>
          </w:tcPr>
          <w:p>
            <w:pPr>
              <w:pStyle w:val="normal1"/>
              <w:suppressAutoHyphens w:val="true"/>
              <w:spacing w:lineRule="auto" w:line="240" w:before="0" w:after="0"/>
              <w:ind w:hanging="0"/>
              <w:jc w:val="left"/>
              <w:rPr>
                <w:color w:val="000000"/>
                <w:lang w:val="pt-BR"/>
              </w:rPr>
            </w:pPr>
            <w:r>
              <w:rPr>
                <w:rFonts w:eastAsia="Noto Serif CJK SC" w:cs="Noto Sans Devanagari"/>
                <w:color w:val="000000"/>
                <w:kern w:val="0"/>
                <w:sz w:val="20"/>
                <w:szCs w:val="20"/>
                <w:lang w:val="pt-BR" w:eastAsia="zh-CN" w:bidi="hi-IN"/>
              </w:rPr>
              <w:t>TACO</w:t>
            </w:r>
          </w:p>
        </w:tc>
        <w:tc>
          <w:tcPr>
            <w:tcW w:w="3001" w:type="dxa"/>
            <w:tcBorders/>
            <w:vAlign w:val="center"/>
          </w:tcPr>
          <w:p>
            <w:pPr>
              <w:pStyle w:val="normal1"/>
              <w:suppressAutoHyphens w:val="true"/>
              <w:spacing w:lineRule="auto" w:line="240" w:before="0" w:after="0"/>
              <w:ind w:hanging="0"/>
              <w:jc w:val="center"/>
              <w:rPr>
                <w:color w:val="000000"/>
                <w:sz w:val="20"/>
                <w:szCs w:val="20"/>
                <w:lang w:val="pt-BR"/>
              </w:rPr>
            </w:pPr>
            <w:r>
              <w:rPr>
                <w:rFonts w:eastAsia="Noto Serif CJK SC" w:cs="Noto Sans Devanagari"/>
                <w:color w:val="000000"/>
                <w:kern w:val="0"/>
                <w:sz w:val="20"/>
                <w:szCs w:val="20"/>
                <w:lang w:val="pt-BR" w:eastAsia="zh-CN" w:bidi="hi-IN"/>
              </w:rPr>
              <w:t>Imagens positivas de</w:t>
            </w:r>
          </w:p>
          <w:p>
            <w:pPr>
              <w:pStyle w:val="normal1"/>
              <w:suppressAutoHyphens w:val="true"/>
              <w:spacing w:lineRule="auto" w:line="240" w:before="0" w:after="0"/>
              <w:ind w:hanging="0"/>
              <w:jc w:val="center"/>
              <w:rPr>
                <w:color w:val="000000"/>
                <w:lang w:val="pt-BR"/>
              </w:rPr>
            </w:pPr>
            <w:r>
              <w:rPr>
                <w:rFonts w:eastAsia="Noto Serif CJK SC" w:cs="Noto Sans Devanagari"/>
                <w:color w:val="000000"/>
                <w:kern w:val="0"/>
                <w:sz w:val="20"/>
                <w:szCs w:val="20"/>
                <w:lang w:val="pt-BR" w:eastAsia="zh-CN" w:bidi="hi-IN"/>
              </w:rPr>
              <w:t>resíduos para treino</w:t>
            </w:r>
          </w:p>
        </w:tc>
        <w:tc>
          <w:tcPr>
            <w:tcW w:w="3872"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1.497 imagens positivas utilizadas após deduplicação e seleção</w:t>
            </w:r>
          </w:p>
        </w:tc>
      </w:tr>
      <w:tr>
        <w:trPr/>
        <w:tc>
          <w:tcPr>
            <w:tcW w:w="2199" w:type="dxa"/>
            <w:tcBorders/>
            <w:vAlign w:val="center"/>
          </w:tcPr>
          <w:p>
            <w:pPr>
              <w:pStyle w:val="normal1"/>
              <w:suppressAutoHyphens w:val="true"/>
              <w:spacing w:lineRule="auto" w:line="240" w:before="0" w:after="0"/>
              <w:ind w:hanging="0"/>
              <w:jc w:val="left"/>
              <w:rPr>
                <w:color w:val="000000"/>
                <w:lang w:val="pt-BR"/>
              </w:rPr>
            </w:pPr>
            <w:r>
              <w:rPr>
                <w:rFonts w:eastAsia="Noto Serif CJK SC" w:cs="Noto Sans Devanagari"/>
                <w:color w:val="000000"/>
                <w:kern w:val="0"/>
                <w:sz w:val="20"/>
                <w:szCs w:val="20"/>
                <w:lang w:val="pt-BR" w:eastAsia="zh-CN" w:bidi="hi-IN"/>
              </w:rPr>
              <w:t>Trash Detection</w:t>
            </w:r>
          </w:p>
        </w:tc>
        <w:tc>
          <w:tcPr>
            <w:tcW w:w="3001" w:type="dxa"/>
            <w:tcBorders/>
            <w:vAlign w:val="center"/>
          </w:tcPr>
          <w:p>
            <w:pPr>
              <w:pStyle w:val="normal1"/>
              <w:suppressAutoHyphens w:val="true"/>
              <w:spacing w:lineRule="auto" w:line="240" w:before="0" w:after="0"/>
              <w:ind w:hanging="0"/>
              <w:jc w:val="center"/>
              <w:rPr>
                <w:color w:val="000000"/>
                <w:sz w:val="20"/>
                <w:szCs w:val="20"/>
                <w:lang w:val="pt-BR"/>
              </w:rPr>
            </w:pPr>
            <w:r>
              <w:rPr>
                <w:rFonts w:eastAsia="Noto Serif CJK SC" w:cs="Noto Sans Devanagari"/>
                <w:color w:val="000000"/>
                <w:kern w:val="0"/>
                <w:sz w:val="20"/>
                <w:szCs w:val="20"/>
                <w:lang w:val="pt-BR" w:eastAsia="zh-CN" w:bidi="hi-IN"/>
              </w:rPr>
              <w:t>Imagens positivas</w:t>
            </w:r>
          </w:p>
          <w:p>
            <w:pPr>
              <w:pStyle w:val="normal1"/>
              <w:suppressAutoHyphens w:val="true"/>
              <w:spacing w:lineRule="auto" w:line="240" w:before="0" w:after="0"/>
              <w:ind w:hanging="0"/>
              <w:jc w:val="center"/>
              <w:rPr>
                <w:color w:val="000000"/>
                <w:lang w:val="pt-BR"/>
              </w:rPr>
            </w:pPr>
            <w:r>
              <w:rPr>
                <w:rFonts w:eastAsia="Noto Serif CJK SC" w:cs="Noto Sans Devanagari"/>
                <w:color w:val="000000"/>
                <w:kern w:val="0"/>
                <w:sz w:val="20"/>
                <w:szCs w:val="20"/>
                <w:lang w:val="pt-BR" w:eastAsia="zh-CN" w:bidi="hi-IN"/>
              </w:rPr>
              <w:t>complementares para treino</w:t>
            </w:r>
          </w:p>
        </w:tc>
        <w:tc>
          <w:tcPr>
            <w:tcW w:w="3872"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5.322 imagens positivas utilizadas após deduplicação perceptual; dataset-base informa 6.783 imagens e 64 classes</w:t>
            </w:r>
          </w:p>
        </w:tc>
      </w:tr>
      <w:tr>
        <w:trPr/>
        <w:tc>
          <w:tcPr>
            <w:tcW w:w="2199" w:type="dxa"/>
            <w:tcBorders/>
            <w:vAlign w:val="center"/>
          </w:tcPr>
          <w:p>
            <w:pPr>
              <w:pStyle w:val="normal1"/>
              <w:suppressAutoHyphens w:val="true"/>
              <w:spacing w:lineRule="auto" w:line="240" w:before="0" w:after="0"/>
              <w:ind w:hanging="0"/>
              <w:jc w:val="left"/>
              <w:rPr>
                <w:color w:val="000000"/>
                <w:lang w:val="pt-BR"/>
              </w:rPr>
            </w:pPr>
            <w:r>
              <w:rPr>
                <w:rFonts w:eastAsia="Noto Serif CJK SC" w:cs="Noto Sans Devanagari"/>
                <w:color w:val="000000"/>
                <w:kern w:val="0"/>
                <w:sz w:val="20"/>
                <w:szCs w:val="20"/>
                <w:lang w:val="pt-BR" w:eastAsia="zh-CN" w:bidi="hi-IN"/>
              </w:rPr>
              <w:t>Sidewalk Segmentation</w:t>
            </w:r>
          </w:p>
        </w:tc>
        <w:tc>
          <w:tcPr>
            <w:tcW w:w="3001" w:type="dxa"/>
            <w:tcBorders/>
            <w:vAlign w:val="center"/>
          </w:tcPr>
          <w:p>
            <w:pPr>
              <w:pStyle w:val="normal1"/>
              <w:suppressAutoHyphens w:val="true"/>
              <w:spacing w:lineRule="auto" w:line="240" w:before="0" w:after="0"/>
              <w:ind w:hanging="0"/>
              <w:jc w:val="center"/>
              <w:rPr>
                <w:color w:val="000000"/>
                <w:sz w:val="20"/>
                <w:szCs w:val="20"/>
                <w:lang w:val="pt-BR"/>
              </w:rPr>
            </w:pPr>
            <w:r>
              <w:rPr>
                <w:rFonts w:eastAsia="Noto Serif CJK SC" w:cs="Noto Sans Devanagari"/>
                <w:color w:val="000000"/>
                <w:kern w:val="0"/>
                <w:sz w:val="20"/>
                <w:szCs w:val="20"/>
                <w:lang w:val="pt-BR" w:eastAsia="zh-CN" w:bidi="hi-IN"/>
              </w:rPr>
              <w:t>Imagens</w:t>
            </w:r>
          </w:p>
          <w:p>
            <w:pPr>
              <w:pStyle w:val="normal1"/>
              <w:suppressAutoHyphens w:val="true"/>
              <w:spacing w:lineRule="auto" w:line="240" w:before="0" w:after="0"/>
              <w:ind w:hanging="0"/>
              <w:jc w:val="center"/>
              <w:rPr>
                <w:color w:val="000000"/>
                <w:lang w:val="pt-BR"/>
              </w:rPr>
            </w:pPr>
            <w:r>
              <w:rPr>
                <w:rFonts w:eastAsia="Noto Serif CJK SC" w:cs="Noto Sans Devanagari"/>
                <w:color w:val="000000"/>
                <w:kern w:val="0"/>
                <w:sz w:val="20"/>
                <w:szCs w:val="20"/>
                <w:lang w:val="pt-BR" w:eastAsia="zh-CN" w:bidi="hi-IN"/>
              </w:rPr>
              <w:t>negativas/background</w:t>
            </w:r>
          </w:p>
        </w:tc>
        <w:tc>
          <w:tcPr>
            <w:tcW w:w="3872"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1.203 imagens de background</w:t>
            </w:r>
          </w:p>
        </w:tc>
      </w:tr>
      <w:tr>
        <w:trPr/>
        <w:tc>
          <w:tcPr>
            <w:tcW w:w="2199" w:type="dxa"/>
            <w:tcBorders/>
            <w:vAlign w:val="center"/>
          </w:tcPr>
          <w:p>
            <w:pPr>
              <w:pStyle w:val="normal1"/>
              <w:suppressAutoHyphens w:val="true"/>
              <w:spacing w:lineRule="auto" w:line="240" w:before="0" w:after="0"/>
              <w:ind w:hanging="0"/>
              <w:jc w:val="left"/>
              <w:rPr>
                <w:color w:val="000000"/>
                <w:lang w:val="pt-BR"/>
              </w:rPr>
            </w:pPr>
            <w:r>
              <w:rPr>
                <w:rFonts w:eastAsia="Noto Serif CJK SC" w:cs="Noto Sans Devanagari"/>
                <w:color w:val="000000"/>
                <w:kern w:val="0"/>
                <w:sz w:val="20"/>
                <w:szCs w:val="20"/>
                <w:lang w:val="pt-BR" w:eastAsia="zh-CN" w:bidi="hi-IN"/>
              </w:rPr>
              <w:t>Conjunto de teste brasileiro</w:t>
            </w:r>
          </w:p>
        </w:tc>
        <w:tc>
          <w:tcPr>
            <w:tcW w:w="3001"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color w:val="000000"/>
                <w:kern w:val="0"/>
                <w:sz w:val="20"/>
                <w:szCs w:val="20"/>
                <w:lang w:val="pt-BR" w:eastAsia="zh-CN" w:bidi="hi-IN"/>
              </w:rPr>
              <w:t>Avaliação final dos modelos</w:t>
            </w:r>
          </w:p>
        </w:tc>
        <w:tc>
          <w:tcPr>
            <w:tcW w:w="3872"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color w:val="000000"/>
                <w:kern w:val="0"/>
                <w:sz w:val="20"/>
                <w:szCs w:val="20"/>
                <w:lang w:val="pt-BR" w:eastAsia="zh-CN" w:bidi="hi-IN"/>
              </w:rPr>
              <w:t>560 imagens: 280 positivas e 280 negativas</w:t>
            </w:r>
            <w:commentRangeEnd w:id="1"/>
            <w:r>
              <w:commentReference w:id="1"/>
            </w:r>
            <w:r>
              <w:rPr>
                <w:rFonts w:eastAsia="Noto Serif CJK SC" w:cs="Noto Sans Devanagari"/>
                <w:color w:val="000000"/>
                <w:kern w:val="0"/>
                <w:sz w:val="20"/>
                <w:szCs w:val="20"/>
                <w:lang w:val="pt-BR" w:eastAsia="zh-CN" w:bidi="hi-IN"/>
              </w:rPr>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normal1"/>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normal1"/>
        <w:rPr>
          <w:color w:val="000000"/>
          <w:lang w:val="pt-BR"/>
        </w:rPr>
      </w:pPr>
      <w:r>
        <w:rPr>
          <w:color w:val="000000"/>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normal1"/>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normal1"/>
        <w:rPr>
          <w:color w:val="000000"/>
          <w:lang w:val="pt-BR"/>
        </w:rPr>
      </w:pPr>
      <w:r>
        <w:rPr>
          <w:color w:val="000000"/>
          <w:lang w:val="pt-BR"/>
        </w:rPr>
        <w:t>A preparação dos dados compreendeu a unificação das bases, a padronização das classes, a deduplicação e a separação entre treino, validação e teste.</w:t>
      </w:r>
    </w:p>
    <w:p>
      <w:pPr>
        <w:pStyle w:val="normal1"/>
        <w:rPr>
          <w:color w:val="000000"/>
          <w:lang w:val="pt-BR"/>
        </w:rPr>
      </w:pPr>
      <w:r>
        <w:rPr>
          <w:color w:val="000000"/>
          <w:lang w:val="pt-BR"/>
        </w:rPr>
        <w:t>As imagens provenientes dos datasets TACO e Trash Detection foram utilizadas como fontes positivas, após padronização das anotações para a classe única “lixo”. As diferentes categorias originais dos datasets foram agregadas em uma única classe, pois o objetivo da pesquisa não foi classificar tipos específicos de resíduos, mas verificar a presença ou ausência de lixo visível em imagens urbanas.</w:t>
      </w:r>
    </w:p>
    <w:p>
      <w:pPr>
        <w:pStyle w:val="normal1"/>
        <w:rPr>
          <w:color w:val="000000"/>
          <w:lang w:val="pt-BR"/>
        </w:rPr>
      </w:pPr>
      <w:r>
        <w:rPr>
          <w:color w:val="000000"/>
          <w:lang w:val="pt-BR"/>
        </w:rPr>
        <w:t>As imagens do Sidewalk Segmentation foram utilizadas como exemplos negativos ou de background.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normal1"/>
        <w:rPr>
          <w:color w:val="000000"/>
          <w:lang w:val="pt-BR"/>
        </w:rPr>
      </w:pPr>
      <w:r>
        <w:rPr>
          <w:color w:val="000000"/>
          <w:lang w:val="pt-BR"/>
        </w:rPr>
        <w:t>A proporção de imagens negativas no conjunto de treinamento foi ajustada para aproximadamente 15%, dentro de uma faixa-alvo de 10% a 20% utilizada como referência interna para exemplos de background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background, o que corresponde a aproximadamente 15,6% de imagens negativas.</w:t>
      </w:r>
    </w:p>
    <w:p>
      <w:pPr>
        <w:pStyle w:val="normal1"/>
        <w:rPr>
          <w:color w:val="000000"/>
          <w:lang w:val="pt-BR"/>
        </w:rPr>
      </w:pPr>
      <w:r>
        <w:rPr>
          <w:color w:val="000000"/>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normal1"/>
        <w:rPr>
          <w:color w:val="000000"/>
          <w:lang w:val="pt-BR"/>
        </w:rPr>
      </w:pPr>
      <w:r>
        <w:rPr>
          <w:color w:val="000000"/>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normal1"/>
        <w:rPr>
          <w:color w:val="000000"/>
          <w:lang w:val="pt-BR"/>
        </w:rPr>
      </w:pPr>
      <w:r>
        <w:rPr>
          <w:color w:val="000000"/>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normal1"/>
        <w:rPr>
          <w:color w:val="000000"/>
          <w:lang w:val="pt-BR"/>
        </w:rPr>
      </w:pPr>
      <w:r>
        <w:rPr>
          <w:color w:val="000000"/>
          <w:lang w:val="pt-BR"/>
        </w:rPr>
        <w:t>O conjunto de treino e validação foi estruturado com divisão interna de aproximadamente 85% para treino e 15% para validação, resultando em 6.736 imagens no treinamento e 1.286 imagens na validação. O conjunto de validação incluiu 185 imagens de background, aproximadamente 14,4% da validação, permitindo que as métricas de validação refletissem também a ocorrência de falsos positivos.</w:t>
      </w:r>
    </w:p>
    <w:p>
      <w:pPr>
        <w:pStyle w:val="normal1"/>
        <w:rPr>
          <w:color w:val="000000"/>
          <w:lang w:val="pt-BR"/>
        </w:rPr>
      </w:pPr>
      <w:r>
        <w:rPr>
          <w:color w:val="000000"/>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color w:val="000000"/>
          <w:lang w:val="pt-BR"/>
        </w:rPr>
      </w:pPr>
      <w:r>
        <w:rPr>
          <w:rFonts w:eastAsia="Times New Roman" w:cs="Times New Roman"/>
          <w:color w:val="000000"/>
          <w:sz w:val="20"/>
          <w:szCs w:val="20"/>
          <w:lang w:val="pt-BR"/>
        </w:rPr>
        <w:t>Tabela 2 – Composição final dos conjuntos após preparação dos dados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50"/>
        <w:gridCol w:w="1450"/>
        <w:gridCol w:w="1448"/>
        <w:gridCol w:w="1701"/>
        <w:gridCol w:w="2923"/>
      </w:tblGrid>
      <w:tr>
        <w:trPr>
          <w:tblHeader w:val="true"/>
        </w:trPr>
        <w:tc>
          <w:tcPr>
            <w:tcW w:w="1550" w:type="dxa"/>
            <w:tcBorders/>
            <w:vAlign w:val="center"/>
          </w:tcPr>
          <w:p>
            <w:pPr>
              <w:pStyle w:val="normal1"/>
              <w:suppressAutoHyphens w:val="true"/>
              <w:spacing w:lineRule="auto" w:line="240" w:before="0" w:after="0"/>
              <w:ind w:hanging="0"/>
              <w:jc w:val="left"/>
              <w:rPr>
                <w:color w:val="000000"/>
                <w:lang w:val="pt-BR"/>
              </w:rPr>
            </w:pPr>
            <w:r>
              <w:rPr>
                <w:rFonts w:eastAsia="Noto Serif CJK SC" w:cs="Noto Sans Devanagari"/>
                <w:b/>
                <w:bCs/>
                <w:color w:val="000000"/>
                <w:kern w:val="0"/>
                <w:sz w:val="20"/>
                <w:szCs w:val="20"/>
                <w:lang w:val="pt-BR" w:eastAsia="zh-CN" w:bidi="hi-IN"/>
              </w:rPr>
              <w:t>Conjunto</w:t>
            </w:r>
          </w:p>
        </w:tc>
        <w:tc>
          <w:tcPr>
            <w:tcW w:w="1450"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b/>
                <w:bCs/>
                <w:color w:val="000000"/>
                <w:kern w:val="0"/>
                <w:sz w:val="20"/>
                <w:szCs w:val="20"/>
                <w:lang w:val="pt-BR" w:eastAsia="zh-CN" w:bidi="hi-IN"/>
              </w:rPr>
              <w:t>Total de imagens</w:t>
            </w:r>
          </w:p>
        </w:tc>
        <w:tc>
          <w:tcPr>
            <w:tcW w:w="1448"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b/>
                <w:bCs/>
                <w:color w:val="000000"/>
                <w:kern w:val="0"/>
                <w:sz w:val="20"/>
                <w:szCs w:val="20"/>
                <w:lang w:val="pt-BR" w:eastAsia="zh-CN" w:bidi="hi-IN"/>
              </w:rPr>
              <w:t>Imagens positivas</w:t>
            </w:r>
          </w:p>
        </w:tc>
        <w:tc>
          <w:tcPr>
            <w:tcW w:w="1701"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b/>
                <w:bCs/>
                <w:color w:val="000000"/>
                <w:kern w:val="0"/>
                <w:sz w:val="20"/>
                <w:szCs w:val="20"/>
                <w:lang w:val="pt-BR" w:eastAsia="zh-CN" w:bidi="hi-IN"/>
              </w:rPr>
              <w:t>Imagens negativas/background</w:t>
            </w:r>
          </w:p>
        </w:tc>
        <w:tc>
          <w:tcPr>
            <w:tcW w:w="2923" w:type="dxa"/>
            <w:tcBorders/>
            <w:vAlign w:val="center"/>
          </w:tcPr>
          <w:p>
            <w:pPr>
              <w:pStyle w:val="normal1"/>
              <w:suppressAutoHyphens w:val="true"/>
              <w:spacing w:lineRule="auto" w:line="240" w:before="0" w:after="0"/>
              <w:ind w:hanging="0"/>
              <w:jc w:val="center"/>
              <w:rPr>
                <w:color w:val="000000"/>
                <w:lang w:val="pt-BR"/>
              </w:rPr>
            </w:pPr>
            <w:r>
              <w:rPr>
                <w:rFonts w:eastAsia="Noto Serif CJK SC" w:cs="Noto Sans Devanagari"/>
                <w:b/>
                <w:bCs/>
                <w:color w:val="000000"/>
                <w:kern w:val="0"/>
                <w:sz w:val="20"/>
                <w:szCs w:val="20"/>
                <w:lang w:val="pt-BR" w:eastAsia="zh-CN" w:bidi="hi-IN"/>
              </w:rPr>
              <w:t>Observação</w:t>
            </w:r>
          </w:p>
        </w:tc>
      </w:tr>
      <w:tr>
        <w:trPr/>
        <w:tc>
          <w:tcPr>
            <w:tcW w:w="1550"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Treinamento</w:t>
            </w:r>
          </w:p>
        </w:tc>
        <w:tc>
          <w:tcPr>
            <w:tcW w:w="1450"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6.736</w:t>
            </w:r>
          </w:p>
        </w:tc>
        <w:tc>
          <w:tcPr>
            <w:tcW w:w="1448"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5.685</w:t>
            </w:r>
          </w:p>
        </w:tc>
        <w:tc>
          <w:tcPr>
            <w:tcW w:w="1701"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1.051</w:t>
            </w:r>
          </w:p>
        </w:tc>
        <w:tc>
          <w:tcPr>
            <w:tcW w:w="2923"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Background corresponde a aproximadamente 15,6% do treino</w:t>
            </w:r>
          </w:p>
        </w:tc>
      </w:tr>
      <w:tr>
        <w:trPr/>
        <w:tc>
          <w:tcPr>
            <w:tcW w:w="1550"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Validação</w:t>
            </w:r>
          </w:p>
        </w:tc>
        <w:tc>
          <w:tcPr>
            <w:tcW w:w="1450"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1.286</w:t>
            </w:r>
          </w:p>
        </w:tc>
        <w:tc>
          <w:tcPr>
            <w:tcW w:w="1448"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1.101</w:t>
            </w:r>
          </w:p>
        </w:tc>
        <w:tc>
          <w:tcPr>
            <w:tcW w:w="1701"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185</w:t>
            </w:r>
          </w:p>
        </w:tc>
        <w:tc>
          <w:tcPr>
            <w:tcW w:w="2923"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Validação com background, aproximadamente 14,4%</w:t>
            </w:r>
          </w:p>
        </w:tc>
      </w:tr>
      <w:tr>
        <w:trPr/>
        <w:tc>
          <w:tcPr>
            <w:tcW w:w="1550"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Teste brasileiro</w:t>
            </w:r>
          </w:p>
        </w:tc>
        <w:tc>
          <w:tcPr>
            <w:tcW w:w="1450"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560</w:t>
            </w:r>
          </w:p>
        </w:tc>
        <w:tc>
          <w:tcPr>
            <w:tcW w:w="1448"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280</w:t>
            </w:r>
          </w:p>
        </w:tc>
        <w:tc>
          <w:tcPr>
            <w:tcW w:w="1701"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280</w:t>
            </w:r>
          </w:p>
        </w:tc>
        <w:tc>
          <w:tcPr>
            <w:tcW w:w="2923" w:type="dxa"/>
            <w:tcBorders/>
            <w:vAlign w:val="center"/>
          </w:tcPr>
          <w:p>
            <w:pPr>
              <w:pStyle w:val="normal1"/>
              <w:suppressAutoHyphens w:val="true"/>
              <w:spacing w:lineRule="auto" w:line="240" w:before="0" w:after="0"/>
              <w:ind w:hanging="0"/>
              <w:rPr>
                <w:color w:val="000000"/>
                <w:lang w:val="pt-BR"/>
              </w:rPr>
            </w:pPr>
            <w:r>
              <w:rPr>
                <w:rFonts w:eastAsia="Noto Serif CJK SC" w:cs="Noto Sans Devanagari"/>
                <w:color w:val="000000"/>
                <w:kern w:val="0"/>
                <w:sz w:val="24"/>
                <w:szCs w:val="24"/>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normal1"/>
        <w:rPr>
          <w:lang w:val="pt-BR"/>
        </w:rPr>
      </w:pPr>
      <w:r>
        <w:rPr>
          <w:lang w:val="pt-BR"/>
        </w:rPr>
        <w:t>O modelo YOLOv11m foi treinado por fine-tuning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checkpoint com melhor desempenho (best.pt) para uso na inferência.</w:t>
      </w:r>
    </w:p>
    <w:p>
      <w:pPr>
        <w:pStyle w:val="normal1"/>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normal1"/>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normal1"/>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normal1"/>
        <w:rPr>
          <w:color w:val="EE0000"/>
          <w:lang w:val="pt-BR"/>
        </w:rPr>
      </w:pPr>
      <w:r>
        <w:rPr>
          <w:color w:val="EE0000"/>
          <w:lang w:val="pt-BR"/>
        </w:rPr>
        <w:t xml:space="preserve">O modelo Gemma 3 27B-IT foi utilizado em modo zero-shot, sem treinamento específico no conjunto de dados da pesquisa. A inferência ocorreu por meio do LM Studio, com envio das imagens ao modelo e solicitação de resposta estruturada indicando se havia ou não resíduos visíveis. Em razão das restrições de memória da GPU utilizada (32 GB de VRAM), o modelo foi executado em formato quantizado, na configuração </w:t>
      </w:r>
      <w:r>
        <w:rPr>
          <w:color w:val="EE0000"/>
          <w:highlight w:val="yellow"/>
          <w:lang w:val="pt-BR"/>
        </w:rPr>
        <w:t>[VERIFICAR NA QUAL EU USEI POR ÚLTIMO]</w:t>
      </w:r>
      <w:r>
        <w:rPr>
          <w:color w:val="EE0000"/>
          <w:lang w:val="pt-BR"/>
        </w:rPr>
        <w:t xml:space="preserve">. </w:t>
      </w:r>
      <w:commentRangeStart w:id="2"/>
      <w:r>
        <w:rPr>
          <w:color w:val="EE0000"/>
          <w:lang w:val="pt-BR"/>
        </w:rPr>
        <w:t xml:space="preserve">Registra-se que a quantização reduz a precisão numérica dos pesos em relação ao modelo </w:t>
      </w:r>
      <w:r>
        <w:rPr>
          <w:color w:val="EE0000"/>
          <w:lang w:val="pt-BR"/>
        </w:rPr>
      </w:r>
      <w:commentRangeEnd w:id="2"/>
      <w:r>
        <w:commentReference w:id="2"/>
      </w:r>
      <w:r>
        <w:rPr>
          <w:color w:val="EE0000"/>
          <w:lang w:val="pt-BR"/>
        </w:rPr>
        <w:t>em ponto flutuante pleno, de modo que os resultados reportados referem-se a essa configuração específica de execução, e não ao modelo em precisão integral. Essa informação é necessária à reprodutibilidade do experimento, uma vez que diferentes níveis de quantização podem afetar tanto o desempenho preditivo quanto a latência observada.</w:t>
      </w:r>
    </w:p>
    <w:p>
      <w:pPr>
        <w:pStyle w:val="normal1"/>
        <w:rPr>
          <w:lang w:val="pt-BR"/>
        </w:rPr>
      </w:pPr>
      <w:r>
        <w:rPr>
          <w:lang w:val="pt-BR"/>
        </w:rPr>
        <w:t>A inferência foi realizada com temperatura igual a 0 e seed igual a 42, de modo a reduzir variações nas respostas. A saída foi solicitada em formato JSON, permitindo extrair de forma objetiva a decisão binária do modelo sobre a presença ou ausência de lixo.</w:t>
      </w:r>
    </w:p>
    <w:p>
      <w:pPr>
        <w:pStyle w:val="normal1"/>
        <w:rPr>
          <w:lang w:val="pt-BR"/>
        </w:rPr>
      </w:pPr>
      <w:commentRangeStart w:id="3"/>
      <w:r>
        <w:rPr>
          <w:lang w:val="pt-BR"/>
        </w:rPr>
        <w:t>Para reduzir inconsistências operacionais, foi utilizado um prompt padronizado durante a inferência. O prompt foi formulado da seguinte forma: “Você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lixeiras/contêineres fechados em uso normal, veículos, pessoas, vegetação, mobiliário urbano em bom estado, pavimentação normal. Responda ESTRITAMENTE em JSON válido, sem markdown, sem texto fora do JSON: {“tem_lixo”: true, “descricao_breve”: “...”, “confianca”: 0.0}. Se não houver lixo visível, retorne tem_lixo: false.” A resposta estruturada foi extraída por meio de json_schema quando suportado pelo servidor, com fallback para parser robusto. Também foi adotado cache por imagem e controle por hash do prompt, de modo a evitar reprocessamentos desnecessários e garantir rastreabilidade. O hash SHA-256 do prompt foi registrado em cada predição em cache, assegurando que respostas reutilizadas correspondessem à mesma formulação da tarefa. A latência registrada para o Gemma 3 27B-IT incluiu o fluxo completo de requisição ao servidor local do LM Studio, abrangendo serialização da imagem em base64, transmissão pela interface HTTP OpenAI-compatível, inferência e interpretação da resposta JSON. Esse fluxo end-to-end difere da medição do YOLOv11m, que não envolve camada de servidor intermediária, aspecto que deve ser considerado na interpretação comparativa das latências.</w:t>
      </w:r>
      <w:commentRangeEnd w:id="3"/>
      <w:r>
        <w:commentReference w:id="3"/>
      </w:r>
      <w:r>
        <w:rPr>
          <w:lang w:val="pt-BR"/>
        </w:rPr>
      </w:r>
    </w:p>
    <w:p>
      <w:pPr>
        <w:pStyle w:val="normal1"/>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normal1"/>
        <w:rPr>
          <w:color w:val="000000"/>
          <w:lang w:val="pt-BR"/>
        </w:rPr>
      </w:pPr>
      <w:r>
        <w:rPr>
          <w:color w:val="000000"/>
          <w:lang w:val="pt-BR"/>
        </w:rPr>
        <w:t>A</w:t>
      </w:r>
      <w:commentRangeStart w:id="4"/>
      <w:r>
        <w:rPr>
          <w:color w:val="000000"/>
          <w:lang w:val="pt-BR"/>
        </w:rPr>
        <w:t xml:space="preserve"> avaliação foi realizada em nível de imagem, por meio de métricas binárias. Foram calculadas acurácia, precisão, recall, especificidade, F1-score, taxa de falsos positivos, matriz de confusão, tempo de inferência e throughp</w:t>
      </w:r>
      <w:r>
        <w:rPr>
          <w:color w:val="000000"/>
          <w:lang w:val="pt-BR"/>
        </w:rPr>
      </w:r>
      <w:commentRangeEnd w:id="4"/>
      <w:r>
        <w:commentReference w:id="4"/>
      </w:r>
      <w:r>
        <w:rPr>
          <w:color w:val="000000"/>
          <w:lang w:val="pt-BR"/>
        </w:rPr>
        <w:t>ut.</w:t>
      </w:r>
    </w:p>
    <w:p>
      <w:pPr>
        <w:pStyle w:val="normal1"/>
        <w:rPr>
          <w:lang w:val="pt-BR"/>
        </w:rPr>
      </w:pPr>
      <w:r>
        <w:rPr>
          <w:lang w:val="pt-BR"/>
        </w:rPr>
        <w:t>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observar o equilíbrio entre precisão e recall.</w:t>
      </w:r>
    </w:p>
    <w:p>
      <w:pPr>
        <w:pStyle w:val="normal1"/>
        <w:rPr>
          <w:lang w:val="pt-BR"/>
        </w:rPr>
      </w:pPr>
      <w:commentRangeStart w:id="5"/>
      <w:r>
        <w:rPr>
          <w:lang w:val="pt-BR"/>
        </w:rPr>
        <w:t>A taxa de falsos positivos foi especialmente relevante para a gestão pública, pois falsos alarmes podem gerar deslocamentos desnecessários, desperdício de recursos e perda de eficiência operacional. A taxa de falsos negativos também foi observada, pois falhas na identificação de resíduos podem impedir o registro de áreas que demandariam atenção do poder público.</w:t>
      </w:r>
      <w:commentRangeEnd w:id="5"/>
      <w:r>
        <w:commentReference w:id="5"/>
      </w:r>
      <w:r>
        <w:rPr>
          <w:lang w:val="pt-BR"/>
        </w:rPr>
      </w:r>
    </w:p>
    <w:p>
      <w:pPr>
        <w:pStyle w:val="normal1"/>
        <w:rPr>
          <w:lang w:val="pt-BR"/>
        </w:rPr>
      </w:pPr>
      <w:r>
        <w:rPr>
          <w:lang w:val="pt-BR"/>
        </w:rPr>
        <w:t xml:space="preserve">Além das métricas preditivas, foi avaliada a eficiência computacional dos modelos por meio do tempo de inferência e do throughput. </w:t>
      </w:r>
      <w:commentRangeStart w:id="6"/>
      <w:r>
        <w:rPr>
          <w:lang w:val="pt-BR"/>
        </w:rPr>
        <w:t>Essa escolha foi compatível com o objetivo geral da pesquisa, pois a viabilidade de uma solução tecnológica para a gestão pública depende não apenas de seu desempenho preditivo, mas também da capacidade operacional de processar imagens em tempo aceitável.</w:t>
      </w:r>
      <w:commentRangeEnd w:id="6"/>
      <w:r>
        <w:commentReference w:id="6"/>
      </w:r>
      <w:r>
        <w:rPr>
          <w:lang w:val="pt-BR"/>
        </w:rPr>
      </w:r>
    </w:p>
    <w:p>
      <w:pPr>
        <w:pStyle w:val="normal1"/>
        <w:rPr>
          <w:lang w:val="pt-BR"/>
        </w:rPr>
      </w:pPr>
      <w:r>
        <w:rPr>
          <w:lang w:val="pt-BR"/>
        </w:rPr>
        <w:t>Para a comparação de latência, adotou-se a medida end-to-end para ambos os modelos, de modo que o tempo registrado incluísse o fluxo completo de inferência em cada abordagem avaliada. Distingue-se, contudo, a latência por imagem do throughput agregado: a latência foi medida como o tempo médio de processamento de cada imagem isoladamente, ao passo que o throughput foi calculado a partir do tempo total de processamento do conjunto, dividido pelo número de imagens. Por essa razão, o throughput pode não corresponder exatamente ao inverso da latência média, uma vez que o processamento contínuo do lote aproveita melhor o paralelismo e a ocupação da GPU, reduzindo o custo marginal por imagem em relação à inferência individual. Essa diferença explica por que o throughput observado do YOLOv11m supera o valor que seria obtido pela simples inversão de sua latência média unitária.</w:t>
      </w:r>
    </w:p>
    <w:p>
      <w:pPr>
        <w:pStyle w:val="normal1"/>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lang w:val="pt-BR"/>
        </w:rPr>
      </w:pPr>
      <w:r>
        <w:rPr>
          <w:rFonts w:eastAsia="Times New Roman" w:cs="Times New Roman"/>
          <w:sz w:val="20"/>
          <w:szCs w:val="20"/>
          <w:lang w:val="pt-BR"/>
        </w:rPr>
        <w:t>Quadro 1 – Métricas e estatísticas utilizadas na avaliação</w:t>
      </w:r>
    </w:p>
    <w:tbl>
      <w:tblPr>
        <w:tblStyle w:val="TableNormal"/>
        <w:tblW w:w="9070"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5"/>
        <w:gridCol w:w="4534"/>
      </w:tblGrid>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Acurácia</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Medir a proporção geral de acertos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Precisão</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 confiabilidade dos alertas positivos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Recall/Sensibilidade</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Medir a capacidade de identificar imagens com resíduos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Especificidade</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F1-score</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Taxa de falsos positivos</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Matriz de confusão</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Tempo de inferência e throughput</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Intervalo de confiança de Wilson</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Teste de McNemar</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Kappa de Cohen e MCC</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normal1"/>
        <w:rPr>
          <w:lang w:val="pt-BR"/>
        </w:rPr>
      </w:pPr>
      <w:r>
        <w:rPr>
          <w:lang w:val="pt-BR"/>
        </w:rPr>
        <w:t>A comparação entre YOLOv11m e Gemma 3 27B-IT foi realizada a partir de um critério multidimensional de viabilidade, não limitado à acurácia. Esse critério incluiu desempenho preditivo, eficiência computacional, controle de falsos positivos, rastreabilidade visual, capacidade de generalização e possibilidade de uso operacional em rotinas administrativas.</w:t>
      </w:r>
    </w:p>
    <w:p>
      <w:pPr>
        <w:pStyle w:val="normal1"/>
        <w:rPr>
          <w:lang w:val="pt-BR"/>
        </w:rPr>
      </w:pPr>
      <w:r>
        <w:rPr>
          <w:lang w:val="pt-BR"/>
        </w:rPr>
        <w:t>O desempenho preditivo foi avaliado pelas métricas binárias de classificação. A eficiência computacional foi analisada pelo tempo de inferência e pelo throughput. Com isso, buscou-se verificar qual abordagem apresentava maior potencial para apoiar a gestão pública no monitoramento automatizado de resíduos urbanos em vias públicas.</w:t>
      </w:r>
    </w:p>
    <w:p>
      <w:pPr>
        <w:pStyle w:val="normal1"/>
        <w:rPr>
          <w:lang w:val="pt-BR"/>
        </w:rPr>
      </w:pPr>
      <w:r>
        <w:rPr>
          <w:lang w:val="pt-BR"/>
        </w:rPr>
        <w:t xml:space="preserve">Dessa forma, o modelo considerado mais viável não foi necessariamente aquele que apresentou apenas maior acurácia, mas aquele que demonstrou melhor equilíbrio entre desempenho, velocidade, controle de erros, rastreabilidade, generalização e adequação ao uso operacional. </w:t>
      </w:r>
      <w:commentRangeStart w:id="7"/>
      <w:r>
        <w:rPr>
          <w:lang w:val="pt-BR"/>
        </w:rPr>
        <w:t>Essa interpretação é coerente com o foco administrativo da pesquisa, no qual a tecnologia deve ser avaliada como instrumento de apoio à decisão pública, e não apenas como solução técnica isolada.</w:t>
      </w:r>
      <w:commentRangeEnd w:id="7"/>
      <w:r>
        <w:commentReference w:id="7"/>
      </w:r>
      <w:r>
        <w:rPr>
          <w:lang w:val="pt-BR"/>
        </w:rPr>
      </w:r>
    </w:p>
    <w:p>
      <w:pPr>
        <w:pStyle w:val="normal1"/>
        <w:rPr>
          <w:lang w:val="pt-BR"/>
        </w:rPr>
      </w:pPr>
      <w:r>
        <w:rPr>
          <w:lang w:val="pt-BR"/>
        </w:rPr>
        <w:t>A análise de viabilidade também considerou a finalidade administrativa do uso. Desse modo, admitiu-se que um modelo poderia ser mais adequado para monitoramento em tempo real e alto volume, enquanto outro poderia ser mais adequado para análise pontual, auditoria, confirmação de denúncias ou avaliação de imagens previamente selecionadas.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normal1"/>
        <w:rPr>
          <w:lang w:val="pt-BR"/>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normal1"/>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normal1"/>
        <w:rPr>
          <w:lang w:val="pt-BR"/>
        </w:rPr>
      </w:pPr>
      <w:r>
        <w:rPr>
          <w:lang w:val="pt-BR"/>
        </w:rPr>
        <w:t>Em terceiro lugar, o Gemma 3 27B-IT foi utilizado em modo zero-shot, sem ajuste específico ao domínio de resíduos urbanos. Assim, seu desempenho pode refletir tanto sua capacidade generalista quanto suas limitações diante de uma tarefa específica.</w:t>
      </w:r>
    </w:p>
    <w:p>
      <w:pPr>
        <w:pStyle w:val="normal1"/>
        <w:rPr>
          <w:lang w:val="pt-BR"/>
        </w:rPr>
      </w:pPr>
      <w:r>
        <w:rPr>
          <w:lang w:val="pt-BR"/>
        </w:rP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Assim, a composição do treinamento deve ser interpretada como uma decisão metodológica que envolve trade-off entre reduzir alarmes indevidos e evitar omissões de cenas com resíduos.</w:t>
      </w:r>
    </w:p>
    <w:p>
      <w:pPr>
        <w:pStyle w:val="normal1"/>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normal1"/>
        <w:rPr>
          <w:lang w:val="pt-BR"/>
        </w:rPr>
      </w:pPr>
      <w:r>
        <w:rPr>
          <w:lang w:val="pt-BR"/>
        </w:rPr>
        <w:t>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ground truth.</w:t>
      </w:r>
    </w:p>
    <w:p>
      <w:pPr>
        <w:pStyle w:val="normal1"/>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normal1"/>
        <w:rPr>
          <w:lang w:val="pt-BR"/>
        </w:rPr>
      </w:pPr>
      <w:r>
        <w:rPr>
          <w:lang w:val="pt-BR"/>
        </w:rP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fine-tuning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pPr>
        <w:pStyle w:val="normal1"/>
        <w:rPr>
          <w:lang w:val="pt-BR"/>
        </w:rPr>
      </w:pPr>
      <w:r>
        <w:rPr>
          <w:lang w:val="pt-BR"/>
        </w:rPr>
        <w:t>A questão operacional do experimento consistiu em verificar se, dada uma imagem real de via pública brasileira, o modelo seria capaz de indicar corretamente a presença ou ausência de resíduos visíveis. A</w:t>
      </w:r>
      <w:commentRangeStart w:id="8"/>
      <w:r>
        <w:rPr>
          <w:lang w:val="pt-BR"/>
        </w:rPr>
        <w:t>ssim, a avaliação foi estruturada como uma tarefa binária em nível de imagem, coerente com o objetivo administrativo da pesquisa: identificar se determinada cena urbana demanda ou não atenção do poder público para fins de monitoramento, fiscalização ou planejamento da limpeza urbana.</w:t>
      </w:r>
      <w:commentRangeEnd w:id="8"/>
      <w:r>
        <w:commentReference w:id="8"/>
      </w:r>
      <w:r>
        <w:rPr>
          <w:lang w:val="pt-BR"/>
        </w:rPr>
      </w:r>
    </w:p>
    <w:p>
      <w:pPr>
        <w:pStyle w:val="normal1"/>
        <w:rPr>
          <w:lang w:val="pt-BR"/>
        </w:rPr>
      </w:pPr>
      <w:r>
        <w:rPr>
          <w:lang w:val="pt-BR"/>
        </w:rP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normal1"/>
        <w:rPr>
          <w:lang w:val="pt-BR"/>
        </w:rPr>
      </w:pPr>
      <w:r>
        <w:rPr>
          <w:lang w:val="pt-BR"/>
        </w:rPr>
        <w:t>O experimento foi executado utilizando uma GPU NVIDIA GeForce RTX 5090, com 32 GB de VRAM GDDR7, CUDA 12.8 e arquitetura Blackwell. O YOLOv11m foi avaliado como detector especializado, treinado por fine-tuning para a classe única “lixo”, com limiar de confiança fixado em 0,25. O Gemma 3 27B-IT foi avaliado como modelo visão-linguagem em modo zero-shot, via LM Studio, com temperatura igual a 0, seed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normal1"/>
        <w:rPr>
          <w:lang w:val="pt-BR"/>
        </w:rPr>
      </w:pPr>
      <w:r>
        <w:rPr>
          <w:lang w:val="pt-BR"/>
        </w:rPr>
        <w:t>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throughput.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normal1"/>
        <w:spacing w:before="240" w:after="120"/>
        <w:jc w:val="left"/>
        <w:rPr>
          <w:color w:val="000000"/>
          <w:lang w:val="pt-BR"/>
        </w:rPr>
      </w:pPr>
      <w:r>
        <w:rPr>
          <w:color w:val="000000"/>
          <w:lang w:val="pt-BR"/>
        </w:rP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pPr>
        <w:pStyle w:val="normal1"/>
        <w:spacing w:lineRule="auto" w:line="240"/>
        <w:ind w:hanging="0"/>
        <w:jc w:val="center"/>
        <w:rPr>
          <w:lang w:val="pt-BR"/>
        </w:rPr>
      </w:pPr>
      <w:r>
        <w:rPr>
          <w:rFonts w:eastAsia="Times New Roman" w:cs="Times New Roman"/>
          <w:sz w:val="20"/>
          <w:szCs w:val="20"/>
          <w:lang w:val="pt-BR"/>
        </w:rPr>
        <w:t>Tabela 3 – Composição dos conjuntos utilizados no experimento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Total de imagens</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Imagens positivas</w:t>
            </w:r>
          </w:p>
        </w:tc>
        <w:tc>
          <w:tcPr>
            <w:tcW w:w="2267"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Imagens negativas/background</w:t>
            </w:r>
          </w:p>
        </w:tc>
      </w:tr>
      <w:tr>
        <w:trPr/>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Treino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6.736</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5.685</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1.051</w:t>
            </w:r>
          </w:p>
        </w:tc>
      </w:tr>
      <w:tr>
        <w:trPr/>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Validação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1.286</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1.101</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185</w:t>
            </w:r>
          </w:p>
        </w:tc>
      </w:tr>
      <w:tr>
        <w:trPr/>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Teste</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560</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280</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before="60" w:after="120"/>
        <w:jc w:val="both"/>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 bounding boxes por imagem positiva</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rPr>
          <w:lang w:val="pt-BR"/>
        </w:rPr>
      </w:pPr>
      <w:r>
        <w:rPr>
          <w:lang w:val="pt-BR"/>
        </w:rPr>
        <w:t>A proporção de imagens negativas no treinamento do YOLOv11m foi mantida em aproximadamente 15%. O conjunto final de treino apresentou 15,6% de imagens de background, proporção compatível com a decisão metodológica de fortalecer a exposição do modelo a cenas urbanas limpas e reduzir falsos positivos.</w:t>
      </w:r>
    </w:p>
    <w:p>
      <w:pPr>
        <w:pStyle w:val="normal1"/>
        <w:rPr>
          <w:lang w:val="pt-BR"/>
        </w:rPr>
      </w:pPr>
      <w:r>
        <w:rPr>
          <w:lang w:val="pt-BR"/>
        </w:rP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pPr>
        <w:pStyle w:val="normal1"/>
        <w:spacing w:before="0" w:after="120"/>
        <w:jc w:val="left"/>
        <w:rPr>
          <w:b/>
          <w:bCs/>
        </w:rPr>
      </w:pPr>
      <w:r>
        <w:rPr>
          <w:b/>
          <w:bCs/>
          <w:color w:val="000000"/>
          <w:lang w:val="pt-BR"/>
        </w:rPr>
        <w:t>4.3 Desempenho preditivo dos modelos</w:t>
      </w:r>
    </w:p>
    <w:p>
      <w:pPr>
        <w:pStyle w:val="normal1"/>
        <w:rPr>
          <w:color w:val="000000"/>
          <w:lang w:val="pt-BR"/>
        </w:rPr>
      </w:pPr>
      <w:r>
        <w:rPr>
          <w:color w:val="000000"/>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lang w:val="pt-BR"/>
        </w:rPr>
      </w:pPr>
      <w:r>
        <w:rPr>
          <w:rFonts w:eastAsia="Times New Roman" w:cs="Times New Roman"/>
          <w:sz w:val="20"/>
          <w:szCs w:val="20"/>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lang w:val="pt-BR"/>
              </w:rPr>
            </w:pPr>
            <w:r>
              <w:rPr>
                <w:rFonts w:eastAsia="Noto Serif CJK SC" w:cs="Noto Sans Devanagari"/>
                <w:kern w:val="0"/>
                <w:sz w:val="24"/>
                <w:szCs w:val="24"/>
                <w:lang w:val="pt-BR" w:eastAsia="zh-CN" w:bidi="hi-IN"/>
              </w:rPr>
              <w:t>Acurácia</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0,7071</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0,9179</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+0,2108</w:t>
            </w:r>
          </w:p>
        </w:tc>
      </w:tr>
      <w:tr>
        <w:trPr/>
        <w:tc>
          <w:tcPr>
            <w:tcW w:w="2268" w:type="dxa"/>
            <w:tcBorders/>
            <w:vAlign w:val="center"/>
          </w:tcPr>
          <w:p>
            <w:pPr>
              <w:pStyle w:val="normal1"/>
              <w:suppressAutoHyphens w:val="true"/>
              <w:spacing w:before="0" w:after="0"/>
              <w:ind w:hanging="0"/>
              <w:jc w:val="center"/>
              <w:rPr>
                <w:lang w:val="pt-BR"/>
              </w:rPr>
            </w:pPr>
            <w:r>
              <w:rPr>
                <w:rFonts w:eastAsia="Noto Serif CJK SC" w:cs="Noto Sans Devanagari"/>
                <w:kern w:val="0"/>
                <w:sz w:val="24"/>
                <w:szCs w:val="24"/>
                <w:lang w:val="pt-BR" w:eastAsia="zh-CN" w:bidi="hi-IN"/>
              </w:rPr>
              <w:t>Precisão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0,7117</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0,8611</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+0,1494</w:t>
            </w:r>
          </w:p>
        </w:tc>
      </w:tr>
      <w:tr>
        <w:trPr/>
        <w:tc>
          <w:tcPr>
            <w:tcW w:w="2268" w:type="dxa"/>
            <w:tcBorders/>
            <w:vAlign w:val="center"/>
          </w:tcPr>
          <w:p>
            <w:pPr>
              <w:pStyle w:val="normal1"/>
              <w:suppressAutoHyphens w:val="true"/>
              <w:spacing w:before="0" w:after="0"/>
              <w:ind w:hanging="0"/>
              <w:jc w:val="center"/>
              <w:rPr>
                <w:lang w:val="pt-BR"/>
              </w:rPr>
            </w:pPr>
            <w:r>
              <w:rPr>
                <w:rFonts w:eastAsia="Noto Serif CJK SC" w:cs="Noto Sans Devanagari"/>
                <w:kern w:val="0"/>
                <w:sz w:val="24"/>
                <w:szCs w:val="24"/>
                <w:lang w:val="pt-BR" w:eastAsia="zh-CN" w:bidi="hi-IN"/>
              </w:rPr>
              <w:t>Recall</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0,6964</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0,9964</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+0,3000</w:t>
            </w:r>
          </w:p>
        </w:tc>
      </w:tr>
      <w:tr>
        <w:trPr/>
        <w:tc>
          <w:tcPr>
            <w:tcW w:w="2268" w:type="dxa"/>
            <w:tcBorders/>
            <w:vAlign w:val="center"/>
          </w:tcPr>
          <w:p>
            <w:pPr>
              <w:pStyle w:val="normal1"/>
              <w:suppressAutoHyphens w:val="true"/>
              <w:spacing w:before="0" w:after="0"/>
              <w:ind w:hanging="0"/>
              <w:jc w:val="center"/>
              <w:rPr>
                <w:lang w:val="pt-BR"/>
              </w:rPr>
            </w:pPr>
            <w:r>
              <w:rPr>
                <w:rFonts w:eastAsia="Noto Serif CJK SC" w:cs="Noto Sans Devanagari"/>
                <w:kern w:val="0"/>
                <w:sz w:val="24"/>
                <w:szCs w:val="24"/>
                <w:lang w:val="pt-BR" w:eastAsia="zh-CN" w:bidi="hi-IN"/>
              </w:rPr>
              <w:t>Especificidade</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0,7179</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0,8393</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+0,1214</w:t>
            </w:r>
          </w:p>
        </w:tc>
      </w:tr>
      <w:tr>
        <w:trPr/>
        <w:tc>
          <w:tcPr>
            <w:tcW w:w="2268" w:type="dxa"/>
            <w:tcBorders/>
            <w:vAlign w:val="center"/>
          </w:tcPr>
          <w:p>
            <w:pPr>
              <w:pStyle w:val="normal1"/>
              <w:suppressAutoHyphens w:val="true"/>
              <w:spacing w:before="0" w:after="0"/>
              <w:ind w:hanging="0"/>
              <w:jc w:val="center"/>
              <w:rPr>
                <w:lang w:val="pt-BR"/>
              </w:rPr>
            </w:pPr>
            <w:r>
              <w:rPr>
                <w:rFonts w:eastAsia="Noto Serif CJK SC" w:cs="Noto Sans Devanagari"/>
                <w:kern w:val="0"/>
                <w:sz w:val="24"/>
                <w:szCs w:val="24"/>
                <w:lang w:val="pt-BR" w:eastAsia="zh-CN" w:bidi="hi-IN"/>
              </w:rPr>
              <w:t>F1-score</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0,7040</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0,9238</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+0,2198</w:t>
            </w:r>
          </w:p>
        </w:tc>
      </w:tr>
      <w:tr>
        <w:trPr/>
        <w:tc>
          <w:tcPr>
            <w:tcW w:w="2268" w:type="dxa"/>
            <w:tcBorders/>
            <w:vAlign w:val="center"/>
          </w:tcPr>
          <w:p>
            <w:pPr>
              <w:pStyle w:val="normal1"/>
              <w:suppressAutoHyphens w:val="true"/>
              <w:spacing w:before="0" w:after="0"/>
              <w:ind w:hanging="0"/>
              <w:jc w:val="center"/>
              <w:rPr>
                <w:lang w:val="pt-BR"/>
              </w:rPr>
            </w:pPr>
            <w:r>
              <w:rPr>
                <w:rFonts w:eastAsia="Noto Serif CJK SC" w:cs="Noto Sans Devanagari"/>
                <w:kern w:val="0"/>
                <w:sz w:val="24"/>
                <w:szCs w:val="24"/>
                <w:lang w:val="pt-BR" w:eastAsia="zh-CN" w:bidi="hi-IN"/>
              </w:rPr>
              <w:t>Taxa de FP</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0,2821</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0,1607</w:t>
            </w:r>
          </w:p>
        </w:tc>
        <w:tc>
          <w:tcPr>
            <w:tcW w:w="2267"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before="60" w:after="120"/>
        <w:jc w:val="left"/>
        <w:rPr>
          <w:lang w:val="pt-BR"/>
        </w:rPr>
      </w:pPr>
      <w:r>
        <w:rPr>
          <w:lang w:val="pt-BR"/>
        </w:rP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normal1"/>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lang w:val="pt-BR"/>
        </w:rPr>
      </w:pPr>
      <w:r>
        <w:rPr>
          <w:rFonts w:eastAsia="Times New Roman" w:cs="Times New Roman"/>
          <w:sz w:val="20"/>
          <w:szCs w:val="20"/>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VN = 201</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FP = 79</w:t>
            </w:r>
          </w:p>
        </w:tc>
      </w:tr>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FN = 85</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center"/>
        <w:rPr>
          <w:lang w:val="pt-BR"/>
        </w:rPr>
      </w:pPr>
      <w:r>
        <w:rPr>
          <w:rFonts w:eastAsia="Times New Roman" w:cs="Times New Roman"/>
          <w:sz w:val="20"/>
          <w:szCs w:val="20"/>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commentRangeStart w:id="9"/>
      <w:r>
        <w:rPr>
          <w:lang w:val="pt-BR"/>
        </w:rPr>
        <w:t>Cabe destacar um aspecto relevante do comportamento do YOLOv11m. O aumento da proporção de imagens de background no treinamento, fixada em aproximadamente 15%, reduziu a taxa de falsos positivos do detector e elevou sua especificidade. Em contrapartida, tornou o modelo mais conservador, com queda na sensibilidade: o detector passou a sinalizar a presença de resíduos com maior critério, reduzindo alarmes falsos, mas deixando de identificar um número maior de cenas efetivamente com resíduos. Esse comportamento evidencia um trade-off central para a aplicação em gestão pública: a escolha entre minimizar deslocamentos desnecessários de equipes, priorizando especificidade, ou minimizar a omissão de pontos de descarte irregular, priorizando sensibilidade. A análise de sensibilidade ao limiar de confiança reforça esse ponto: em limiares mais altos, o YOLOv11m atinge especificidade superior a 0,88 e taxa de falsos positivos inferior a 0,12, porém com recall reduzido a cerca de 0,43. A Tabela 7 apresenta a análise de sensibilidade ao limiar de confiança para o YOLOv11m nos quatro pontos avaliados. A definição do ponto de operação adequado, portanto, não é apenas uma decisão técnica, mas uma decisão administrativa que depende do custo relativo atribuído a cada tipo de erro pela gestão municipal.</w:t>
      </w:r>
      <w:commentRangeEnd w:id="9"/>
      <w:r>
        <w:commentReference w:id="9"/>
      </w:r>
      <w:r>
        <w:rPr>
          <w:lang w:val="pt-BR"/>
        </w:rPr>
      </w:r>
    </w:p>
    <w:p>
      <w:pPr>
        <w:pStyle w:val="normal1"/>
        <w:spacing w:lineRule="auto" w:line="240"/>
        <w:ind w:hanging="0"/>
        <w:jc w:val="center"/>
        <w:rPr>
          <w:lang w:val="pt-BR"/>
        </w:rPr>
      </w:pPr>
      <w:r>
        <w:rPr>
          <w:rFonts w:eastAsia="Times New Roman" w:cs="Times New Roman"/>
          <w:sz w:val="20"/>
          <w:szCs w:val="20"/>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300"/>
        <w:gridCol w:w="1303"/>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Precisão</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Recall</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b/>
                <w:bCs/>
                <w:kern w:val="0"/>
                <w:sz w:val="24"/>
                <w:szCs w:val="24"/>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0,7117</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0,6964</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0,7617</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0,6464</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0,8182</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0,5464</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0,8737</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0,4286</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Métrica</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 – IC 95%</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 – IC 95%</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Acurácia</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0,7071 [0,668 – 0,743]</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0,9179 [0,892 – 0,938]</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Precisão</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0,7117 [0,655 – 0,762]</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0,8611 [0,819 – 0,895]</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Recall/Sensibilidade</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0,6964 [0,640 – 0,747]</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0,9964 [0,980 – 0,999]</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Especificidade</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0,7179 [0,663 – 0,767]</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0,8393 [0,792 – 0,878]</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Taxa de falsos positivos</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0,2821 [0,233 – 0,338]</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rPr>
          <w:lang w:val="pt-BR"/>
        </w:rPr>
      </w:pPr>
      <w:r>
        <w:rPr>
          <w:rFonts w:eastAsia="Cardo" w:cs="Cardo" w:ascii="Cardo" w:hAnsi="Cardo"/>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normal1"/>
        <w:rPr>
          <w:lang w:val="pt-BR"/>
        </w:rPr>
      </w:pPr>
      <w:r>
        <w:rPr>
          <w:lang w:val="pt-BR"/>
        </w:rPr>
        <w:t>Foram também calculados o kappa de Cohen e o coeficiente de correlação de Matthews. O kappa do YOLOv11m em relação ao ground truth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lineRule="auto" w:line="240" w:before="0" w:after="0"/>
              <w:ind w:hanging="0"/>
              <w:jc w:val="left"/>
              <w:rPr>
                <w:sz w:val="20"/>
                <w:szCs w:val="20"/>
                <w:lang w:val="pt-BR"/>
              </w:rPr>
            </w:pPr>
            <w:r>
              <w:rPr>
                <w:rFonts w:eastAsia="Noto Serif CJK SC" w:cs="Noto Sans Devanagari"/>
                <w:kern w:val="0"/>
                <w:sz w:val="20"/>
                <w:szCs w:val="20"/>
                <w:lang w:val="pt-BR" w:eastAsia="zh-CN" w:bidi="hi-IN"/>
              </w:rPr>
              <w:t>Kappa de Cohen vs. ground</w:t>
            </w:r>
          </w:p>
          <w:p>
            <w:pPr>
              <w:pStyle w:val="normal1"/>
              <w:suppressAutoHyphens w:val="true"/>
              <w:spacing w:lineRule="auto" w:line="240" w:before="0" w:after="0"/>
              <w:jc w:val="left"/>
              <w:rPr>
                <w:sz w:val="20"/>
                <w:szCs w:val="20"/>
                <w:lang w:val="pt-BR"/>
              </w:rPr>
            </w:pPr>
            <w:r>
              <w:rPr>
                <w:rFonts w:eastAsia="Noto Serif CJK SC" w:cs="Noto Sans Devanagari"/>
                <w:kern w:val="0"/>
                <w:sz w:val="20"/>
                <w:szCs w:val="20"/>
                <w:lang w:val="pt-BR" w:eastAsia="zh-CN" w:bidi="hi-IN"/>
              </w:rPr>
              <w:t>truth</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0,414</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0,836</w:t>
            </w:r>
          </w:p>
        </w:tc>
      </w:tr>
      <w:tr>
        <w:trPr/>
        <w:tc>
          <w:tcPr>
            <w:tcW w:w="3024" w:type="dxa"/>
            <w:tcBorders/>
            <w:vAlign w:val="center"/>
          </w:tcPr>
          <w:p>
            <w:pPr>
              <w:pStyle w:val="normal1"/>
              <w:suppressAutoHyphens w:val="true"/>
              <w:spacing w:lineRule="auto" w:line="240" w:before="0" w:after="0"/>
              <w:ind w:hanging="0"/>
              <w:jc w:val="left"/>
              <w:rPr>
                <w:sz w:val="20"/>
                <w:szCs w:val="20"/>
                <w:lang w:val="pt-BR"/>
              </w:rPr>
            </w:pPr>
            <w:r>
              <w:rPr>
                <w:rFonts w:eastAsia="Noto Serif CJK SC" w:cs="Noto Sans Devanagari"/>
                <w:kern w:val="0"/>
                <w:sz w:val="20"/>
                <w:szCs w:val="20"/>
                <w:lang w:val="pt-BR" w:eastAsia="zh-CN" w:bidi="hi-IN"/>
              </w:rPr>
              <w:t>Coeficiente de correlação de</w:t>
            </w:r>
          </w:p>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Matthews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0,414</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0,846</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 balanceada</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0,707</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0,918</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Índice J de Youden</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0,414</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normal1"/>
        <w:rPr>
          <w:lang w:val="pt-BR"/>
        </w:rPr>
      </w:pPr>
      <w:r>
        <w:rPr>
          <w:lang w:val="pt-BR"/>
        </w:rPr>
        <w:t>Apesar do melhor desempenho preditivo do Gemma 3 27B-IT nas condições experimentais avaliadas, a análise de eficiência computacional revelou vantagem expressiva do YOLOv11m. O detector especializado apresentou latência média end-to-end de 8,4 milissegundos por imagem, enquanto o Gemma 3 27B-IT apresentou latência média de 1.191,9 milissegundos. Em termos de throughput, o YOLOv11m alcançou 135,2 imagens por segundo, enquanto o Gemma 3 27B-IT processou aproximadamente 0,839 imagem por segundo.</w:t>
      </w:r>
    </w:p>
    <w:p>
      <w:pPr>
        <w:pStyle w:val="normal1"/>
        <w:spacing w:lineRule="auto" w:line="240" w:before="0" w:after="60"/>
        <w:jc w:val="left"/>
        <w:rPr>
          <w:lang w:val="pt-BR"/>
        </w:rPr>
      </w:pPr>
      <w:r>
        <w:rPr>
          <w:lang w:val="pt-BR"/>
        </w:rPr>
      </w:r>
    </w:p>
    <w:p>
      <w:pPr>
        <w:pStyle w:val="normal1"/>
        <w:spacing w:lineRule="auto" w:line="240" w:before="0" w:after="60"/>
        <w:jc w:val="left"/>
        <w:rPr>
          <w:lang w:val="pt-BR"/>
        </w:rPr>
      </w:pPr>
      <w:r>
        <w:rPr>
          <w:lang w:val="pt-BR"/>
        </w:rPr>
      </w:r>
    </w:p>
    <w:p>
      <w:pPr>
        <w:pStyle w:val="normal1"/>
        <w:spacing w:lineRule="auto" w:line="240"/>
        <w:ind w:hanging="0"/>
        <w:jc w:val="center"/>
        <w:rPr>
          <w:lang w:val="pt-BR"/>
        </w:rPr>
      </w:pPr>
      <w:r>
        <w:rPr>
          <w:rFonts w:eastAsia="Times New Roman" w:cs="Times New Roman"/>
          <w:sz w:val="20"/>
          <w:szCs w:val="20"/>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Latência média end-to-end</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8,4 ms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1.191,9 ms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Latência mediana P50</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8,4 ms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1.172,2 ms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Latência P95</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9,3 ms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1.346,9 ms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Throughput</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135,2 img/s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0,839 img/s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Fator de velocidade</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141 vezes mais rápido</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referência</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pPr>
        <w:pStyle w:val="normal1"/>
        <w:rPr>
          <w:lang w:val="pt-BR"/>
        </w:rPr>
      </w:pPr>
      <w:r>
        <w:rPr>
          <w:lang w:val="pt-BR"/>
        </w:rP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pPr>
        <w:pStyle w:val="normal1"/>
        <w:rPr>
          <w:lang w:val="pt-BR"/>
        </w:rPr>
      </w:pPr>
      <w:r>
        <w:rPr>
          <w:lang w:val="pt-B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(Redmon et al., 2016). Estudos sobre detecção de resíduos também destacam o potencial da família YOLO em aplicações que exigem bom desempenho, tempo de processamento reduzido e menor consumo de memória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normal1"/>
        <w:rPr>
          <w:lang w:val="pt-BR"/>
        </w:rPr>
      </w:pPr>
      <w:r>
        <w:rPr>
          <w:lang w:val="pt-BR"/>
        </w:rP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pPr>
        <w:pStyle w:val="normal1"/>
        <w:rPr>
          <w:lang w:val="pt-BR"/>
        </w:rPr>
      </w:pPr>
      <w:r>
        <w:rPr>
          <w:lang w:val="pt-BR"/>
        </w:rPr>
        <w:t>Os resultados permitem afirmar que essa hipótese foi parcialmente corroborada. A primeira parte da hipótese foi confirmada: o YOLOv11m foi significativamente mais rápido que o Gemma 3 27B-IT. A diferença de latência e throughput confirma a vantagem operacional do detector especializado quando o critério principal é processamento em escala ou tempo real.</w:t>
      </w:r>
    </w:p>
    <w:p>
      <w:pPr>
        <w:pStyle w:val="normal1"/>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normal1"/>
        <w:rPr>
          <w:lang w:val="pt-BR"/>
        </w:rPr>
      </w:pPr>
      <w:commentRangeStart w:id="10"/>
      <w:r>
        <w:rPr>
          <w:lang w:val="pt-BR"/>
        </w:rPr>
        <w:t>A refutação parcial da hipótese é compatível com o método hipotético-dedutivo, pois a hipótese foi submetida ao teste empírico e avaliada à luz dos resultados observados. Nesse desenho, a hipótese pode ser confirmada, refutada ou parcialmente confirmada, conforme sua aderência aos dados.</w:t>
      </w:r>
      <w:r>
        <w:rPr>
          <w:lang w:val="pt-BR"/>
        </w:rPr>
      </w:r>
      <w:commentRangeEnd w:id="10"/>
      <w:r>
        <w:commentReference w:id="10"/>
      </w:r>
      <w:r>
        <w:rPr>
          <w:lang w:val="pt-BR"/>
        </w:rPr>
        <w:t xml:space="preserve"> No presente estudo, a suposição inicial de maior controle de falsos positivos por parte do modelo especializado não se sustentou nas condições experimentais adotadas.</w:t>
      </w:r>
    </w:p>
    <w:p>
      <w:pPr>
        <w:pStyle w:val="normal1"/>
        <w:rPr>
          <w:lang w:val="pt-BR"/>
        </w:rPr>
      </w:pPr>
      <w:r>
        <w:rPr>
          <w:lang w:val="pt-BR"/>
        </w:rP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normal1"/>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lang w:val="pt-BR"/>
        </w:rPr>
      </w:pPr>
      <w:r>
        <w:rPr>
          <w:rFonts w:eastAsia="Times New Roman" w:cs="Times New Roman"/>
          <w:sz w:val="20"/>
          <w:szCs w:val="20"/>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Classificação conjunta</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N</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Ambos corretos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363</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64,8%</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Apenas Gemma 3 27B-IT correto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151</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27,0%</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Apenas YOLOv11m correto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33</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5,9%</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Ambos incorretos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13</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rPr>
          <w:lang w:val="pt-BR"/>
        </w:rPr>
      </w:pPr>
      <w:commentRangeStart w:id="11"/>
      <w:r>
        <w:rPr>
          <w:lang w:val="pt-BR"/>
        </w:rPr>
        <w:t xml:space="preserve">A inspeção visual dos erros dos dois modelos permitiu caracterizar de forma mais precisa essa diferença de comportamento. Os dois modelos não apenas erraram em casos distintos, mas erraram por motivos qualitativamente diferentes. O Gemma 3 27B-IT tendeu a errar por excesso de interpretação contextual: em diversas situações, sinalizou a presença de resíduos em cenas efetivamente limpas, influenciado por elementos como vegetação, ambientes não pavimentados ou objetos legítimos do cotidiano urbano. Seus erros aproximam-se, portanto, de uma sobre-sinalização, na qual o modelo infere desordem a partir do contexto visual. O YOLOv11m, ao contrário, tendeu a errar por falha de reconhecimento: deixou de identificar resíduos mesmo quando estavam claramente visíveis, em decorrência da lacuna de domínio entre as imagens de treinamento e as imagens reais de teste. Seus erros aproximam-se de uma sub-detecção, na qual o modelo não reconhece o resíduo presente. Essa distinção tem implicações administrativas diretas: enquanto os erros do modelo visão-linguagem tendem a gerar alarmes indevidos, passíveis de filtragem por verificação posterior, os erros do detector especializado tendem a gerar omissões, isto é, focos de descarte irregular que permanecem invisíveis ao sistema. </w:t>
      </w:r>
      <w:commentRangeEnd w:id="11"/>
      <w:r>
        <w:commentReference w:id="11"/>
      </w:r>
      <w:r>
        <w:rPr>
          <w:lang w:val="pt-BR"/>
        </w:rPr>
      </w:r>
    </w:p>
    <w:p>
      <w:pPr>
        <w:pStyle w:val="normal1"/>
        <w:rPr>
          <w:lang w:val="pt-BR"/>
        </w:rPr>
      </w:pPr>
      <w:r>
        <w:rPr>
          <w:lang w:val="pt-BR"/>
        </w:rPr>
        <w:t>O perfil de erro do YOLOv11m foi marcado por falsos positivos e falsos negativos em proporções relevantes. Após o aumento de background no treinamento, o detector produziu 79 falsos positivos e 85 falsos negativos. Esse comportamento sugere que o modelo passou a rejeitar melhor cenas limpas, mas também se tornou mais conservador diante de algumas cenas com resíduos. Em aplicações públicas, esse equilíbrio precisa ser ajustado de acordo com o custo administrativo atribuído a alarmes falsos e a omissões de descarte irregular.</w:t>
      </w:r>
    </w:p>
    <w:p>
      <w:pPr>
        <w:pStyle w:val="normal1"/>
        <w:rPr>
          <w:lang w:val="pt-BR"/>
        </w:rPr>
      </w:pPr>
      <w:r>
        <w:rPr>
          <w:lang w:val="pt-B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normal1"/>
        <w:rPr>
          <w:lang w:val="pt-BR"/>
        </w:rPr>
      </w:pPr>
      <w:r>
        <w:rPr>
          <w:lang w:val="pt-B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normal1"/>
        <w:rPr>
          <w:lang w:val="pt-BR"/>
        </w:rPr>
      </w:pPr>
      <w:r>
        <w:rPr>
          <w:lang w:val="pt-BR"/>
        </w:rPr>
        <w:t>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ground truth. A segunda é a possibilidade de alucinação visual, fenômeno discutido na literatura sobre modelos visão-linguagem de grande porte, em que o modelo produz respostas não correspondentes ao conteúdo efetivamente presente na imagem (Li et al., 2025).</w:t>
      </w:r>
    </w:p>
    <w:p>
      <w:pPr>
        <w:pStyle w:val="normal1"/>
        <w:rPr>
          <w:lang w:val="pt-BR"/>
        </w:rPr>
      </w:pPr>
      <w:r>
        <w:rPr>
          <w:lang w:val="pt-B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normal1"/>
        <w:rPr>
          <w:lang w:val="pt-BR"/>
        </w:rPr>
      </w:pPr>
      <w:r>
        <w:rPr>
          <w:lang w:val="pt-B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normal1"/>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normal1"/>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normal1"/>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normal1"/>
        <w:rPr>
          <w:lang w:val="pt-BR"/>
        </w:rPr>
      </w:pPr>
      <w:r>
        <w:rPr>
          <w:lang w:val="pt-BR"/>
        </w:rPr>
        <w:t>Os resultados do Gemma 3 27B-IT se relacionam com a literatura sobre modelos visão-linguagem. Zhang et al. (2024) apontam que os VLMs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pPr>
        <w:pStyle w:val="normal1"/>
        <w:rPr>
          <w:lang w:val="pt-BR"/>
        </w:rPr>
      </w:pPr>
      <w:r>
        <w:rPr>
          <w:lang w:val="pt-B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normal1"/>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normal1"/>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lang w:val="pt-BR"/>
        </w:rPr>
      </w:pPr>
      <w:r>
        <w:rPr>
          <w:rFonts w:eastAsia="Times New Roman" w:cs="Times New Roman"/>
          <w:sz w:val="20"/>
          <w:szCs w:val="20"/>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F1 = 0,7040</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F1 = 0,9238</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8,4 ms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1.191,9 ms</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FPR = 0,2821</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0,6964</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0,9964</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Para monitoramento em rede, alto volume de imagens ou uso em tempo real, o YOLOv11m apresenta maior viabilidade operacional. Sua latência reduzida e seu alto throughput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normal1"/>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normal1"/>
        <w:rPr>
          <w:lang w:val="pt-BR"/>
        </w:rPr>
      </w:pPr>
      <w:r>
        <w:rPr>
          <w:rFonts w:eastAsia="Times New Roman" w:cs="Times New Roman"/>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normal1"/>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normal1"/>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lang w:val="pt-BR"/>
        </w:rPr>
      </w:pPr>
      <w:r>
        <w:rPr>
          <w:rFonts w:eastAsia="Times New Roman" w:cs="Times New Roman"/>
          <w:sz w:val="20"/>
          <w:szCs w:val="20"/>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Apresentou latência muito baixa e throughput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 YOLO pode realizar triagem rápida e o Gemma pode confirmar casos positivos ou duvidosos.</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zero-shot,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normal1"/>
        <w:rPr>
          <w:lang w:val="pt-BR"/>
        </w:rPr>
      </w:pPr>
      <w:r>
        <w:rPr>
          <w:lang w:val="pt-B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lang w:val="pt-BR"/>
        </w:rPr>
      </w:pPr>
      <w:r>
        <w:rPr>
          <w:lang w:val="pt-BR"/>
        </w:rP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pPr>
        <w:pStyle w:val="normal1"/>
        <w:rPr>
          <w:lang w:val="pt-BR"/>
        </w:rPr>
      </w:pPr>
      <w:r>
        <w:rPr>
          <w:lang w:val="pt-BR"/>
        </w:rPr>
        <w:t>A terceira limitação diz respeito ao viés de anotação. Como algumas anotações foram feitas por região de descarte e podem ignorar resíduos muito pequenos, certos falsos positivos do Gemma podem corresponder a detecções corretas não representadas no ground truth.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lang w:val="pt-BR"/>
        </w:rPr>
      </w:pPr>
      <w:r>
        <w:rPr>
          <w:lang w:val="pt-BR"/>
        </w:rPr>
        <w:t>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lang w:val="pt-BR"/>
        </w:rPr>
      </w:pPr>
      <w:r>
        <w:rPr>
          <w:lang w:val="pt-B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lang w:val="pt-BR"/>
        </w:rPr>
      </w:pPr>
      <w:r>
        <w:rPr>
          <w:lang w:val="pt-BR"/>
        </w:rPr>
        <w:t>Por fim, o domínio visual das imagens de treinamento e teste pode influenciar os resultados. Embora o teste tenha utilizado imagens reais de ruas brasileiras, parte relevante do treinamento veio de datasets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normal1"/>
        <w:rPr>
          <w:lang w:val="pt-BR"/>
        </w:rPr>
      </w:pPr>
      <w:r>
        <w:rPr>
          <w:lang w:val="pt-BR"/>
        </w:rPr>
        <w:t>A presente pesquisa analisou a viabilidade do uso de inteligência artificial no monitoramento de resíduos urbanos em vias públicas, a partir da comparação entre dois paradigmas distintos: o YOLOv11m, utilizado como detector especializado após fine-tuning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pPr>
        <w:pStyle w:val="normal1"/>
        <w:rPr>
          <w:lang w:val="pt-BR"/>
        </w:rPr>
      </w:pPr>
      <w:r>
        <w:rPr>
          <w:lang w:val="pt-B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lang w:val="pt-BR"/>
        </w:rPr>
      </w:pPr>
      <w:r>
        <w:rPr>
          <w:lang w:val="pt-B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lang w:val="pt-BR"/>
        </w:rPr>
      </w:pPr>
      <w:r>
        <w:rPr>
          <w:lang w:val="pt-B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lang w:val="pt-BR"/>
        </w:rPr>
      </w:pPr>
      <w:r>
        <w:rPr>
          <w:lang w:val="pt-BR"/>
        </w:rP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pPr>
        <w:pStyle w:val="normal1"/>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lang w:val="pt-BR"/>
        </w:rPr>
      </w:pPr>
      <w:r>
        <w:rPr>
          <w:lang w:val="pt-BR"/>
        </w:rPr>
        <w:t>Por outro lado, o YOLOv11m apresentou vantagem expressiva em eficiência computacional. Sua baixa latência e seu alto throughput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rPr>
          <w:lang w:val="pt-BR"/>
        </w:rPr>
      </w:pPr>
      <w:r>
        <w:rPr>
          <w:rFonts w:eastAsia="Times New Roman" w:cs="Times New Roman"/>
          <w:lang w:val="pt-BR"/>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lang w:val="pt-BR"/>
        </w:rPr>
      </w:pPr>
      <w:r>
        <w:rPr>
          <w:lang w:val="pt-B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lang w:val="pt-BR"/>
        </w:rPr>
      </w:pPr>
      <w:r>
        <w:rPr>
          <w:lang w:val="pt-BR"/>
        </w:rPr>
        <w:t xml:space="preserve">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w:t>
      </w:r>
      <w:commentRangeStart w:id="12"/>
      <w:r>
        <w:rPr>
          <w:lang w:val="pt-BR"/>
        </w:rPr>
        <w:t>serviço, custo operacional, risco de falsos alarmes, possibilidade de auditoria, infraestrutura disponível, controle humano e adequação institucional.</w:t>
      </w:r>
      <w:r>
        <w:rPr>
          <w:lang w:val="pt-BR"/>
        </w:rPr>
      </w:r>
      <w:commentRangeEnd w:id="12"/>
      <w:r>
        <w:commentReference w:id="12"/>
      </w:r>
      <w:r>
        <w:rPr>
          <w:lang w:val="pt-BR"/>
        </w:rPr>
        <w:t xml:space="preserve">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lang w:val="pt-BR"/>
        </w:rPr>
      </w:pPr>
      <w:r>
        <w:rPr>
          <w:lang w:val="pt-BR"/>
        </w:rP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pPr>
        <w:pStyle w:val="normal1"/>
        <w:rPr>
          <w:lang w:val="pt-BR"/>
        </w:rPr>
      </w:pPr>
      <w:r>
        <w:rPr>
          <w:lang w:val="pt-B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lang w:val="pt-BR"/>
        </w:rPr>
      </w:pPr>
      <w:r>
        <w:rPr>
          <w:lang w:val="pt-BR"/>
        </w:rPr>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pPr>
        <w:pStyle w:val="normal1"/>
        <w:rPr>
          <w:lang w:val="pt-BR"/>
        </w:rPr>
      </w:pPr>
      <w:r>
        <w:rPr>
          <w:lang w:val="pt-B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rPr>
          <w:lang w:val="pt-BR"/>
        </w:rPr>
      </w:pPr>
      <w:r>
        <w:rPr>
          <w:rFonts w:eastAsia="Times New Roman" w:cs="Times New Roman"/>
          <w:lang w:val="pt-BR"/>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lang w:val="pt-BR"/>
        </w:rPr>
      </w:r>
    </w:p>
    <w:p>
      <w:pPr>
        <w:pStyle w:val="normal1"/>
        <w:spacing w:lineRule="auto" w:line="240" w:before="0" w:after="120"/>
        <w:ind w:hanging="0"/>
        <w:jc w:val="left"/>
        <w:rPr>
          <w:rFonts w:eastAsia="Times New Roman" w:cs="Times New Roman"/>
          <w:lang w:val="pt-BR"/>
        </w:rPr>
      </w:pPr>
      <w:r>
        <w:rPr>
          <w:rFonts w:eastAsia="Times New Roman" w:cs="Times New Roman"/>
          <w:b/>
          <w:bCs/>
          <w:lang w:val="pt-BR"/>
        </w:rPr>
        <w:t>ABDU, Haruna; MOHD NOOR, Mohd Halim.</w:t>
      </w:r>
      <w:r>
        <w:rPr>
          <w:rFonts w:eastAsia="Times New Roman" w:cs="Times New Roman"/>
          <w:lang w:val="pt-BR"/>
        </w:rPr>
        <w:t xml:space="preserve"> A Survey on Waste Detection and Classification Using Deep Learning. </w:t>
      </w:r>
      <w:r>
        <w:rPr>
          <w:rFonts w:eastAsia="Times New Roman" w:cs="Times New Roman"/>
          <w:b/>
          <w:bCs/>
          <w:lang w:val="pt-BR"/>
        </w:rPr>
        <w:t>IEEE Access</w:t>
      </w:r>
      <w:r>
        <w:rPr>
          <w:rFonts w:eastAsia="Times New Roman" w:cs="Times New Roman"/>
          <w:lang w:val="pt-BR"/>
        </w:rPr>
        <w:t>, v. 10, p. 128151-128165, 2022. DOI: 10.1109/ACCESS.2022.3226682.</w:t>
      </w:r>
    </w:p>
    <w:p>
      <w:pPr>
        <w:pStyle w:val="normal1"/>
        <w:spacing w:lineRule="auto" w:line="240" w:before="0" w:after="120"/>
        <w:ind w:hanging="0"/>
        <w:jc w:val="left"/>
        <w:rPr>
          <w:lang w:val="pt-BR"/>
        </w:rPr>
      </w:pPr>
      <w:r>
        <w:rPr>
          <w:rFonts w:eastAsia="Times New Roman" w:cs="Times New Roman"/>
          <w:lang w:val="pt-BR"/>
        </w:rPr>
        <w:t xml:space="preserve">ASSOCIAÇÃO BRASILEIRA DE NORMAS TÉCNICAS. </w:t>
      </w:r>
      <w:r>
        <w:rPr>
          <w:rFonts w:eastAsia="Times New Roman" w:cs="Times New Roman"/>
          <w:b/>
          <w:bCs/>
          <w:lang w:val="pt-BR"/>
        </w:rPr>
        <w:t>NBR 10004: resíduos sólidos: classificação</w:t>
      </w:r>
      <w:r>
        <w:rPr>
          <w:rFonts w:eastAsia="Times New Roman" w:cs="Times New Roman"/>
          <w:lang w:val="pt-BR"/>
        </w:rPr>
        <w:t>. Rio de Janeiro: ABNT, 2004.</w:t>
      </w:r>
    </w:p>
    <w:p>
      <w:pPr>
        <w:pStyle w:val="normal1"/>
        <w:spacing w:lineRule="auto" w:line="240" w:before="0" w:after="120"/>
        <w:ind w:hanging="0"/>
        <w:jc w:val="left"/>
        <w:rPr>
          <w:lang w:val="pt-BR"/>
        </w:rPr>
      </w:pPr>
      <w:r>
        <w:rPr>
          <w:rFonts w:eastAsia="Times New Roman" w:cs="Times New Roman"/>
          <w:lang w:val="pt-BR"/>
        </w:rPr>
        <w:t xml:space="preserve">BRASIL. </w:t>
      </w:r>
      <w:r>
        <w:rPr>
          <w:rFonts w:eastAsia="Times New Roman" w:cs="Times New Roman"/>
          <w:b/>
          <w:bCs/>
          <w:lang w:val="pt-BR"/>
        </w:rPr>
        <w:t>Lei nº 12.305, de 2 de agosto de 2010</w:t>
      </w:r>
      <w:r>
        <w:rPr>
          <w:rFonts w:eastAsia="Times New Roman" w:cs="Times New Roman"/>
          <w:lang w:val="pt-BR"/>
        </w:rPr>
        <w:t>. Institui a Política Nacional de Resíduos Sólidos. Brasília, DF: Presidência da República, 2010. Disponível em: https://www.planalto.gov.br/ccivil_03/_ato2007-2010/2010/lei/l12305.htm. Acesso em: 8 jun. 2026.</w:t>
      </w:r>
    </w:p>
    <w:p>
      <w:pPr>
        <w:pStyle w:val="normal1"/>
        <w:spacing w:lineRule="auto" w:line="240" w:before="0" w:after="120"/>
        <w:ind w:hanging="0"/>
        <w:jc w:val="left"/>
        <w:rPr>
          <w:lang w:val="pt-BR"/>
        </w:rPr>
      </w:pPr>
      <w:r>
        <w:rPr>
          <w:rFonts w:eastAsia="Times New Roman" w:cs="Times New Roman"/>
          <w:lang w:val="pt-BR"/>
        </w:rPr>
        <w:t xml:space="preserve">CARDOSO, F. C. A. I.; CARDOSO, J. C. O problema do lixo e algumas perspectivas para redução de impactos. </w:t>
      </w:r>
      <w:r>
        <w:rPr>
          <w:rFonts w:eastAsia="Times New Roman" w:cs="Times New Roman"/>
          <w:b/>
          <w:bCs/>
          <w:lang w:val="pt-BR"/>
        </w:rPr>
        <w:t>Ciência e Cultura</w:t>
      </w:r>
      <w:r>
        <w:rPr>
          <w:rFonts w:eastAsia="Times New Roman" w:cs="Times New Roman"/>
          <w:lang w:val="pt-BR"/>
        </w:rPr>
        <w:t>, São Paulo, v. 68, n. 4, p. 25-29, 2016.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CÓRDOVA, M.; PINTO, A.; HELLEVIK, C. C.; ALALIYAT, S. A.-A.; HAMEED, I. A.; PEDRINI, H.; TORRES, R. S. Litter detection with deep learning: a comparative study. </w:t>
      </w:r>
      <w:r>
        <w:rPr>
          <w:rFonts w:eastAsia="Times New Roman" w:cs="Times New Roman"/>
          <w:b/>
          <w:bCs/>
          <w:lang w:val="pt-BR"/>
        </w:rPr>
        <w:t>Sensors</w:t>
      </w:r>
      <w:r>
        <w:rPr>
          <w:rFonts w:eastAsia="Times New Roman" w:cs="Times New Roman"/>
          <w:lang w:val="pt-BR"/>
        </w:rPr>
        <w:t xml:space="preserve">, Basel, v. 22, n. 2, artigo 548, 2022. DOI: </w:t>
      </w:r>
      <w:hyperlink r:id="rId23">
        <w:r>
          <w:rPr>
            <w:rStyle w:val="Hyperlink"/>
            <w:rFonts w:eastAsia="Times New Roman" w:cs="Times New Roman"/>
            <w:lang w:val="pt-BR"/>
          </w:rPr>
          <w:t>https://doi.org/10.3390/s22020548</w:t>
        </w:r>
      </w:hyperlink>
      <w:r>
        <w:rPr>
          <w:rFonts w:eastAsia="Times New Roman" w:cs="Times New Roman"/>
          <w:lang w:val="pt-BR"/>
        </w:rPr>
        <w:t>.</w:t>
      </w:r>
    </w:p>
    <w:p>
      <w:pPr>
        <w:pStyle w:val="normal1"/>
        <w:spacing w:lineRule="auto" w:line="240" w:before="0" w:after="120"/>
        <w:ind w:hanging="0"/>
        <w:jc w:val="left"/>
        <w:rPr>
          <w:lang w:val="pt-BR"/>
        </w:rPr>
      </w:pPr>
      <w:r>
        <w:rPr>
          <w:b/>
          <w:bCs/>
          <w:lang w:val="pt-BR"/>
        </w:rPr>
        <w:t>FERREIRA, Ana Carla; BARROS, Raphael Tobias Vasconcelos.</w:t>
      </w:r>
      <w:r>
        <w:rPr>
          <w:lang w:val="pt-BR"/>
        </w:rPr>
        <w:t xml:space="preserve"> Panorama dos gastos públicos municipais com os serviços de limpeza urbana e manejo de resíduos sólidos: uma análise da Região Metropolitana de Belo Horizonte (MG). </w:t>
      </w:r>
      <w:r>
        <w:rPr>
          <w:b/>
          <w:bCs/>
          <w:lang w:val="pt-BR"/>
        </w:rPr>
        <w:t>Engenharia Sanitária e Ambiental</w:t>
      </w:r>
      <w:r>
        <w:rPr>
          <w:lang w:val="pt-BR"/>
        </w:rPr>
        <w:t xml:space="preserve">, v. 26, n. 4, p. 659-668, jul./ago. 2021. DOI: 10.1590/S1413-415220200022. Disponível em: </w:t>
      </w:r>
      <w:hyperlink r:id="rId24" w:tgtFrame="_new">
        <w:r>
          <w:rPr>
            <w:rStyle w:val="Hyperlink"/>
            <w:lang w:val="pt-BR"/>
          </w:rPr>
          <w:t>https://www.scielo.br/j/esa/a/9CmBjrLMQpCRBZWttpDLtcJ/</w:t>
        </w:r>
      </w:hyperlink>
      <w:r>
        <w:rPr>
          <w:lang w:val="pt-BR"/>
        </w:rPr>
        <w:t>. Acesso em: 12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FORTALEZA. Autarquia de Regulação, Fiscalização e Controle dos Serviços Públicos de Saneamento Ambiental de Fortaleza. </w:t>
      </w:r>
      <w:r>
        <w:rPr>
          <w:rFonts w:eastAsia="Times New Roman" w:cs="Times New Roman"/>
          <w:b/>
          <w:bCs/>
          <w:lang w:val="pt-BR"/>
        </w:rPr>
        <w:t>Resíduos sólidos Fortaleza</w:t>
      </w:r>
      <w:r>
        <w:rPr>
          <w:rFonts w:eastAsia="Times New Roman" w:cs="Times New Roman"/>
          <w:lang w:val="pt-BR"/>
        </w:rPr>
        <w:t>. Fortaleza: Dados Abertos Fortaleza, 2022. Disponível em: https://dados.fortaleza.ce.gov.br/dataset/residuos-solidos-fortaleza. Acesso em: 8 jun. 2026.</w:t>
      </w:r>
    </w:p>
    <w:p>
      <w:pPr>
        <w:pStyle w:val="normal1"/>
        <w:spacing w:lineRule="auto" w:line="240" w:before="0" w:after="120"/>
        <w:ind w:hanging="0"/>
        <w:jc w:val="left"/>
        <w:rPr>
          <w:lang w:val="pt-BR"/>
        </w:rPr>
      </w:pPr>
      <w:r>
        <w:rPr>
          <w:b/>
          <w:bCs/>
          <w:lang w:val="pt-BR"/>
        </w:rPr>
        <w:t>FORTALEZA.</w:t>
      </w:r>
      <w:r>
        <w:rPr>
          <w:lang w:val="pt-BR"/>
        </w:rPr>
        <w:t xml:space="preserve"> </w:t>
      </w:r>
      <w:r>
        <w:rPr>
          <w:i/>
          <w:iCs/>
          <w:lang w:val="pt-BR"/>
        </w:rPr>
        <w:t>Plano Municipal de Gestão Integrada de Resíduos Sólidos de Fortaleza: estado do Ceará</w:t>
      </w:r>
      <w:r>
        <w:rPr>
          <w:lang w:val="pt-BR"/>
        </w:rPr>
        <w:t xml:space="preserve">. Fortaleza: Prefeitura Municipal de Fortaleza, 2012. Disponível em: </w:t>
      </w:r>
      <w:hyperlink r:id="rId25" w:tgtFrame="_new">
        <w:r>
          <w:rPr>
            <w:rStyle w:val="Hyperlink"/>
            <w:lang w:val="pt-BR"/>
          </w:rPr>
          <w:t>https://www.progere.ufc.br/wp-content/uploads/2015/08/Plano-Municipal-de-Gest%C3%A3o-Integrada-de-Res%C3%ADduos-S%C3%B3lidos-de-Fortaleza.pdf</w:t>
        </w:r>
      </w:hyperlink>
      <w:r>
        <w:rPr>
          <w:lang w:val="pt-BR"/>
        </w:rPr>
        <w:t>. Acesso em: 12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FREITAS, M. F.; PIRES, M. M.; BENINCÁ, D. Fragilidades e potencialidades na gestão dos resíduos sólidos urbanos no Brasil. </w:t>
      </w:r>
      <w:r>
        <w:rPr>
          <w:rFonts w:eastAsia="Times New Roman" w:cs="Times New Roman"/>
          <w:b/>
          <w:bCs/>
          <w:lang w:val="pt-BR"/>
        </w:rPr>
        <w:t>urbe. Revista Brasileira de Gestão Urbana</w:t>
      </w:r>
      <w:r>
        <w:rPr>
          <w:rFonts w:eastAsia="Times New Roman" w:cs="Times New Roman"/>
          <w:lang w:val="pt-BR"/>
        </w:rPr>
        <w:t xml:space="preserve">, Curitiba, v. 16, e20230271, 2024. DOI: </w:t>
      </w:r>
      <w:hyperlink r:id="rId26">
        <w:r>
          <w:rPr>
            <w:rStyle w:val="Hyperlink"/>
            <w:rFonts w:eastAsia="Times New Roman" w:cs="Times New Roman"/>
            <w:lang w:val="pt-BR"/>
          </w:rPr>
          <w:t>https://doi.org/10.1590/2175-3369.016.e20230271</w:t>
        </w:r>
      </w:hyperlink>
      <w:r>
        <w:rPr>
          <w:rFonts w:eastAsia="Times New Roman" w:cs="Times New Roman"/>
          <w:lang w:val="pt-BR"/>
        </w:rPr>
        <w:t>.</w:t>
      </w:r>
    </w:p>
    <w:p>
      <w:pPr>
        <w:pStyle w:val="normal1"/>
        <w:spacing w:lineRule="auto" w:line="240" w:before="0" w:after="120"/>
        <w:ind w:hanging="0"/>
        <w:jc w:val="left"/>
        <w:rPr>
          <w:rFonts w:eastAsia="Times New Roman" w:cs="Times New Roman"/>
          <w:lang w:val="pt-BR"/>
        </w:rPr>
      </w:pPr>
      <w:r>
        <w:rPr>
          <w:rFonts w:eastAsia="Times New Roman" w:cs="Times New Roman"/>
          <w:b/>
          <w:bCs/>
          <w:lang w:val="pt-BR"/>
        </w:rPr>
        <w:t>FOTOVVATIKHAH, Farnaz et al.</w:t>
      </w:r>
      <w:r>
        <w:rPr>
          <w:rFonts w:eastAsia="Times New Roman" w:cs="Times New Roman"/>
          <w:lang w:val="pt-BR"/>
        </w:rPr>
        <w:t xml:space="preserve"> A Systematic Review of AI-Based Techniques for Automated Waste Classification. </w:t>
      </w:r>
      <w:r>
        <w:rPr>
          <w:rFonts w:eastAsia="Times New Roman" w:cs="Times New Roman"/>
          <w:b/>
          <w:bCs/>
          <w:lang w:val="pt-BR"/>
        </w:rPr>
        <w:t>Sensors</w:t>
      </w:r>
      <w:r>
        <w:rPr>
          <w:rFonts w:eastAsia="Times New Roman" w:cs="Times New Roman"/>
          <w:lang w:val="pt-BR"/>
        </w:rPr>
        <w:t>, v. 25, n. 10, artigo 3181, 2025. DOI: 10.3390/s25103181.</w:t>
      </w:r>
    </w:p>
    <w:p>
      <w:pPr>
        <w:pStyle w:val="normal1"/>
        <w:spacing w:lineRule="auto" w:line="240" w:before="0" w:after="120"/>
        <w:ind w:hanging="0"/>
        <w:jc w:val="left"/>
        <w:rPr>
          <w:lang w:val="pt-BR"/>
        </w:rPr>
      </w:pPr>
      <w:r>
        <w:rPr>
          <w:b/>
          <w:bCs/>
          <w:lang w:val="pt-BR"/>
        </w:rPr>
        <w:t>GARCIA, Hozana Raquel de Medeiros.</w:t>
      </w:r>
      <w:r>
        <w:rPr>
          <w:lang w:val="pt-BR"/>
        </w:rPr>
        <w:t xml:space="preserve"> </w:t>
      </w:r>
      <w:r>
        <w:rPr>
          <w:i/>
          <w:iCs/>
          <w:lang w:val="pt-BR"/>
        </w:rPr>
        <w:t>Avaliação da sustentabilidade da gestão de resíduos sólidos domiciliares/comerciais do Município de Fortaleza-CE, Brasil</w:t>
      </w:r>
      <w:r>
        <w:rPr>
          <w:lang w:val="pt-BR"/>
        </w:rPr>
        <w:t xml:space="preserve">. 2021. 235 f. Tese (Doutorado em Engenharia Civil: Saneamento Ambiental) – Centro de Tecnologia, Universidade Federal do Ceará, Fortaleza, 2021. Disponível em: </w:t>
      </w:r>
      <w:hyperlink r:id="rId27" w:tgtFrame="_new">
        <w:r>
          <w:rPr>
            <w:rStyle w:val="Hyperlink"/>
            <w:lang w:val="pt-BR"/>
          </w:rPr>
          <w:t>https://repositorio.ufc.br/handle/riufc/60224</w:t>
        </w:r>
      </w:hyperlink>
      <w:r>
        <w:rPr>
          <w:lang w:val="pt-BR"/>
        </w:rPr>
        <w:t>. Acesso em: 01 jun. 2026.</w:t>
      </w:r>
    </w:p>
    <w:p>
      <w:pPr>
        <w:pStyle w:val="normal1"/>
        <w:spacing w:lineRule="auto" w:line="240" w:before="0" w:after="120"/>
        <w:ind w:hanging="0"/>
        <w:jc w:val="left"/>
        <w:rPr>
          <w:lang w:val="pt-BR"/>
        </w:rPr>
      </w:pPr>
      <w:r>
        <w:rPr>
          <w:rFonts w:eastAsia="Times New Roman" w:cs="Times New Roman"/>
          <w:lang w:val="pt-BR"/>
        </w:rPr>
        <w:t xml:space="preserve">GIL, A. C. </w:t>
      </w:r>
      <w:r>
        <w:rPr>
          <w:rFonts w:eastAsia="Times New Roman" w:cs="Times New Roman"/>
          <w:b/>
          <w:bCs/>
          <w:lang w:val="pt-BR"/>
        </w:rPr>
        <w:t>Como elaborar projetos de pesquisa</w:t>
      </w:r>
      <w:r>
        <w:rPr>
          <w:rFonts w:eastAsia="Times New Roman" w:cs="Times New Roman"/>
          <w:lang w:val="pt-BR"/>
        </w:rPr>
        <w:t>. 5. ed. São Paulo: Atlas, 2010.</w:t>
      </w:r>
    </w:p>
    <w:p>
      <w:pPr>
        <w:pStyle w:val="normal1"/>
        <w:spacing w:lineRule="auto" w:line="240" w:before="0" w:after="120"/>
        <w:ind w:hanging="0"/>
        <w:jc w:val="left"/>
        <w:rPr>
          <w:lang w:val="pt-BR"/>
        </w:rPr>
      </w:pPr>
      <w:r>
        <w:rPr>
          <w:rFonts w:eastAsia="Times New Roman" w:cs="Times New Roman"/>
          <w:lang w:val="pt-BR"/>
        </w:rPr>
        <w:t xml:space="preserve">GOMES, A. O. S.; BELÉM, M. O. O lixo como um fator de risco à saúde pública na cidade de Fortaleza, Ceará. </w:t>
      </w:r>
      <w:r>
        <w:rPr>
          <w:rFonts w:eastAsia="Times New Roman" w:cs="Times New Roman"/>
          <w:b/>
          <w:bCs/>
          <w:lang w:val="pt-BR"/>
        </w:rPr>
        <w:t>SANARE - Revista de Políticas Públicas</w:t>
      </w:r>
      <w:r>
        <w:rPr>
          <w:rFonts w:eastAsia="Times New Roman" w:cs="Times New Roman"/>
          <w:lang w:val="pt-BR"/>
        </w:rPr>
        <w:t>, Sobral, v. 21, n. 1, 2022.</w:t>
      </w:r>
    </w:p>
    <w:p>
      <w:pPr>
        <w:pStyle w:val="normal1"/>
        <w:spacing w:lineRule="auto" w:line="240" w:before="0" w:after="120"/>
        <w:ind w:hanging="0"/>
        <w:jc w:val="left"/>
        <w:rPr>
          <w:lang w:val="pt-BR"/>
        </w:rPr>
      </w:pPr>
      <w:r>
        <w:rPr>
          <w:rFonts w:eastAsia="Times New Roman" w:cs="Times New Roman"/>
          <w:lang w:val="pt-BR"/>
        </w:rPr>
        <w:t xml:space="preserve">GOODFELLOW, I.; BENGIO, Y.; COURVILLE, A. </w:t>
      </w:r>
      <w:r>
        <w:rPr>
          <w:rFonts w:eastAsia="Times New Roman" w:cs="Times New Roman"/>
          <w:b/>
          <w:bCs/>
          <w:lang w:val="pt-BR"/>
        </w:rPr>
        <w:t>Deep learning</w:t>
      </w:r>
      <w:r>
        <w:rPr>
          <w:rFonts w:eastAsia="Times New Roman" w:cs="Times New Roman"/>
          <w:lang w:val="pt-BR"/>
        </w:rPr>
        <w:t>. Cambridge: MIT Press, 2016.</w:t>
      </w:r>
    </w:p>
    <w:p>
      <w:pPr>
        <w:pStyle w:val="normal1"/>
        <w:spacing w:lineRule="auto" w:line="240" w:before="0" w:after="120"/>
        <w:ind w:hanging="0"/>
        <w:jc w:val="left"/>
        <w:rPr>
          <w:lang w:val="pt-BR"/>
        </w:rPr>
      </w:pPr>
      <w:r>
        <w:rPr>
          <w:rFonts w:eastAsia="Times New Roman" w:cs="Times New Roman"/>
          <w:lang w:val="pt-BR"/>
        </w:rPr>
        <w:t xml:space="preserve">GOOGLE. </w:t>
      </w:r>
      <w:r>
        <w:rPr>
          <w:rFonts w:eastAsia="Times New Roman" w:cs="Times New Roman"/>
          <w:b/>
          <w:bCs/>
          <w:lang w:val="pt-BR"/>
        </w:rPr>
        <w:t>Google-contributed Street View imagery policy</w:t>
      </w:r>
      <w:r>
        <w:rPr>
          <w:rFonts w:eastAsia="Times New Roman" w:cs="Times New Roman"/>
          <w:lang w:val="pt-BR"/>
        </w:rPr>
        <w:t>. [S. l.]: Google, [s.d.]. Disponível em: https://www.google.com/streetview/policy/. Acesso em: 8 jun. 2026.</w:t>
      </w:r>
    </w:p>
    <w:p>
      <w:pPr>
        <w:pStyle w:val="normal1"/>
        <w:spacing w:lineRule="auto" w:line="240" w:before="0" w:after="120"/>
        <w:ind w:hanging="0"/>
        <w:jc w:val="left"/>
        <w:rPr>
          <w:lang w:val="pt-BR"/>
        </w:rPr>
      </w:pPr>
      <w:r>
        <w:rPr>
          <w:rFonts w:eastAsia="Times New Roman" w:cs="Times New Roman"/>
          <w:lang w:val="pt-BR"/>
        </w:rPr>
        <w:t xml:space="preserve">JIAO, L.; ZHANG, F.; LIU, F.; YANG, S.; LI, L.; FENG, Z.; QU, R. A survey of deep learning-based object detection. </w:t>
      </w:r>
      <w:r>
        <w:rPr>
          <w:rFonts w:eastAsia="Times New Roman" w:cs="Times New Roman"/>
          <w:b/>
          <w:bCs/>
          <w:lang w:val="pt-BR"/>
        </w:rPr>
        <w:t>IEEE Access</w:t>
      </w:r>
      <w:r>
        <w:rPr>
          <w:rFonts w:eastAsia="Times New Roman" w:cs="Times New Roman"/>
          <w:lang w:val="pt-BR"/>
        </w:rPr>
        <w:t>, [s. l.], v. 7, p. 128837-128868, 2019. DOI: https://doi.org/10.1109/ACCESS.2019.2939201.</w:t>
      </w:r>
    </w:p>
    <w:p>
      <w:pPr>
        <w:pStyle w:val="normal1"/>
        <w:spacing w:lineRule="auto" w:line="240" w:before="0" w:after="120"/>
        <w:ind w:hanging="0"/>
        <w:jc w:val="left"/>
        <w:rPr>
          <w:lang w:val="pt-BR"/>
        </w:rPr>
      </w:pPr>
      <w:r>
        <w:rPr>
          <w:rFonts w:eastAsia="Times New Roman" w:cs="Times New Roman"/>
          <w:lang w:val="pt-BR"/>
        </w:rPr>
        <w:t xml:space="preserve">KAUR, R.; SINGH, S. A comprehensive review of object detection with deep learning. </w:t>
      </w:r>
      <w:r>
        <w:rPr>
          <w:rFonts w:eastAsia="Times New Roman" w:cs="Times New Roman"/>
          <w:b/>
          <w:bCs/>
          <w:lang w:val="pt-BR"/>
        </w:rPr>
        <w:t>Digital Signal Processing</w:t>
      </w:r>
      <w:r>
        <w:rPr>
          <w:rFonts w:eastAsia="Times New Roman" w:cs="Times New Roman"/>
          <w:lang w:val="pt-BR"/>
        </w:rPr>
        <w:t>, [s. l.], v. 132, artigo 103812, 2023. DOI: https://doi.org/10.1016/j.dsp.2022.103812.</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LECUN, Y.; BENGIO, Y.; HINTON, G. Deep learning. </w:t>
      </w:r>
      <w:r>
        <w:rPr>
          <w:rFonts w:eastAsia="Times New Roman" w:cs="Times New Roman"/>
          <w:b/>
          <w:bCs/>
          <w:lang w:val="pt-BR"/>
        </w:rPr>
        <w:t>Nature</w:t>
      </w:r>
      <w:r>
        <w:rPr>
          <w:rFonts w:eastAsia="Times New Roman" w:cs="Times New Roman"/>
          <w:lang w:val="pt-BR"/>
        </w:rPr>
        <w:t xml:space="preserve">, London, v. 521, n. 7553, p. 436-444, 2015. DOI: </w:t>
      </w:r>
      <w:hyperlink r:id="rId28">
        <w:r>
          <w:rPr>
            <w:rStyle w:val="Hyperlink"/>
            <w:rFonts w:eastAsia="Times New Roman" w:cs="Times New Roman"/>
            <w:lang w:val="pt-BR"/>
          </w:rPr>
          <w:t>https://doi.org/10.1038/nature14539</w:t>
        </w:r>
      </w:hyperlink>
      <w:r>
        <w:rPr>
          <w:rFonts w:eastAsia="Times New Roman" w:cs="Times New Roman"/>
          <w:lang w:val="pt-BR"/>
        </w:rPr>
        <w:t>.</w:t>
      </w:r>
    </w:p>
    <w:p>
      <w:pPr>
        <w:pStyle w:val="normal1"/>
        <w:spacing w:lineRule="auto" w:line="240" w:before="0" w:after="120"/>
        <w:ind w:hanging="0"/>
        <w:jc w:val="left"/>
        <w:rPr>
          <w:lang w:val="pt-BR"/>
        </w:rPr>
      </w:pPr>
      <w:r>
        <w:rPr>
          <w:b/>
          <w:bCs/>
          <w:lang w:val="pt-BR"/>
        </w:rPr>
        <w:t>LI, Junnan et al.</w:t>
      </w:r>
      <w:r>
        <w:rPr>
          <w:lang w:val="pt-BR"/>
        </w:rPr>
        <w:t xml:space="preserve"> BLIP-2: bootstrapping language-image pre-training with frozen image encoders and large language models. In: </w:t>
      </w:r>
      <w:r>
        <w:rPr>
          <w:b/>
          <w:bCs/>
          <w:lang w:val="pt-BR"/>
        </w:rPr>
        <w:t>INTERNATIONAL CONFERENCE ON MACHINE LEARNING</w:t>
      </w:r>
      <w:r>
        <w:rPr>
          <w:lang w:val="pt-BR"/>
        </w:rPr>
        <w:t xml:space="preserve">, 40., 2023. </w:t>
      </w:r>
      <w:r>
        <w:rPr>
          <w:i/>
          <w:iCs/>
          <w:lang w:val="pt-BR"/>
        </w:rPr>
        <w:t>Proceedings [...]</w:t>
      </w:r>
      <w:r>
        <w:rPr>
          <w:lang w:val="pt-BR"/>
        </w:rPr>
        <w:t xml:space="preserve">. [S. l.]: PMLR, 2023. p. 19730-19742. Disponível em: </w:t>
      </w:r>
      <w:hyperlink r:id="rId29" w:tgtFrame="_new">
        <w:r>
          <w:rPr>
            <w:rStyle w:val="Hyperlink"/>
            <w:lang w:val="pt-BR"/>
          </w:rPr>
          <w:t>https://proceedings.mlr.press/v202/li23q.html</w:t>
        </w:r>
      </w:hyperlink>
      <w:r>
        <w:rPr>
          <w:lang w:val="pt-BR"/>
        </w:rPr>
        <w:t>. Acesso em: 12 jun. 2026.</w:t>
      </w:r>
    </w:p>
    <w:p>
      <w:pPr>
        <w:pStyle w:val="normal1"/>
        <w:spacing w:lineRule="auto" w:line="240" w:before="0" w:after="120"/>
        <w:ind w:hanging="0"/>
        <w:jc w:val="left"/>
        <w:rPr>
          <w:lang w:val="pt-BR"/>
        </w:rPr>
      </w:pPr>
      <w:r>
        <w:rPr>
          <w:rFonts w:eastAsia="Times New Roman" w:cs="Times New Roman"/>
          <w:lang w:val="pt-BR"/>
        </w:rPr>
        <w:t xml:space="preserve">LI, Z.; WU, X.; DU, H.; LIU, F.; NGHIEM, H.; SHI, G. </w:t>
      </w:r>
      <w:r>
        <w:rPr>
          <w:rFonts w:eastAsia="Times New Roman" w:cs="Times New Roman"/>
          <w:b/>
          <w:bCs/>
          <w:lang w:val="pt-BR"/>
        </w:rPr>
        <w:t>A survey of state of the art large vision language models: alignment, benchmark, evaluations and challenges</w:t>
      </w:r>
      <w:r>
        <w:rPr>
          <w:rFonts w:eastAsia="Times New Roman" w:cs="Times New Roman"/>
          <w:lang w:val="pt-BR"/>
        </w:rPr>
        <w:t>. arXiv, 2025. Disponível em: https://arxiv.org/abs/2501.02189. Acesso em: 8 jun. 2026.</w:t>
      </w:r>
    </w:p>
    <w:p>
      <w:pPr>
        <w:pStyle w:val="normal1"/>
        <w:spacing w:lineRule="auto" w:line="240" w:before="0" w:after="120"/>
        <w:ind w:hanging="0"/>
        <w:jc w:val="left"/>
        <w:rPr>
          <w:lang w:val="pt-BR"/>
        </w:rPr>
      </w:pPr>
      <w:r>
        <w:rPr>
          <w:rFonts w:eastAsia="Times New Roman" w:cs="Times New Roman"/>
          <w:lang w:val="pt-BR"/>
        </w:rPr>
        <w:t xml:space="preserve">LIU, L.; OUYANG, W.; WANG, X.; FIEGUTH, P.; CHEN, J.; LIU, X.; PIETIKÄINEN, M. Deep learning for generic object detection: a survey. </w:t>
      </w:r>
      <w:r>
        <w:rPr>
          <w:rFonts w:eastAsia="Times New Roman" w:cs="Times New Roman"/>
          <w:b/>
          <w:bCs/>
          <w:lang w:val="pt-BR"/>
        </w:rPr>
        <w:t>International Journal of Computer Vision</w:t>
      </w:r>
      <w:r>
        <w:rPr>
          <w:rFonts w:eastAsia="Times New Roman" w:cs="Times New Roman"/>
          <w:lang w:val="pt-BR"/>
        </w:rPr>
        <w:t>, New York, v. 128, n. 2, p. 261-318, 2020. DOI: https://doi.org/10.1007/s11263-019-01247-4.</w:t>
      </w:r>
    </w:p>
    <w:p>
      <w:pPr>
        <w:pStyle w:val="normal1"/>
        <w:spacing w:lineRule="auto" w:line="240" w:before="0" w:after="120"/>
        <w:ind w:hanging="0"/>
        <w:jc w:val="left"/>
        <w:rPr>
          <w:lang w:val="pt-BR"/>
        </w:rPr>
      </w:pPr>
      <w:r>
        <w:rPr>
          <w:rFonts w:eastAsia="Times New Roman" w:cs="Times New Roman"/>
          <w:lang w:val="pt-BR"/>
        </w:rPr>
        <w:t xml:space="preserve">LU, W. Big data analytics to identify illegal construction waste dumping: a Hong Kong study. </w:t>
      </w:r>
      <w:r>
        <w:rPr>
          <w:rFonts w:eastAsia="Times New Roman" w:cs="Times New Roman"/>
          <w:b/>
          <w:bCs/>
          <w:lang w:val="pt-BR"/>
        </w:rPr>
        <w:t>Resources, Conservation and Recycling</w:t>
      </w:r>
      <w:r>
        <w:rPr>
          <w:rFonts w:eastAsia="Times New Roman" w:cs="Times New Roman"/>
          <w:lang w:val="pt-BR"/>
        </w:rPr>
        <w:t>, Amsterdam, v. 141, p. 264-272, 2019. DOI: https://doi.org/10.1016/j.resconrec.2018.10.039.</w:t>
      </w:r>
    </w:p>
    <w:p>
      <w:pPr>
        <w:pStyle w:val="normal1"/>
        <w:spacing w:lineRule="auto" w:line="240" w:before="0" w:after="120"/>
        <w:ind w:hanging="0"/>
        <w:jc w:val="left"/>
        <w:rPr>
          <w:lang w:val="pt-BR"/>
        </w:rPr>
      </w:pPr>
      <w:r>
        <w:rPr>
          <w:rFonts w:eastAsia="Times New Roman" w:cs="Times New Roman"/>
          <w:lang w:val="pt-BR"/>
        </w:rPr>
        <w:t xml:space="preserve">MADAN, R.; ASHOK, M. Making sense of AI benefits: a mixed-method study in Canadian public administration. </w:t>
      </w:r>
      <w:r>
        <w:rPr>
          <w:rFonts w:eastAsia="Times New Roman" w:cs="Times New Roman"/>
          <w:b/>
          <w:bCs/>
          <w:lang w:val="pt-BR"/>
        </w:rPr>
        <w:t>Information Systems Frontiers</w:t>
      </w:r>
      <w:r>
        <w:rPr>
          <w:rFonts w:eastAsia="Times New Roman" w:cs="Times New Roman"/>
          <w:lang w:val="pt-BR"/>
        </w:rPr>
        <w:t>, New York, v. 27, p. 889-923, 2025. DOI: https://doi.org/10.1007/s10796-024-10475-0.</w:t>
      </w:r>
    </w:p>
    <w:p>
      <w:pPr>
        <w:pStyle w:val="normal1"/>
        <w:spacing w:lineRule="auto" w:line="240" w:before="0" w:after="120"/>
        <w:ind w:hanging="0"/>
        <w:jc w:val="left"/>
        <w:rPr>
          <w:lang w:val="pt-BR"/>
        </w:rPr>
      </w:pPr>
      <w:r>
        <w:rPr>
          <w:rFonts w:eastAsia="Times New Roman" w:cs="Times New Roman"/>
          <w:lang w:val="pt-BR"/>
        </w:rPr>
        <w:t xml:space="preserve">MAJCHROWSKA, S.; MIKOŁAJCZYK, A.; FERLIN, M.; KLAWIKOWSKA, Z.; PLANTYKOW, M. A.; KWASIGROCH, A.; MAJEK, K. Deep learning-based waste detection in natural and urban environments. </w:t>
      </w:r>
      <w:r>
        <w:rPr>
          <w:rFonts w:eastAsia="Times New Roman" w:cs="Times New Roman"/>
          <w:b/>
          <w:bCs/>
          <w:lang w:val="pt-BR"/>
        </w:rPr>
        <w:t>Waste Management</w:t>
      </w:r>
      <w:r>
        <w:rPr>
          <w:rFonts w:eastAsia="Times New Roman" w:cs="Times New Roman"/>
          <w:lang w:val="pt-BR"/>
        </w:rPr>
        <w:t>, Oxford, v. 138, p. 274-284, 2022.</w:t>
      </w:r>
    </w:p>
    <w:p>
      <w:pPr>
        <w:pStyle w:val="normal1"/>
        <w:spacing w:lineRule="auto" w:line="240" w:before="0" w:after="120"/>
        <w:ind w:hanging="0"/>
        <w:jc w:val="left"/>
        <w:rPr>
          <w:lang w:val="pt-BR"/>
        </w:rPr>
      </w:pPr>
      <w:r>
        <w:rPr>
          <w:rFonts w:eastAsia="Times New Roman" w:cs="Times New Roman"/>
          <w:lang w:val="pt-BR"/>
        </w:rPr>
        <w:t xml:space="preserve">MARCONI, M. A.; LAKATOS, E. M. </w:t>
      </w:r>
      <w:r>
        <w:rPr>
          <w:rFonts w:eastAsia="Times New Roman" w:cs="Times New Roman"/>
          <w:b/>
          <w:bCs/>
          <w:lang w:val="pt-BR"/>
        </w:rPr>
        <w:t>Metodologia científica</w:t>
      </w:r>
      <w:r>
        <w:rPr>
          <w:rFonts w:eastAsia="Times New Roman" w:cs="Times New Roman"/>
          <w:lang w:val="pt-BR"/>
        </w:rPr>
        <w:t>. 6. ed. São Paulo: Atlas, 2011.</w:t>
      </w:r>
    </w:p>
    <w:p>
      <w:pPr>
        <w:pStyle w:val="normal1"/>
        <w:spacing w:lineRule="auto" w:line="240" w:before="0" w:after="120"/>
        <w:ind w:hanging="0"/>
        <w:jc w:val="left"/>
        <w:rPr>
          <w:lang w:val="pt-BR"/>
        </w:rPr>
      </w:pPr>
      <w:r>
        <w:rPr>
          <w:rFonts w:eastAsia="Times New Roman" w:cs="Times New Roman"/>
          <w:lang w:val="pt-BR"/>
        </w:rPr>
        <w:t xml:space="preserve">MIŠIĆ, J.; VAN EST, R.; KOOL, L. Good governance of public sector AI: a combined value framework for good order and a good society. </w:t>
      </w:r>
      <w:r>
        <w:rPr>
          <w:rFonts w:eastAsia="Times New Roman" w:cs="Times New Roman"/>
          <w:b/>
          <w:bCs/>
          <w:lang w:val="pt-BR"/>
        </w:rPr>
        <w:t>AI and Ethics</w:t>
      </w:r>
      <w:r>
        <w:rPr>
          <w:rFonts w:eastAsia="Times New Roman" w:cs="Times New Roman"/>
          <w:lang w:val="pt-BR"/>
        </w:rPr>
        <w:t>, Cham, v. 5, p. 4875-4889, 2025. DOI: https://doi.org/10.1007/s43681-025-00751-3.</w:t>
      </w:r>
    </w:p>
    <w:p>
      <w:pPr>
        <w:pStyle w:val="normal1"/>
        <w:spacing w:lineRule="auto" w:line="240" w:before="0" w:after="120"/>
        <w:ind w:hanging="0"/>
        <w:jc w:val="left"/>
        <w:rPr>
          <w:lang w:val="pt-BR"/>
        </w:rPr>
      </w:pPr>
      <w:r>
        <w:rPr>
          <w:rFonts w:eastAsia="Times New Roman" w:cs="Times New Roman"/>
          <w:lang w:val="pt-BR"/>
        </w:rPr>
        <w:t xml:space="preserve">MUCELIN, C. A.; BELLINI, M. Lixo e impactos ambientais perceptíveis no ecossistema urbano. </w:t>
      </w:r>
      <w:r>
        <w:rPr>
          <w:rFonts w:eastAsia="Times New Roman" w:cs="Times New Roman"/>
          <w:b/>
          <w:bCs/>
          <w:lang w:val="pt-BR"/>
        </w:rPr>
        <w:t>Sociedade &amp; Natureza</w:t>
      </w:r>
      <w:r>
        <w:rPr>
          <w:rFonts w:eastAsia="Times New Roman" w:cs="Times New Roman"/>
          <w:lang w:val="pt-BR"/>
        </w:rPr>
        <w:t>, Uberlândia, v. 20, n. 1, p. 111-124, 2008.</w:t>
      </w:r>
    </w:p>
    <w:p>
      <w:pPr>
        <w:pStyle w:val="normal1"/>
        <w:spacing w:lineRule="auto" w:line="240" w:before="0" w:after="120"/>
        <w:ind w:hanging="0"/>
        <w:jc w:val="left"/>
        <w:rPr>
          <w:lang w:val="pt-BR"/>
        </w:rPr>
      </w:pPr>
      <w:r>
        <w:rPr>
          <w:rFonts w:eastAsia="Times New Roman" w:cs="Times New Roman"/>
          <w:lang w:val="pt-BR"/>
        </w:rPr>
        <w:t xml:space="preserve">NASCIMENTO, V. F.; SOBRAL, A. C.; ANDRADE, P. R.; OMETTO, J. P. H. B. Evolução e desafios no gerenciamento dos resíduos sólidos urbanos no Brasil. </w:t>
      </w:r>
      <w:r>
        <w:rPr>
          <w:rFonts w:eastAsia="Times New Roman" w:cs="Times New Roman"/>
          <w:b/>
          <w:bCs/>
          <w:lang w:val="pt-BR"/>
        </w:rPr>
        <w:t>Revista Ambiente &amp; Água</w:t>
      </w:r>
      <w:r>
        <w:rPr>
          <w:rFonts w:eastAsia="Times New Roman" w:cs="Times New Roman"/>
          <w:lang w:val="pt-BR"/>
        </w:rPr>
        <w:t xml:space="preserve">, Taubaté, v. 10, n. 4, p. 889-902, 2015. DOI: </w:t>
      </w:r>
      <w:hyperlink r:id="rId30">
        <w:r>
          <w:rPr>
            <w:rStyle w:val="Hyperlink"/>
            <w:rFonts w:eastAsia="Times New Roman" w:cs="Times New Roman"/>
            <w:lang w:val="pt-BR"/>
          </w:rPr>
          <w:t>https://doi.org/10.4136/ambi-agua.1635</w:t>
        </w:r>
      </w:hyperlink>
      <w:r>
        <w:rPr>
          <w:rFonts w:eastAsia="Times New Roman" w:cs="Times New Roman"/>
          <w:lang w:val="pt-BR"/>
        </w:rPr>
        <w:t>.</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PACHECO, Renata Cristina Vasconcelos. </w:t>
      </w:r>
      <w:r>
        <w:rPr>
          <w:rStyle w:val="Strong"/>
          <w:rFonts w:eastAsia="Times New Roman" w:cs="Times New Roman"/>
          <w:lang w:val="pt-BR"/>
        </w:rPr>
        <w:t>Os principais desafios para a implementação da transformação digital na administração pública: uma revisão sistemática da literatura</w:t>
      </w:r>
      <w:r>
        <w:rPr>
          <w:rFonts w:eastAsia="Times New Roman" w:cs="Times New Roman"/>
          <w:lang w:val="pt-BR"/>
        </w:rPr>
        <w:t>. 2025. 65 f. Dissertação (Mestrado Profissional em Administração Pública) – Escola Brasileira de Administração Pública e de Empresas, Fundação Getulio Vargas, Rio de Janeiro, 2025.</w:t>
      </w:r>
    </w:p>
    <w:p>
      <w:pPr>
        <w:pStyle w:val="normal1"/>
        <w:spacing w:lineRule="auto" w:line="240" w:before="0" w:after="120"/>
        <w:ind w:hanging="0"/>
        <w:jc w:val="left"/>
        <w:rPr>
          <w:lang w:val="pt-BR"/>
        </w:rPr>
      </w:pPr>
      <w:r>
        <w:rPr>
          <w:rFonts w:eastAsia="Times New Roman" w:cs="Times New Roman"/>
          <w:lang w:val="pt-BR"/>
        </w:rPr>
        <w:t xml:space="preserve">PROENÇA, P. F.; SIMÕES, P. </w:t>
      </w:r>
      <w:r>
        <w:rPr>
          <w:rFonts w:eastAsia="Times New Roman" w:cs="Times New Roman"/>
          <w:b/>
          <w:bCs/>
          <w:lang w:val="pt-BR"/>
        </w:rPr>
        <w:t>TACO: Trash Annotations in Context for Litter Detection</w:t>
      </w:r>
      <w:r>
        <w:rPr>
          <w:rFonts w:eastAsia="Times New Roman" w:cs="Times New Roman"/>
          <w:lang w:val="pt-BR"/>
        </w:rPr>
        <w:t>. arXiv, 2020. Disponível em: https://arxiv.org/abs/2003.06975. Acesso em: 8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RADFORD, A.; KIM, J. W.; HALLACY, C.; RAMESH, A.; GOH, G.; AGARWAL, S.; SASTRY, G.; ASKELL, A.; MISHKIN, P.; CLARK, J.; KRUEGER, G.; SUTSKEVER, I. </w:t>
      </w:r>
      <w:r>
        <w:rPr>
          <w:rFonts w:eastAsia="Times New Roman" w:cs="Times New Roman"/>
          <w:b/>
          <w:bCs/>
          <w:lang w:val="pt-BR"/>
        </w:rPr>
        <w:t>Learning transferable visual models from natural language supervision</w:t>
      </w:r>
      <w:r>
        <w:rPr>
          <w:rFonts w:eastAsia="Times New Roman" w:cs="Times New Roman"/>
          <w:lang w:val="pt-BR"/>
        </w:rPr>
        <w:t>. In: INTERNATIONAL CONFERENCE ON MACHINE LEARNING, 38., 2021. Proceedings [...]. [S. l.]: PMLR, 2021. p. 8748-8763. (Proceedings of Machine Learning Research, v. 139).</w:t>
      </w:r>
    </w:p>
    <w:p>
      <w:pPr>
        <w:pStyle w:val="normal1"/>
        <w:spacing w:lineRule="auto" w:line="240" w:before="0" w:after="120"/>
        <w:ind w:hanging="0"/>
        <w:jc w:val="left"/>
        <w:rPr>
          <w:lang w:val="pt-BR"/>
        </w:rPr>
      </w:pPr>
      <w:r>
        <w:rPr>
          <w:rFonts w:eastAsia="Times New Roman" w:cs="Times New Roman"/>
          <w:lang w:val="pt-BR"/>
        </w:rPr>
        <w:t xml:space="preserve">REDMON, J.; DIVVALA, S.; GIRSHICK, R.; FARHADI, A. </w:t>
      </w:r>
      <w:r>
        <w:rPr>
          <w:rFonts w:eastAsia="Times New Roman" w:cs="Times New Roman"/>
          <w:b/>
          <w:bCs/>
          <w:lang w:val="pt-BR"/>
        </w:rPr>
        <w:t>You only look once: unified, real-time object detection</w:t>
      </w:r>
      <w:r>
        <w:rPr>
          <w:rFonts w:eastAsia="Times New Roman" w:cs="Times New Roman"/>
          <w:lang w:val="pt-BR"/>
        </w:rPr>
        <w:t>. In: IEEE CONFERENCE ON COMPUTER VISION AND PATTERN RECOGNITION, 2016, Las Vegas. Proceedings [...]. Las Vegas: IEEE, 2016. p. 779-788.</w:t>
      </w:r>
    </w:p>
    <w:p>
      <w:pPr>
        <w:pStyle w:val="normal1"/>
        <w:spacing w:lineRule="auto" w:line="240" w:before="0" w:after="120"/>
        <w:ind w:hanging="0"/>
        <w:jc w:val="left"/>
        <w:rPr>
          <w:lang w:val="pt-BR"/>
        </w:rPr>
      </w:pPr>
      <w:r>
        <w:rPr>
          <w:rFonts w:eastAsia="Times New Roman" w:cs="Times New Roman"/>
          <w:lang w:val="pt-BR"/>
        </w:rPr>
        <w:t xml:space="preserve">REIS, J.; ESPÍRITO SANTO, P.; MELÃO, N. </w:t>
      </w:r>
      <w:r>
        <w:rPr>
          <w:rFonts w:eastAsia="Times New Roman" w:cs="Times New Roman"/>
          <w:b/>
          <w:bCs/>
          <w:lang w:val="pt-BR"/>
        </w:rPr>
        <w:t>Artificial intelligence in government services: a systematic literature review</w:t>
      </w:r>
      <w:r>
        <w:rPr>
          <w:rFonts w:eastAsia="Times New Roman" w:cs="Times New Roman"/>
          <w:lang w:val="pt-BR"/>
        </w:rPr>
        <w:t>. In: ROCHA, Á. et al. (org.). New knowledge in information systems and technologies. Cham: Springer, 2019. p. 241-252. DOI: https://doi.org/10.1007/978-3-030-16181-1_23.</w:t>
      </w:r>
    </w:p>
    <w:p>
      <w:pPr>
        <w:pStyle w:val="normal1"/>
        <w:spacing w:lineRule="auto" w:line="240" w:before="0" w:after="120"/>
        <w:ind w:hanging="0"/>
        <w:jc w:val="left"/>
        <w:rPr>
          <w:lang w:val="pt-BR"/>
        </w:rPr>
      </w:pPr>
      <w:r>
        <w:rPr>
          <w:rFonts w:eastAsia="Times New Roman" w:cs="Times New Roman"/>
          <w:lang w:val="pt-BR"/>
        </w:rPr>
        <w:t xml:space="preserve">REN, Y.; LI, Y.; GAO, X. An MRS-YOLO model for high-precision waste detection and classification. </w:t>
      </w:r>
      <w:r>
        <w:rPr>
          <w:rFonts w:eastAsia="Times New Roman" w:cs="Times New Roman"/>
          <w:b/>
          <w:bCs/>
          <w:lang w:val="pt-BR"/>
        </w:rPr>
        <w:t>Sensors</w:t>
      </w:r>
      <w:r>
        <w:rPr>
          <w:rFonts w:eastAsia="Times New Roman" w:cs="Times New Roman"/>
          <w:lang w:val="pt-BR"/>
        </w:rPr>
        <w:t>, Basel, v. 24, n. 13, artigo 4339, 2024. DOI: https://doi.org/10.3390/s24134339.</w:t>
      </w:r>
    </w:p>
    <w:p>
      <w:pPr>
        <w:pStyle w:val="normal1"/>
        <w:spacing w:lineRule="auto" w:line="240" w:before="0" w:after="120"/>
        <w:ind w:hanging="0"/>
        <w:jc w:val="left"/>
        <w:rPr>
          <w:lang w:val="pt-BR"/>
        </w:rPr>
      </w:pPr>
      <w:r>
        <w:rPr>
          <w:rFonts w:eastAsia="Times New Roman" w:cs="Times New Roman"/>
          <w:lang w:val="pt-BR"/>
        </w:rPr>
        <w:t xml:space="preserve">RODRIGUES, W.; MAGALHÃES FILHO, L. N. L.; PEREIRA, R. S. Análise dos determinantes dos custos de resíduos sólidos urbanos nas capitais estaduais brasileiras. </w:t>
      </w:r>
      <w:r>
        <w:rPr>
          <w:rFonts w:eastAsia="Times New Roman" w:cs="Times New Roman"/>
          <w:b/>
          <w:bCs/>
          <w:lang w:val="pt-BR"/>
        </w:rPr>
        <w:t>urbe. Revista Brasileira de Gestão Urbana</w:t>
      </w:r>
      <w:r>
        <w:rPr>
          <w:rFonts w:eastAsia="Times New Roman" w:cs="Times New Roman"/>
          <w:lang w:val="pt-BR"/>
        </w:rPr>
        <w:t>, Curitiba, v. 8, n. 1, p. 130-141, 2016. DOI: https://doi.org/10.1590/2175-3369.008.001.AO02.</w:t>
      </w:r>
    </w:p>
    <w:p>
      <w:pPr>
        <w:pStyle w:val="normal1"/>
        <w:spacing w:lineRule="auto" w:line="240" w:before="0" w:after="120"/>
        <w:ind w:hanging="0"/>
        <w:jc w:val="left"/>
        <w:rPr>
          <w:lang w:val="pt-BR"/>
        </w:rPr>
      </w:pPr>
      <w:r>
        <w:rPr>
          <w:rFonts w:eastAsia="Times New Roman" w:cs="Times New Roman"/>
          <w:lang w:val="pt-BR"/>
        </w:rPr>
        <w:t xml:space="preserve">SIDEWALK. </w:t>
      </w:r>
      <w:r>
        <w:rPr>
          <w:rFonts w:eastAsia="Times New Roman" w:cs="Times New Roman"/>
          <w:b/>
          <w:bCs/>
          <w:lang w:val="pt-BR"/>
        </w:rPr>
        <w:t>Sidewalk Segmentation Dataset</w:t>
      </w:r>
      <w:r>
        <w:rPr>
          <w:rFonts w:eastAsia="Times New Roman" w:cs="Times New Roman"/>
          <w:lang w:val="pt-BR"/>
        </w:rPr>
        <w:t>. Roboflow Universe, dez. 2022. Disponível em: https://universe.roboflow.com/sidewalk/sidewalk-segmentation. Acesso em: 8 jun. 2026.</w:t>
      </w:r>
    </w:p>
    <w:p>
      <w:pPr>
        <w:pStyle w:val="normal1"/>
        <w:spacing w:lineRule="auto" w:line="240" w:before="0" w:after="120"/>
        <w:ind w:hanging="0"/>
        <w:jc w:val="left"/>
        <w:rPr>
          <w:lang w:val="pt-BR"/>
        </w:rPr>
      </w:pPr>
      <w:r>
        <w:rPr>
          <w:rFonts w:eastAsia="Times New Roman" w:cs="Times New Roman"/>
          <w:lang w:val="pt-BR"/>
        </w:rPr>
        <w:t xml:space="preserve">SZELISKI, R. </w:t>
      </w:r>
      <w:r>
        <w:rPr>
          <w:rFonts w:eastAsia="Times New Roman" w:cs="Times New Roman"/>
          <w:b/>
          <w:bCs/>
          <w:lang w:val="pt-BR"/>
        </w:rPr>
        <w:t>Computer vision: algorithms and applications</w:t>
      </w:r>
      <w:r>
        <w:rPr>
          <w:rFonts w:eastAsia="Times New Roman" w:cs="Times New Roman"/>
          <w:lang w:val="pt-BR"/>
        </w:rPr>
        <w:t>. 2. ed. Cham: Springer, 2022.</w:t>
      </w:r>
    </w:p>
    <w:p>
      <w:pPr>
        <w:pStyle w:val="normal1"/>
        <w:spacing w:lineRule="auto" w:line="240" w:before="0" w:after="120"/>
        <w:ind w:hanging="0"/>
        <w:jc w:val="left"/>
        <w:rPr>
          <w:lang w:val="pt-BR"/>
        </w:rPr>
      </w:pPr>
      <w:r>
        <w:rPr>
          <w:rFonts w:eastAsia="Times New Roman" w:cs="Times New Roman"/>
          <w:lang w:val="pt-BR"/>
        </w:rPr>
        <w:t xml:space="preserve">TERVEN, J.; CÓRDOVA-ESPARZA, D. M.; ROMERO-GONZÁLEZ, J. A. A comprehensive review of YOLO architectures in computer vision: from YOLOv1 to YOLOv8 and YOLO-NAS. </w:t>
      </w:r>
      <w:r>
        <w:rPr>
          <w:rFonts w:eastAsia="Times New Roman" w:cs="Times New Roman"/>
          <w:b/>
          <w:bCs/>
          <w:lang w:val="pt-BR"/>
        </w:rPr>
        <w:t>Machine Learning and Knowledge Extraction</w:t>
      </w:r>
      <w:r>
        <w:rPr>
          <w:rFonts w:eastAsia="Times New Roman" w:cs="Times New Roman"/>
          <w:lang w:val="pt-BR"/>
        </w:rPr>
        <w:t>, Basel, v. 5, n. 4, p. 1680-1716, 2023. DOI: https://doi.org/10.3390/make5040083.</w:t>
      </w:r>
    </w:p>
    <w:p>
      <w:pPr>
        <w:pStyle w:val="normal1"/>
        <w:spacing w:lineRule="auto" w:line="240" w:before="0" w:after="120"/>
        <w:ind w:hanging="0"/>
        <w:jc w:val="left"/>
        <w:rPr>
          <w:lang w:val="pt-BR"/>
        </w:rPr>
      </w:pPr>
      <w:r>
        <w:rPr>
          <w:rFonts w:eastAsia="Times New Roman" w:cs="Times New Roman"/>
          <w:lang w:val="pt-BR"/>
        </w:rPr>
        <w:t xml:space="preserve">TRASH DATASET FOR ORIENTED BOUNDED BOX. </w:t>
      </w:r>
      <w:r>
        <w:rPr>
          <w:rFonts w:eastAsia="Times New Roman" w:cs="Times New Roman"/>
          <w:b/>
          <w:bCs/>
          <w:lang w:val="pt-BR"/>
        </w:rPr>
        <w:t>Trash Detection Dataset</w:t>
      </w:r>
      <w:r>
        <w:rPr>
          <w:rFonts w:eastAsia="Times New Roman" w:cs="Times New Roman"/>
          <w:lang w:val="pt-BR"/>
        </w:rPr>
        <w:t>. Roboflow Universe, jan. 2026. Disponível em: https://universe.roboflow.com/trash-dataset-for-oriented-bounded-box/trash-detection-1fjjc. Acesso em: 8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ULTRALYTICS. </w:t>
      </w:r>
      <w:r>
        <w:rPr>
          <w:rFonts w:eastAsia="Times New Roman" w:cs="Times New Roman"/>
          <w:b/>
          <w:bCs/>
          <w:lang w:val="pt-BR"/>
        </w:rPr>
        <w:t>Ultralytics YOLO Docs</w:t>
      </w:r>
      <w:r>
        <w:rPr>
          <w:rFonts w:eastAsia="Times New Roman" w:cs="Times New Roman"/>
          <w:lang w:val="pt-BR"/>
        </w:rPr>
        <w:t>: tips for best training results. [S. l.]: Ultralytics, 2024. Disponível em: https://docs.ultralytics.com/guides/model-training-tips/. Acesso em: 8 jun. 2026.</w:t>
      </w:r>
    </w:p>
    <w:p>
      <w:pPr>
        <w:pStyle w:val="normal1"/>
        <w:spacing w:lineRule="auto" w:line="240" w:before="0" w:after="120"/>
        <w:ind w:hanging="0"/>
        <w:jc w:val="left"/>
        <w:rPr>
          <w:lang w:val="pt-BR"/>
        </w:rPr>
      </w:pPr>
      <w:r>
        <w:rPr>
          <w:b/>
          <w:bCs/>
          <w:lang w:val="pt-BR"/>
        </w:rPr>
        <w:t>XIAN, Yongqin; LAMPERT, Christoph H.; SCHIELE, Bernt; AKATA, Zeynep.</w:t>
      </w:r>
      <w:r>
        <w:rPr>
          <w:lang w:val="pt-BR"/>
        </w:rPr>
        <w:t xml:space="preserve"> Zero-shot learning: a comprehensive evaluation of the good, the bad and the ugly. </w:t>
      </w:r>
      <w:r>
        <w:rPr>
          <w:i/>
          <w:iCs/>
          <w:lang w:val="pt-BR"/>
        </w:rPr>
        <w:t>IEEE Transactions on Pattern Analysis and Machine Intelligence</w:t>
      </w:r>
      <w:r>
        <w:rPr>
          <w:lang w:val="pt-BR"/>
        </w:rPr>
        <w:t>, v. 41, n. 9, p. 2251-2265, 2019. DOI: 10.1109/TPAMI.2018.2857768. Disponível em: https://doi.org/10.1109/TPAMI.2018.2857768. Acesso em: 12 jun. 2026.</w:t>
      </w:r>
    </w:p>
    <w:p>
      <w:pPr>
        <w:pStyle w:val="normal1"/>
        <w:spacing w:lineRule="auto" w:line="240" w:before="0" w:after="120"/>
        <w:ind w:hanging="0"/>
        <w:jc w:val="left"/>
        <w:rPr>
          <w:lang w:val="pt-BR"/>
        </w:rPr>
      </w:pPr>
      <w:r>
        <w:rPr>
          <w:rFonts w:eastAsia="Times New Roman" w:cs="Times New Roman"/>
          <w:lang w:val="pt-BR"/>
        </w:rPr>
        <w:t xml:space="preserve">ZAILAN, N. A.; AZIZAN, M. M.; HASIKIN, K.; MOHD KHAIRUDDIN, A. S.; KHAIRUDDIN, U. An automated solid waste detection using the optimized YOLO model for riverine management. </w:t>
      </w:r>
      <w:r>
        <w:rPr>
          <w:rFonts w:eastAsia="Times New Roman" w:cs="Times New Roman"/>
          <w:b/>
          <w:bCs/>
          <w:lang w:val="pt-BR"/>
        </w:rPr>
        <w:t>Frontiers in Public Health</w:t>
      </w:r>
      <w:r>
        <w:rPr>
          <w:rFonts w:eastAsia="Times New Roman" w:cs="Times New Roman"/>
          <w:lang w:val="pt-BR"/>
        </w:rPr>
        <w:t>, Lausanne, v. 10, artigo 907280, 2022. DOI: https://doi.org/10.3389/fpubh.2022.907280.</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ZHANG, J.; HUANG, J.; JIN, S.; LU, S. </w:t>
      </w:r>
      <w:r>
        <w:rPr>
          <w:rFonts w:eastAsia="Times New Roman" w:cs="Times New Roman"/>
          <w:b/>
          <w:bCs/>
          <w:lang w:val="pt-BR"/>
        </w:rPr>
        <w:t>Vision-language models for vision tasks: a survey</w:t>
      </w:r>
      <w:r>
        <w:rPr>
          <w:rFonts w:eastAsia="Times New Roman" w:cs="Times New Roman"/>
          <w:lang w:val="pt-BR"/>
        </w:rPr>
        <w:t>. arXiv, 2024. Disponível em: https://arxiv.org/abs/2304.00685. Acesso em: 8 jun. 2026.</w:t>
      </w:r>
    </w:p>
    <w:p>
      <w:pPr>
        <w:pStyle w:val="normal1"/>
        <w:spacing w:lineRule="auto" w:line="240" w:before="0" w:after="120"/>
        <w:ind w:hanging="0"/>
        <w:jc w:val="left"/>
        <w:rPr>
          <w:lang w:val="pt-BR"/>
        </w:rPr>
      </w:pPr>
      <w:r>
        <w:rPr>
          <w:b/>
          <w:bCs/>
          <w:lang w:val="pt-BR"/>
        </w:rPr>
        <w:t>ZHANG, Xinyu; ZHU, Daqi; GAN, Wenyang.</w:t>
      </w:r>
      <w:r>
        <w:rPr>
          <w:lang w:val="pt-BR"/>
        </w:rPr>
        <w:t xml:space="preserve"> YOLOv7t-CEBC Network for Underwater Litter Detection. </w:t>
      </w:r>
      <w:r>
        <w:rPr>
          <w:b/>
          <w:bCs/>
          <w:lang w:val="pt-BR"/>
        </w:rPr>
        <w:t>Journal of Marine Science and Engineering</w:t>
      </w:r>
      <w:r>
        <w:rPr>
          <w:lang w:val="pt-BR"/>
        </w:rPr>
        <w:t>, v. 12, n. 4, artigo 524, 2024. DOI: 10.3390/jmse12040524.</w:t>
      </w:r>
    </w:p>
    <w:p>
      <w:pPr>
        <w:pStyle w:val="normal1"/>
        <w:spacing w:lineRule="auto" w:line="240" w:before="0" w:after="120"/>
        <w:ind w:hanging="0"/>
        <w:jc w:val="left"/>
        <w:rPr>
          <w:lang w:val="pt-BR"/>
        </w:rPr>
      </w:pPr>
      <w:r>
        <w:rPr>
          <w:rFonts w:eastAsia="Times New Roman" w:cs="Times New Roman"/>
          <w:lang w:val="pt-BR"/>
        </w:rPr>
        <w:t xml:space="preserve">ZOU, Z.; CHEN, K.; SHI, Z.; GUO, Y.; YE, J. Object detection in 20 years: a survey. </w:t>
      </w:r>
      <w:r>
        <w:rPr>
          <w:rFonts w:eastAsia="Times New Roman" w:cs="Times New Roman"/>
          <w:b/>
          <w:bCs/>
          <w:lang w:val="pt-BR"/>
        </w:rPr>
        <w:t>Proceedings of the IEEE</w:t>
      </w:r>
      <w:r>
        <w:rPr>
          <w:rFonts w:eastAsia="Times New Roman" w:cs="Times New Roman"/>
          <w:lang w:val="pt-BR"/>
        </w:rPr>
        <w:t>, New York, v. 111, n. 3, p. 257-276, 2023. DOI: https://doi.org/10.1109/JPROC.2023.3238524.</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ZUIDERWIJK, A.; CHEN, Y.-C.; SALEM, F. Implications of the use of artificial intelligence in public governance: a systematic literature review and a research agenda. </w:t>
      </w:r>
      <w:r>
        <w:rPr>
          <w:rFonts w:eastAsia="Times New Roman" w:cs="Times New Roman"/>
          <w:b/>
          <w:bCs/>
          <w:lang w:val="pt-BR"/>
        </w:rPr>
        <w:t>Government Information Quarterly</w:t>
      </w:r>
      <w:r>
        <w:rPr>
          <w:rFonts w:eastAsia="Times New Roman" w:cs="Times New Roman"/>
          <w:lang w:val="pt-BR"/>
        </w:rPr>
        <w:t xml:space="preserve">, Amsterdam, v. 38, n. 3, artigo 101577, 2021. DOI: </w:t>
      </w:r>
      <w:hyperlink r:id="rId31">
        <w:r>
          <w:rPr>
            <w:rStyle w:val="Hyperlink"/>
            <w:rFonts w:eastAsia="Times New Roman" w:cs="Times New Roman"/>
            <w:lang w:val="pt-BR"/>
          </w:rPr>
          <w:t>https://doi.org/10.1016/j.giq.2021.101577</w:t>
        </w:r>
      </w:hyperlink>
      <w:r>
        <w:rPr>
          <w:rFonts w:eastAsia="Times New Roman" w:cs="Times New Roman"/>
          <w:lang w:val="pt-BR"/>
        </w:rPr>
        <w:t>.</w:t>
      </w:r>
    </w:p>
    <w:p>
      <w:pPr>
        <w:pStyle w:val="normal1"/>
        <w:spacing w:before="0" w:after="120"/>
        <w:rPr/>
      </w:pPr>
      <w:r>
        <w:rPr>
          <w:b/>
          <w:bCs/>
        </w:rPr>
        <w:t>TORNEIRO, André; MONTEIRO, Diogo; NOVAIS, Paulo; HENRIQUES, Pedro Rangel; RODRIGUES, Nuno F.</w:t>
      </w:r>
      <w:r>
        <w:rPr/>
        <w:t xml:space="preserve"> Towards general urban monitoring with vision-language models: a review, evaluation, and a research agenda. </w:t>
      </w:r>
      <w:r>
        <w:rPr>
          <w:i/>
          <w:iCs/>
        </w:rPr>
        <w:t>arXiv</w:t>
      </w:r>
      <w:r>
        <w:rPr/>
        <w:t xml:space="preserve">, 2025. DOI: 10.48550/arXiv.2510.12400. Disponível em: </w:t>
      </w:r>
      <w:hyperlink r:id="rId32" w:tgtFrame="_new">
        <w:r>
          <w:rPr>
            <w:rStyle w:val="Hyperlink"/>
          </w:rPr>
          <w:t>https://arxiv.org/abs/2510.12400</w:t>
        </w:r>
      </w:hyperlink>
      <w:r>
        <w:rPr/>
        <w:t>. Acesso em: 12 jun. 2026.</w:t>
      </w:r>
    </w:p>
    <w:p>
      <w:pPr>
        <w:pStyle w:val="normal1"/>
        <w:spacing w:before="0" w:after="120"/>
        <w:rPr/>
      </w:pPr>
      <w:r>
        <w:rPr>
          <w:b/>
          <w:bCs/>
        </w:rPr>
        <w:t>MALLA, Hiranya Jeet; BAZLI, Milad; ARASHPOUR, Mehrdad.</w:t>
      </w:r>
      <w:r>
        <w:rPr/>
        <w:t xml:space="preserve"> Prompt-stable knowledge distillation of vision-language models for efficient waste classification in material recovery facilities. </w:t>
      </w:r>
      <w:r>
        <w:rPr>
          <w:i/>
          <w:iCs/>
        </w:rPr>
        <w:t>Resources, Conservation and Recycling</w:t>
      </w:r>
      <w:r>
        <w:rPr/>
        <w:t>, v. 230, art. 108885, p. 1-13, 2026. DOI: 10.1016/j.resconrec.2026.108885. Disponível em: https://doi.org/10.1016/j.resconrec.2026.108885. Acesso em: 12 jun. 2026.</w:t>
      </w:r>
    </w:p>
    <w:p>
      <w:pPr>
        <w:pStyle w:val="normal1"/>
        <w:spacing w:before="0" w:after="120"/>
        <w:rPr/>
      </w:pPr>
      <w:r>
        <w:rPr>
          <w:b/>
          <w:bCs/>
        </w:rPr>
        <w:t>FUNK, Jonas et al.</w:t>
      </w:r>
      <w:r>
        <w:rPr/>
        <w:t xml:space="preserve"> A comparative evaluation of vision language models for waste classification in few-shot settings. In: </w:t>
      </w:r>
      <w:r>
        <w:rPr>
          <w:b/>
          <w:bCs/>
        </w:rPr>
        <w:t>WORLD CONGRESS ON ELECTRICAL ENGINEERING AND COMPUTER SYSTEMS AND SCIENCE</w:t>
      </w:r>
      <w:r>
        <w:rPr/>
        <w:t xml:space="preserve">, 11., 2025. </w:t>
      </w:r>
      <w:r>
        <w:rPr>
          <w:i/>
          <w:iCs/>
        </w:rPr>
        <w:t>Proceedings [...]</w:t>
      </w:r>
      <w:r>
        <w:rPr/>
        <w:t>. [S. l.]: EECSS, 2025. DOI: 10.11159/mvml25.113. Disponível em: https://doi.org/10.11159/mvml25.113. Acesso em: 12 jun. 2026.</w:t>
      </w:r>
    </w:p>
    <w:p>
      <w:pPr>
        <w:pStyle w:val="normal1"/>
        <w:spacing w:before="0" w:after="120"/>
        <w:rPr/>
      </w:pPr>
      <w:r>
        <w:rPr>
          <w:b/>
          <w:bCs/>
        </w:rPr>
        <w:t>RAJABI, Navid; KOSECKA, Jana.</w:t>
      </w:r>
      <w:r>
        <w:rPr/>
        <w:t xml:space="preserve"> Towards grounded visual spatial reasoning in multi-modal vision language models. </w:t>
      </w:r>
      <w:r>
        <w:rPr>
          <w:i/>
          <w:iCs/>
        </w:rPr>
        <w:t>arXiv</w:t>
      </w:r>
      <w:r>
        <w:rPr/>
        <w:t xml:space="preserve">, 2023. DOI: 10.48550/arXiv.2308.09778. Disponível em: </w:t>
      </w:r>
      <w:hyperlink r:id="rId33" w:tgtFrame="_new">
        <w:r>
          <w:rPr>
            <w:rStyle w:val="Hyperlink"/>
          </w:rPr>
          <w:t>https://arxiv.org/abs/2308.09778</w:t>
        </w:r>
      </w:hyperlink>
      <w:r>
        <w:rPr/>
        <w:t>. Acesso em: 12 jun. 2026.</w:t>
      </w:r>
    </w:p>
    <w:p>
      <w:pPr>
        <w:pStyle w:val="normal1"/>
        <w:spacing w:before="0" w:after="120"/>
        <w:rPr/>
      </w:pPr>
      <w:r>
        <w:rPr>
          <w:b/>
          <w:bCs/>
        </w:rPr>
        <w:t>WAN, David; CHO, Jaemin; STENGEL-ESKIN, Elias; BANSAL, Mohit.</w:t>
      </w:r>
      <w:r>
        <w:rPr/>
        <w:t xml:space="preserve"> Contrastive region guidance: improving grounding in vision-language models without training. In: </w:t>
      </w:r>
      <w:r>
        <w:rPr>
          <w:b/>
          <w:bCs/>
        </w:rPr>
        <w:t>EUROPEAN CONFERENCE ON COMPUTER VISION</w:t>
      </w:r>
      <w:r>
        <w:rPr/>
        <w:t xml:space="preserve">, 2024. </w:t>
      </w:r>
      <w:r>
        <w:rPr>
          <w:i/>
          <w:iCs/>
        </w:rPr>
        <w:t>Proceedings [...]</w:t>
      </w:r>
      <w:r>
        <w:rPr/>
        <w:t xml:space="preserve">. [S. l.]: Springer, 2024. Disponível em: </w:t>
      </w:r>
      <w:hyperlink r:id="rId34" w:tgtFrame="_new">
        <w:r>
          <w:rPr>
            <w:rStyle w:val="Hyperlink"/>
          </w:rPr>
          <w:t>https://www.ecva.net/papers/eccv_2024/papers_ECCV/papers/10172.pdf</w:t>
        </w:r>
      </w:hyperlink>
      <w:r>
        <w:rPr/>
        <w:t>. Acesso em: 12 jun. 2026.</w:t>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12.8,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sectPr>
      <w:headerReference w:type="default" r:id="rId35"/>
      <w:headerReference w:type="first" r:id="rId36"/>
      <w:footerReference w:type="default" r:id="rId37"/>
      <w:footerReference w:type="first" r:id="rId38"/>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6-13T06:55:10Z" w:initials="">
    <w:p>
      <w:pPr>
        <w:overflowPunct w:val="false"/>
        <w:spacing w:lineRule="auto" w:line="240"/>
        <w:jc w:val="left"/>
        <w:rPr/>
      </w:pPr>
      <w:r>
        <w:rPr>
          <w:rFonts w:ascii="Liberation Serif" w:hAnsi="Liberation Serif" w:eastAsia="DejaVu Sans" w:cs="Noto Sans Arabic UI"/>
          <w:lang w:val="en-US" w:eastAsia="en-US" w:bidi="en-US"/>
        </w:rPr>
        <w:t>Paragrafo muito grande</w:t>
      </w:r>
    </w:p>
  </w:comment>
  <w:comment w:id="1" w:author="Autor desconhecido" w:date="2026-06-13T06:58:51Z" w:initials="">
    <w:p>
      <w:pPr>
        <w:overflowPunct w:val="false"/>
        <w:spacing w:lineRule="auto" w:line="240"/>
        <w:jc w:val="left"/>
        <w:rPr/>
      </w:pPr>
      <w:r>
        <w:rPr>
          <w:rFonts w:ascii="Liberation Serif" w:hAnsi="Liberation Serif" w:eastAsia="DejaVu Sans" w:cs="Noto Sans Arabic UI"/>
          <w:lang w:val="en-US" w:eastAsia="en-US" w:bidi="en-US"/>
        </w:rPr>
        <w:t>Ajeitar formatação da tabela ABNT</w:t>
      </w:r>
    </w:p>
  </w:comment>
  <w:comment w:id="2" w:author="Autor desconhecido" w:date="2026-06-13T07:07:59Z" w:initials="">
    <w:p>
      <w:pPr>
        <w:overflowPunct w:val="false"/>
        <w:spacing w:lineRule="auto" w:line="240"/>
        <w:jc w:val="left"/>
        <w:rPr/>
      </w:pPr>
      <w:r>
        <w:rPr>
          <w:rFonts w:ascii="Liberation Serif" w:hAnsi="Liberation Serif" w:eastAsia="DejaVu Sans" w:cs="Noto Sans Arabic UI"/>
          <w:lang w:val="en-US" w:eastAsia="en-US" w:bidi="en-US"/>
        </w:rPr>
        <w:t>referencia</w:t>
      </w:r>
    </w:p>
  </w:comment>
  <w:comment w:id="3" w:author="Autor desconhecido" w:date="2026-06-13T07:10:25Z" w:initials="">
    <w:p>
      <w:pPr>
        <w:overflowPunct w:val="false"/>
        <w:spacing w:lineRule="auto" w:line="240"/>
        <w:jc w:val="left"/>
        <w:rPr/>
      </w:pPr>
      <w:r>
        <w:rPr>
          <w:rFonts w:ascii="Liberation Serif" w:hAnsi="Liberation Serif" w:eastAsia="DejaVu Sans" w:cs="Noto Sans Arabic UI"/>
          <w:lang w:val="en-US" w:eastAsia="en-US" w:bidi="en-US"/>
        </w:rPr>
        <w:t>Paragrafo mt grande</w:t>
      </w:r>
    </w:p>
  </w:comment>
  <w:comment w:id="4" w:author="Autor desconhecido" w:date="2026-06-13T07:11:20Z" w:initials="">
    <w:p>
      <w:pPr>
        <w:overflowPunct w:val="false"/>
        <w:spacing w:lineRule="auto" w:line="240"/>
        <w:jc w:val="left"/>
        <w:rPr/>
      </w:pPr>
      <w:r>
        <w:rPr>
          <w:rFonts w:ascii="Liberation Serif" w:hAnsi="Liberation Serif" w:eastAsia="DejaVu Sans" w:cs="Noto Sans Arabic UI"/>
          <w:lang w:val="en-US" w:eastAsia="en-US" w:bidi="en-US"/>
        </w:rPr>
        <w:t>Add metricas estatisticas</w:t>
      </w:r>
    </w:p>
  </w:comment>
  <w:comment w:id="5" w:author="Autor desconhecido" w:date="2026-06-13T07:13:11Z" w:initials="">
    <w:p>
      <w:pPr>
        <w:overflowPunct w:val="false"/>
        <w:spacing w:lineRule="auto" w:line="240"/>
        <w:jc w:val="left"/>
        <w:rPr/>
      </w:pPr>
      <w:r>
        <w:rPr>
          <w:rFonts w:ascii="Liberation Serif" w:hAnsi="Liberation Serif" w:eastAsia="DejaVu Sans" w:cs="Noto Sans Arabic UI"/>
          <w:lang w:val="en-US" w:eastAsia="en-US" w:bidi="en-US"/>
        </w:rPr>
        <w:t>Referencia</w:t>
      </w:r>
    </w:p>
    <w:p>
      <w:pPr>
        <w:overflowPunct w:val="false"/>
        <w:spacing w:lineRule="auto" w:line="240"/>
        <w:jc w:val="left"/>
        <w:rPr/>
      </w:pPr>
      <w:r>
        <w:rPr>
          <w:rFonts w:ascii="Liberation Serif" w:hAnsi="Liberation Serif" w:eastAsia="DejaVu Sans" w:cs="Noto Sans Arabic UI"/>
          <w:lang w:val="en-US" w:eastAsia="en-US" w:bidi="en-US"/>
        </w:rPr>
      </w:r>
    </w:p>
  </w:comment>
  <w:comment w:id="6" w:author="Autor desconhecido" w:date="2026-06-13T07:14:00Z" w:initials="">
    <w:p>
      <w:pPr>
        <w:overflowPunct w:val="false"/>
        <w:spacing w:lineRule="auto" w:line="240"/>
        <w:jc w:val="left"/>
        <w:rPr/>
      </w:pPr>
      <w:r>
        <w:rPr>
          <w:rFonts w:ascii="Liberation Serif" w:hAnsi="Liberation Serif" w:eastAsia="DejaVu Sans" w:cs="Noto Sans Arabic UI"/>
          <w:lang w:val="en-US" w:eastAsia="en-US" w:bidi="en-US"/>
        </w:rPr>
        <w:t>Reformular. Esta justificando a escolha do objetivo</w:t>
      </w:r>
    </w:p>
  </w:comment>
  <w:comment w:id="7" w:author="Autor desconhecido" w:date="2026-06-13T07:17:30Z" w:initials="">
    <w:p>
      <w:pPr>
        <w:overflowPunct w:val="false"/>
        <w:spacing w:lineRule="auto" w:line="240"/>
        <w:jc w:val="left"/>
        <w:rPr/>
      </w:pPr>
      <w:r>
        <w:rPr>
          <w:rFonts w:ascii="Liberation Serif" w:hAnsi="Liberation Serif" w:eastAsia="DejaVu Sans" w:cs="Noto Sans Arabic UI"/>
          <w:lang w:val="en-US" w:eastAsia="en-US" w:bidi="en-US"/>
        </w:rPr>
        <w:t>Justificando de novo</w:t>
      </w:r>
    </w:p>
  </w:comment>
  <w:comment w:id="8" w:author="Autor desconhecido" w:date="2026-06-13T07:23:55Z" w:initials="">
    <w:p>
      <w:pPr>
        <w:overflowPunct w:val="false"/>
        <w:spacing w:lineRule="auto" w:line="240"/>
        <w:jc w:val="left"/>
        <w:rPr/>
      </w:pPr>
      <w:r>
        <w:rPr>
          <w:rFonts w:ascii="Liberation Serif" w:hAnsi="Liberation Serif" w:eastAsia="DejaVu Sans" w:cs="Noto Sans Arabic UI"/>
          <w:lang w:val="en-US" w:eastAsia="en-US" w:bidi="en-US"/>
        </w:rPr>
        <w:t>Repetindo frase. Ok deixar nessa mas nas outras  que nn tem sentido tira</w:t>
      </w:r>
    </w:p>
  </w:comment>
  <w:comment w:id="9" w:author="Autor desconhecido" w:date="2026-06-13T07:32:09Z" w:initials="">
    <w:p>
      <w:pPr>
        <w:overflowPunct w:val="false"/>
        <w:spacing w:lineRule="auto" w:line="240"/>
        <w:jc w:val="left"/>
        <w:rPr/>
      </w:pPr>
      <w:r>
        <w:rPr>
          <w:rFonts w:ascii="Liberation Serif" w:hAnsi="Liberation Serif" w:eastAsia="DejaVu Sans" w:cs="Noto Sans Arabic UI"/>
          <w:lang w:val="en-US" w:eastAsia="en-US" w:bidi="en-US"/>
        </w:rPr>
        <w:t>Paragrafo mt grande</w:t>
      </w:r>
    </w:p>
    <w:p>
      <w:pPr>
        <w:overflowPunct w:val="false"/>
        <w:spacing w:lineRule="auto" w:line="240"/>
        <w:jc w:val="left"/>
        <w:rPr/>
      </w:pPr>
      <w:r>
        <w:rPr>
          <w:rFonts w:ascii="Liberation Serif" w:hAnsi="Liberation Serif" w:eastAsia="DejaVu Sans" w:cs="Noto Sans Arabic UI"/>
          <w:lang w:val="en-US" w:eastAsia="en-US" w:bidi="en-US"/>
        </w:rPr>
        <w:t>Dividir em 2</w:t>
      </w:r>
    </w:p>
  </w:comment>
  <w:comment w:id="10" w:author="Autor desconhecido" w:date="2026-06-13T07:40:17Z" w:initials="">
    <w:p>
      <w:pPr>
        <w:overflowPunct w:val="false"/>
        <w:spacing w:lineRule="auto" w:line="240"/>
        <w:jc w:val="left"/>
        <w:rPr/>
      </w:pPr>
      <w:r>
        <w:rPr>
          <w:rFonts w:ascii="Liberation Serif" w:hAnsi="Liberation Serif" w:eastAsia="DejaVu Sans" w:cs="Noto Sans Arabic UI"/>
          <w:lang w:val="en-US" w:eastAsia="en-US" w:bidi="en-US"/>
        </w:rPr>
        <w:t>referencia</w:t>
      </w:r>
    </w:p>
  </w:comment>
  <w:comment w:id="11" w:author="Autor desconhecido" w:date="2026-06-13T07:44:12Z" w:initials="">
    <w:p>
      <w:pPr>
        <w:overflowPunct w:val="false"/>
        <w:spacing w:lineRule="auto" w:line="240"/>
        <w:jc w:val="left"/>
        <w:rPr/>
      </w:pPr>
      <w:r>
        <w:rPr>
          <w:rFonts w:ascii="Liberation Serif" w:hAnsi="Liberation Serif" w:eastAsia="DejaVu Sans" w:cs="Noto Sans Arabic UI"/>
          <w:lang w:val="en-US" w:eastAsia="en-US" w:bidi="en-US"/>
        </w:rPr>
        <w:t>Paragrafo mt grande</w:t>
      </w:r>
    </w:p>
  </w:comment>
  <w:comment w:id="12" w:author="Autor desconhecido" w:date="2026-06-13T08:00:37Z" w:initials="">
    <w:p>
      <w:pPr>
        <w:overflowPunct w:val="false"/>
        <w:spacing w:lineRule="auto" w:line="240"/>
        <w:jc w:val="left"/>
        <w:rPr/>
      </w:pPr>
      <w:r>
        <w:rPr>
          <w:rFonts w:ascii="Liberation Serif" w:hAnsi="Liberation Serif" w:eastAsia="DejaVu Sans" w:cs="Noto Sans Arabic UI"/>
          <w:lang w:val="en-US" w:eastAsia="en-US" w:bidi="en-US"/>
        </w:rPr>
        <w:t>Pesquisa essa parte no trabalho e apaga algumas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eorgia">
    <w:charset w:val="01"/>
    <w:family w:val="roman"/>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Cardo">
    <w:charset w:val="01"/>
    <w:family w:val="roman"/>
    <w:pitch w:val="variable"/>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68</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doi.org/10.3390/s22020548" TargetMode="External"/><Relationship Id="rId24" Type="http://schemas.openxmlformats.org/officeDocument/2006/relationships/hyperlink" Target="https://www.scielo.br/j/esa/a/9CmBjrLMQpCRBZWttpDLtcJ/" TargetMode="External"/><Relationship Id="rId25" Type="http://schemas.openxmlformats.org/officeDocument/2006/relationships/hyperlink" Target="https://www.progere.ufc.br/wp-content/uploads/2015/08/Plano-Municipal-de-Gest&#227;o-Integrada-de-Res&#237;duos-S&#243;lidos-de-Fortaleza.pdf" TargetMode="External"/><Relationship Id="rId26" Type="http://schemas.openxmlformats.org/officeDocument/2006/relationships/hyperlink" Target="https://doi.org/10.1590/2175-3369.016.e20230271" TargetMode="External"/><Relationship Id="rId27" Type="http://schemas.openxmlformats.org/officeDocument/2006/relationships/hyperlink" Target="https://repositorio.ufc.br/handle/riufc/60224" TargetMode="External"/><Relationship Id="rId28" Type="http://schemas.openxmlformats.org/officeDocument/2006/relationships/hyperlink" Target="https://doi.org/10.1038/nature14539" TargetMode="External"/><Relationship Id="rId29" Type="http://schemas.openxmlformats.org/officeDocument/2006/relationships/hyperlink" Target="https://proceedings.mlr.press/v202/li23q.html" TargetMode="External"/><Relationship Id="rId30" Type="http://schemas.openxmlformats.org/officeDocument/2006/relationships/hyperlink" Target="https://doi.org/10.4136/ambi-agua.1635" TargetMode="External"/><Relationship Id="rId31" Type="http://schemas.openxmlformats.org/officeDocument/2006/relationships/hyperlink" Target="https://doi.org/10.1016/j.giq.2021.101577" TargetMode="External"/><Relationship Id="rId32" Type="http://schemas.openxmlformats.org/officeDocument/2006/relationships/hyperlink" Target="https://arxiv.org/abs/2510.12400?utm_source=chatgpt.com" TargetMode="External"/><Relationship Id="rId33" Type="http://schemas.openxmlformats.org/officeDocument/2006/relationships/hyperlink" Target="https://arxiv.org/abs/2308.09778?utm_source=chatgpt.com" TargetMode="External"/><Relationship Id="rId34" Type="http://schemas.openxmlformats.org/officeDocument/2006/relationships/hyperlink" Target="https://www.ecva.net/papers/eccv_2024/papers_ECCV/papers/10172.pdf?utm_source=chatgpt.com" TargetMode="External"/><Relationship Id="rId35" Type="http://schemas.openxmlformats.org/officeDocument/2006/relationships/header" Target="header4.xml"/><Relationship Id="rId36" Type="http://schemas.openxmlformats.org/officeDocument/2006/relationships/header" Target="header5.xml"/><Relationship Id="rId37" Type="http://schemas.openxmlformats.org/officeDocument/2006/relationships/footer" Target="footer4.xml"/><Relationship Id="rId38" Type="http://schemas.openxmlformats.org/officeDocument/2006/relationships/footer" Target="footer5.xml"/><Relationship Id="rId39" Type="http://schemas.openxmlformats.org/officeDocument/2006/relationships/comments" Target="comments.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743</TotalTime>
  <Application>LibreOffice/24.2.7.2$Linux_X86_64 LibreOffice_project/420$Build-2</Application>
  <AppVersion>15.0000</AppVersion>
  <Pages>69</Pages>
  <Words>19705</Words>
  <Characters>119539</Characters>
  <CharactersWithSpaces>138606</CharactersWithSpaces>
  <Paragraphs>739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2026-06-13T09:00:21Z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