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Ttul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parcial 3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not provided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Ttul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Ttul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Fuad David Franco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2024-05-08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BD6FFC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BD6FFC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BD6FFC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BD6FFC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BD6FFC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BD6FFC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BD6FFC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BD6FFC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BD6FFC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BD6FFC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BD6FFC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BD6FFC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BD6FFC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BD6FFC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BD6FFC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BD6FFC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BD6FFC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parcial 3.</w:t>
      </w:r>
    </w:p>
    <w:p w:rsidR="00BB4162" w:rsidRDefault="00BB4162" w:rsidP="00426961">
      <w:pPr>
        <w:rPr>
          <w:lang w:val="en-US"/>
        </w:rPr>
      </w:pP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[Python];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AY9ZHr7BtE8vwW8FoL1F.json;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noProof/>
                <w:szCs w:val="24"/>
                <w:lang w:val="es-CO" w:eastAsia="es-CO"/>
              </w:rPr>
              <w:drawing>
                <wp:inline distT="0" distB="0" distL="0" distR="0">
                  <wp:extent cx="304800" cy="304800"/>
                  <wp:effectExtent l="0" t="0" r="0" b="0"/>
                  <wp:docPr id="1" name="Drawing 0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noProof/>
                <w:szCs w:val="24"/>
                <w:lang w:val="es-CO" w:eastAsia="es-CO"/>
              </w:rPr>
              <w:drawing>
                <wp:inline distT="0" distB="0" distL="0" distR="0">
                  <wp:extent cx="304800" cy="304800"/>
                  <wp:effectExtent l="0" t="0" r="0" b="0"/>
                  <wp:docPr id="4" name="Drawing 4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noProof/>
                <w:szCs w:val="24"/>
                <w:lang w:val="es-CO" w:eastAsia="es-CO"/>
              </w:rPr>
              <w:drawing>
                <wp:inline distT="0" distB="0" distL="0" distR="0">
                  <wp:extent cx="304800" cy="304800"/>
                  <wp:effectExtent l="0" t="0" r="0" b="0"/>
                  <wp:docPr id="6" name="Drawing 6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noProof/>
                <w:szCs w:val="24"/>
                <w:lang w:val="es-CO" w:eastAsia="es-CO"/>
              </w:rPr>
              <w:drawing>
                <wp:inline distT="0" distB="0" distL="0" distR="0">
                  <wp:extent cx="304800" cy="304800"/>
                  <wp:effectExtent l="0" t="0" r="0" b="0"/>
                  <wp:docPr id="7" name="Drawing 7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  <w:noProof/>
                <w:lang w:val="es-CO" w:eastAsia="es-CO"/>
              </w:rPr>
              <w:drawing>
                <wp:inline distT="0" distB="0" distL="0" distR="0">
                  <wp:extent cx="812800" cy="254000"/>
                  <wp:effectExtent l="0" t="0" r="0" b="0"/>
                  <wp:docPr id="8" name="Drawing 8" descr="O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81"/>
        <w:gridCol w:w="1588"/>
        <w:gridCol w:w="1871"/>
        <w:gridCol w:w="2455"/>
        <w:gridCol w:w="2363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2.4 %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55.0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99.7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2208"/>
        <w:gridCol w:w="1873"/>
        <w:gridCol w:w="3142"/>
        <w:gridCol w:w="2631"/>
      </w:tblGrid>
      <w:tr w:rsidR="00101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Reliability</w:t>
            </w:r>
          </w:p>
        </w:tc>
        <w:tc>
          <w:tcPr>
            <w:tcW w:w="0" w:type="auto"/>
          </w:tcPr>
          <w:p w:rsidR="00101525" w:rsidRDefault="00BD6FFC">
            <w:r>
              <w:t>Security</w:t>
            </w:r>
          </w:p>
        </w:tc>
        <w:tc>
          <w:tcPr>
            <w:tcW w:w="0" w:type="auto"/>
          </w:tcPr>
          <w:p w:rsidR="00101525" w:rsidRDefault="00BD6FFC">
            <w:r>
              <w:t>Maintainability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101525" w:rsidRDefault="00BD6FFC">
            <w:r>
              <w:t>Total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-</w:t>
            </w:r>
          </w:p>
        </w:tc>
        <w:tc>
          <w:tcPr>
            <w:tcW w:w="0" w:type="auto"/>
          </w:tcPr>
          <w:p w:rsidR="00101525" w:rsidRDefault="00BD6FFC">
            <w:r>
              <w:t>-</w:t>
            </w:r>
          </w:p>
        </w:tc>
        <w:tc>
          <w:tcPr>
            <w:tcW w:w="0" w:type="auto"/>
          </w:tcPr>
          <w:p w:rsidR="00101525" w:rsidRDefault="00BD6FFC">
            <w:r>
              <w:t>0d 6h 19min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101525" w:rsidRDefault="00BD6FFC">
            <w:r>
              <w:t>0d 6h 19min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lastRenderedPageBreak/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82"/>
        <w:gridCol w:w="1460"/>
        <w:gridCol w:w="2307"/>
        <w:gridCol w:w="1007"/>
        <w:gridCol w:w="1974"/>
        <w:gridCol w:w="991"/>
        <w:gridCol w:w="1533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457.0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4" w:name="_Toc97156268"/>
      <w:r>
        <w:rPr>
          <w:lang w:val="en-US"/>
        </w:rPr>
        <w:t>Volume</w:t>
      </w:r>
      <w:bookmarkEnd w:id="14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5204"/>
        <w:gridCol w:w="4650"/>
      </w:tblGrid>
      <w:tr w:rsidR="00101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Language</w:t>
            </w:r>
          </w:p>
        </w:tc>
        <w:tc>
          <w:tcPr>
            <w:tcW w:w="0" w:type="auto"/>
          </w:tcPr>
          <w:p w:rsidR="00101525" w:rsidRDefault="00BD6FFC">
            <w:r>
              <w:t>Number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Python</w:t>
            </w:r>
          </w:p>
        </w:tc>
        <w:tc>
          <w:tcPr>
            <w:tcW w:w="0" w:type="auto"/>
          </w:tcPr>
          <w:p w:rsidR="00101525" w:rsidRDefault="00BD6FFC">
            <w:r>
              <w:t>457</w:t>
            </w:r>
          </w:p>
        </w:tc>
      </w:tr>
      <w:tr w:rsidR="00101525">
        <w:tc>
          <w:tcPr>
            <w:tcW w:w="0" w:type="auto"/>
          </w:tcPr>
          <w:p w:rsidR="00101525" w:rsidRDefault="00BD6FFC">
            <w:r>
              <w:t>Total</w:t>
            </w:r>
          </w:p>
        </w:tc>
        <w:tc>
          <w:tcPr>
            <w:tcW w:w="0" w:type="auto"/>
          </w:tcPr>
          <w:p w:rsidR="00101525" w:rsidRDefault="00BD6FFC">
            <w:r>
              <w:t>457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5" w:name="_Toc97156269"/>
      <w:r>
        <w:rPr>
          <w:lang w:val="en-US"/>
        </w:rPr>
        <w:lastRenderedPageBreak/>
        <w:t>Issues</w:t>
      </w:r>
      <w:bookmarkEnd w:id="15"/>
    </w:p>
    <w:p w:rsidR="00E24710" w:rsidRPr="00BB4162" w:rsidRDefault="00E24710" w:rsidP="00E24710">
      <w:pPr>
        <w:pStyle w:val="Ttulo2"/>
        <w:rPr>
          <w:lang w:val="en-US"/>
        </w:rPr>
      </w:pPr>
      <w:bookmarkStart w:id="16" w:name="_Toc97156270"/>
      <w:r w:rsidRPr="00BB4162">
        <w:rPr>
          <w:lang w:val="en-US"/>
        </w:rPr>
        <w:t>Charts</w:t>
      </w:r>
      <w:bookmarkEnd w:id="16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2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3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5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9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7" w:name="_Toc97156271"/>
      <w:r w:rsidRPr="001F5FAC">
        <w:rPr>
          <w:lang w:val="en-US"/>
        </w:rPr>
        <w:lastRenderedPageBreak/>
        <w:t>Issues count by severity and type</w:t>
      </w:r>
      <w:bookmarkEnd w:id="17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2567"/>
        <w:gridCol w:w="1090"/>
        <w:gridCol w:w="1428"/>
        <w:gridCol w:w="1433"/>
        <w:gridCol w:w="1649"/>
        <w:gridCol w:w="1687"/>
      </w:tblGrid>
      <w:tr w:rsidR="00101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Type / Severity</w:t>
            </w:r>
          </w:p>
        </w:tc>
        <w:tc>
          <w:tcPr>
            <w:tcW w:w="0" w:type="auto"/>
          </w:tcPr>
          <w:p w:rsidR="00101525" w:rsidRDefault="00BD6FFC">
            <w:r>
              <w:t>INFO</w:t>
            </w:r>
          </w:p>
        </w:tc>
        <w:tc>
          <w:tcPr>
            <w:tcW w:w="0" w:type="auto"/>
          </w:tcPr>
          <w:p w:rsidR="00101525" w:rsidRDefault="00BD6FFC">
            <w:r>
              <w:t>MINOR</w:t>
            </w:r>
          </w:p>
        </w:tc>
        <w:tc>
          <w:tcPr>
            <w:tcW w:w="0" w:type="auto"/>
          </w:tcPr>
          <w:p w:rsidR="00101525" w:rsidRDefault="00BD6FFC">
            <w:r>
              <w:t>MAJOR</w:t>
            </w:r>
          </w:p>
        </w:tc>
        <w:tc>
          <w:tcPr>
            <w:tcW w:w="0" w:type="auto"/>
          </w:tcPr>
          <w:p w:rsidR="00101525" w:rsidRDefault="00BD6FFC">
            <w:r>
              <w:t>CRITICAL</w:t>
            </w:r>
          </w:p>
        </w:tc>
        <w:tc>
          <w:tcPr>
            <w:tcW w:w="0" w:type="auto"/>
          </w:tcPr>
          <w:p w:rsidR="00101525" w:rsidRDefault="00BD6FFC">
            <w:r>
              <w:t>BLOCKER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BUG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c>
          <w:tcPr>
            <w:tcW w:w="0" w:type="auto"/>
          </w:tcPr>
          <w:p w:rsidR="00101525" w:rsidRDefault="00BD6FFC">
            <w:r>
              <w:t>VULNERABILITY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CODE_SMELL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124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7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8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1630"/>
        <w:gridCol w:w="5086"/>
        <w:gridCol w:w="1305"/>
        <w:gridCol w:w="936"/>
        <w:gridCol w:w="897"/>
      </w:tblGrid>
      <w:tr w:rsidR="00101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Name</w:t>
            </w:r>
          </w:p>
        </w:tc>
        <w:tc>
          <w:tcPr>
            <w:tcW w:w="0" w:type="auto"/>
          </w:tcPr>
          <w:p w:rsidR="00101525" w:rsidRDefault="00BD6FFC">
            <w:r>
              <w:t>Description</w:t>
            </w:r>
          </w:p>
        </w:tc>
        <w:tc>
          <w:tcPr>
            <w:tcW w:w="0" w:type="auto"/>
          </w:tcPr>
          <w:p w:rsidR="00101525" w:rsidRDefault="00BD6FFC">
            <w:r>
              <w:t>Type</w:t>
            </w:r>
          </w:p>
        </w:tc>
        <w:tc>
          <w:tcPr>
            <w:tcW w:w="0" w:type="auto"/>
          </w:tcPr>
          <w:p w:rsidR="00101525" w:rsidRDefault="00BD6FFC">
            <w:r>
              <w:t>Severity</w:t>
            </w:r>
          </w:p>
        </w:tc>
        <w:tc>
          <w:tcPr>
            <w:tcW w:w="0" w:type="auto"/>
          </w:tcPr>
          <w:p w:rsidR="00101525" w:rsidRDefault="00BD6FFC">
            <w:r>
              <w:t>Number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String literals should not be duplicated</w:t>
            </w:r>
          </w:p>
        </w:tc>
        <w:tc>
          <w:tcPr>
            <w:tcW w:w="0" w:type="auto"/>
          </w:tcPr>
          <w:p w:rsidR="00101525" w:rsidRDefault="00BD6FFC">
            <w:r>
              <w:t xml:space="preserve">Duplicated string literals make the process of refactoring error-prone, since you must be sure to update all occurrences. </w:t>
            </w:r>
            <w:r>
              <w:t>On the other hand, constants can be referenced from many places, but only need to be updated in a single place. Noncompliant Code Example With the default threshold of 3:  def run():     prepare("this is a duplicate")  # Noncompliant - "this is a duplicate</w:t>
            </w:r>
            <w:r>
              <w:t xml:space="preserve">" is duplicated 3 times     execute("this is a duplicate")     release("this is a duplicate")  Compliant Solution  ACTION_1 = "action1"  def run():     prepare(ACTION_1)     execute(ACTION_1)     release(ACTION_1)  Exceptions No issue will be raised on:   </w:t>
            </w:r>
            <w:r>
              <w:t xml:space="preserve">  duplicated string in decorators     strings with less than 5 characters     strings with only letters, numbers and underscores    @app.route("/api/users/", methods=['GET', 'POST', 'PUT']) def users():     pass  @app.route("/api/projects/", methods=['GET'</w:t>
            </w:r>
            <w:r>
              <w:t xml:space="preserve">, 'POST', 'PUT'])  # Compliant def projects():     pass </w:t>
            </w:r>
          </w:p>
        </w:tc>
        <w:tc>
          <w:tcPr>
            <w:tcW w:w="0" w:type="auto"/>
          </w:tcPr>
          <w:p w:rsidR="00101525" w:rsidRDefault="00BD6FFC">
            <w:r>
              <w:t>CODE_SMELL</w:t>
            </w:r>
          </w:p>
        </w:tc>
        <w:tc>
          <w:tcPr>
            <w:tcW w:w="0" w:type="auto"/>
          </w:tcPr>
          <w:p w:rsidR="00101525" w:rsidRDefault="00BD6FFC">
            <w:r>
              <w:t>CRITICAL</w:t>
            </w:r>
          </w:p>
        </w:tc>
        <w:tc>
          <w:tcPr>
            <w:tcW w:w="0" w:type="auto"/>
          </w:tcPr>
          <w:p w:rsidR="00101525" w:rsidRDefault="00BD6FFC">
            <w:r>
              <w:t>6</w:t>
            </w:r>
          </w:p>
        </w:tc>
      </w:tr>
      <w:tr w:rsidR="00101525">
        <w:tc>
          <w:tcPr>
            <w:tcW w:w="0" w:type="auto"/>
          </w:tcPr>
          <w:p w:rsidR="00101525" w:rsidRDefault="00BD6FFC">
            <w:r>
              <w:t>Cognitive Complexity of functions should not be too high</w:t>
            </w:r>
          </w:p>
        </w:tc>
        <w:tc>
          <w:tcPr>
            <w:tcW w:w="0" w:type="auto"/>
          </w:tcPr>
          <w:p w:rsidR="00101525" w:rsidRDefault="00BD6FFC">
            <w:r>
              <w:t>Cognitive Complexity is a measure of how hard the control flow of a function is to understand. Functions with high Cogn</w:t>
            </w:r>
            <w:r>
              <w:t xml:space="preserve">itive Complexity will be difficult to maintain. See     Cognitive Complexity  </w:t>
            </w:r>
          </w:p>
        </w:tc>
        <w:tc>
          <w:tcPr>
            <w:tcW w:w="0" w:type="auto"/>
          </w:tcPr>
          <w:p w:rsidR="00101525" w:rsidRDefault="00BD6FFC">
            <w:r>
              <w:t>CODE_SMELL</w:t>
            </w:r>
          </w:p>
        </w:tc>
        <w:tc>
          <w:tcPr>
            <w:tcW w:w="0" w:type="auto"/>
          </w:tcPr>
          <w:p w:rsidR="00101525" w:rsidRDefault="00BD6FFC">
            <w:r>
              <w:t>CRITICAL</w:t>
            </w:r>
          </w:p>
        </w:tc>
        <w:tc>
          <w:tcPr>
            <w:tcW w:w="0" w:type="auto"/>
          </w:tcPr>
          <w:p w:rsidR="00101525" w:rsidRDefault="00BD6FFC">
            <w:r>
              <w:t>1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Method names should comply with a naming convention</w:t>
            </w:r>
          </w:p>
        </w:tc>
        <w:tc>
          <w:tcPr>
            <w:tcW w:w="0" w:type="auto"/>
          </w:tcPr>
          <w:p w:rsidR="00101525" w:rsidRDefault="00BD6FFC">
            <w:r>
              <w:t>Sharing some naming conventions is a key point to make it possible for a team to efficiently collaborate. This rule allows to check that all method names match a provided regular expression. Noncompliant Code Example With default provided regular expressio</w:t>
            </w:r>
            <w:r>
              <w:t xml:space="preserve">n: ^[a-z_][a-z0-9_]*$  class MyClass:     def MyMethod(a,b):         ...  Compliant Solution  class MyClass:     def my_method(a,b):         ... </w:t>
            </w:r>
          </w:p>
        </w:tc>
        <w:tc>
          <w:tcPr>
            <w:tcW w:w="0" w:type="auto"/>
          </w:tcPr>
          <w:p w:rsidR="00101525" w:rsidRDefault="00BD6FFC">
            <w:r>
              <w:t>CODE_SMELL</w:t>
            </w:r>
          </w:p>
        </w:tc>
        <w:tc>
          <w:tcPr>
            <w:tcW w:w="0" w:type="auto"/>
          </w:tcPr>
          <w:p w:rsidR="00101525" w:rsidRDefault="00BD6FFC">
            <w:r>
              <w:t>MINOR</w:t>
            </w:r>
          </w:p>
        </w:tc>
        <w:tc>
          <w:tcPr>
            <w:tcW w:w="0" w:type="auto"/>
          </w:tcPr>
          <w:p w:rsidR="00101525" w:rsidRDefault="00BD6FFC">
            <w:r>
              <w:t>15</w:t>
            </w:r>
          </w:p>
        </w:tc>
      </w:tr>
      <w:tr w:rsidR="00101525">
        <w:tc>
          <w:tcPr>
            <w:tcW w:w="0" w:type="auto"/>
          </w:tcPr>
          <w:p w:rsidR="00101525" w:rsidRDefault="00BD6FFC">
            <w:r>
              <w:t xml:space="preserve">Field names </w:t>
            </w:r>
            <w:r>
              <w:lastRenderedPageBreak/>
              <w:t>should comply with a naming convention</w:t>
            </w:r>
          </w:p>
        </w:tc>
        <w:tc>
          <w:tcPr>
            <w:tcW w:w="0" w:type="auto"/>
          </w:tcPr>
          <w:p w:rsidR="00101525" w:rsidRDefault="00BD6FFC">
            <w:r>
              <w:lastRenderedPageBreak/>
              <w:t>Sharing some naming conventions is a k</w:t>
            </w:r>
            <w:r>
              <w:t xml:space="preserve">ey point to make it </w:t>
            </w:r>
            <w:r>
              <w:lastRenderedPageBreak/>
              <w:t xml:space="preserve">possible for a team to efficiently collaborate. This rule allows to check that field names match a provided regular expression. Noncompliant Code Example With the default regular expression ^[_a-z][_a-z0-9]*$:  class MyClass:   myField </w:t>
            </w:r>
            <w:r>
              <w:t xml:space="preserve">= 1  Compliant Solution  class MyClass:   my_field = 1 </w:t>
            </w:r>
          </w:p>
        </w:tc>
        <w:tc>
          <w:tcPr>
            <w:tcW w:w="0" w:type="auto"/>
          </w:tcPr>
          <w:p w:rsidR="00101525" w:rsidRDefault="00BD6FFC">
            <w:r>
              <w:lastRenderedPageBreak/>
              <w:t>CODE_SMELL</w:t>
            </w:r>
          </w:p>
        </w:tc>
        <w:tc>
          <w:tcPr>
            <w:tcW w:w="0" w:type="auto"/>
          </w:tcPr>
          <w:p w:rsidR="00101525" w:rsidRDefault="00BD6FFC">
            <w:r>
              <w:t>MINOR</w:t>
            </w:r>
          </w:p>
        </w:tc>
        <w:tc>
          <w:tcPr>
            <w:tcW w:w="0" w:type="auto"/>
          </w:tcPr>
          <w:p w:rsidR="00101525" w:rsidRDefault="00BD6FFC">
            <w:r>
              <w:t>23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lastRenderedPageBreak/>
              <w:t>Local variable and function parameter names should comply with a naming convention</w:t>
            </w:r>
          </w:p>
        </w:tc>
        <w:tc>
          <w:tcPr>
            <w:tcW w:w="0" w:type="auto"/>
          </w:tcPr>
          <w:p w:rsidR="00101525" w:rsidRDefault="00BD6FFC">
            <w:r>
              <w:t>Shared naming conventions allow teams to collaborate effectively. This rule raises an issue when a local variable or function parameter name does not match the provided regular expression. Exceptions Loop counters are ignored by this rule.  for i in range(</w:t>
            </w:r>
            <w:r>
              <w:t xml:space="preserve">limit):  # Compliant     print(i) </w:t>
            </w:r>
          </w:p>
        </w:tc>
        <w:tc>
          <w:tcPr>
            <w:tcW w:w="0" w:type="auto"/>
          </w:tcPr>
          <w:p w:rsidR="00101525" w:rsidRDefault="00BD6FFC">
            <w:r>
              <w:t>CODE_SMELL</w:t>
            </w:r>
          </w:p>
        </w:tc>
        <w:tc>
          <w:tcPr>
            <w:tcW w:w="0" w:type="auto"/>
          </w:tcPr>
          <w:p w:rsidR="00101525" w:rsidRDefault="00BD6FFC">
            <w:r>
              <w:t>MINOR</w:t>
            </w:r>
          </w:p>
        </w:tc>
        <w:tc>
          <w:tcPr>
            <w:tcW w:w="0" w:type="auto"/>
          </w:tcPr>
          <w:p w:rsidR="00101525" w:rsidRDefault="00BD6FFC">
            <w:r>
              <w:t>84</w:t>
            </w:r>
          </w:p>
        </w:tc>
      </w:tr>
      <w:tr w:rsidR="00101525">
        <w:tc>
          <w:tcPr>
            <w:tcW w:w="0" w:type="auto"/>
          </w:tcPr>
          <w:p w:rsidR="00101525" w:rsidRDefault="00BD6FFC">
            <w:r>
              <w:t>Unused local variables should be removed</w:t>
            </w:r>
          </w:p>
        </w:tc>
        <w:tc>
          <w:tcPr>
            <w:tcW w:w="0" w:type="auto"/>
          </w:tcPr>
          <w:p w:rsidR="00101525" w:rsidRDefault="00BD6FFC">
            <w:r>
              <w:t>If a local variable is declared but not used, it is dead code and should be removed. Doing so will improve maintainability because developers will not wonder w</w:t>
            </w:r>
            <w:r>
              <w:t xml:space="preserve">hat the variable is used for. Noncompliant Code Example  def hello(name):     message = "Hello " + name # Noncompliant     print(name) for i in range(10):     foo()  Compliant Solution  def hello(name):     message = "Hello " + name     print(message) for </w:t>
            </w:r>
            <w:r>
              <w:t xml:space="preserve">_ in range(10):     foo()  Exceptions _ as well as tuples will not raise an issue for this rule. The following examples are compliant:  for _ in range(10):     do_something() username, login, password = auth do_something_else(username, login) </w:t>
            </w:r>
          </w:p>
        </w:tc>
        <w:tc>
          <w:tcPr>
            <w:tcW w:w="0" w:type="auto"/>
          </w:tcPr>
          <w:p w:rsidR="00101525" w:rsidRDefault="00BD6FFC">
            <w:r>
              <w:t>CODE_SMELL</w:t>
            </w:r>
          </w:p>
        </w:tc>
        <w:tc>
          <w:tcPr>
            <w:tcW w:w="0" w:type="auto"/>
          </w:tcPr>
          <w:p w:rsidR="00101525" w:rsidRDefault="00BD6FFC">
            <w:r>
              <w:t>M</w:t>
            </w:r>
            <w:r>
              <w:t>INOR</w:t>
            </w:r>
          </w:p>
        </w:tc>
        <w:tc>
          <w:tcPr>
            <w:tcW w:w="0" w:type="auto"/>
          </w:tcPr>
          <w:p w:rsidR="00101525" w:rsidRDefault="00BD6FFC">
            <w:r>
              <w:t>2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19" w:name="_Toc481744304"/>
      <w:bookmarkEnd w:id="19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0" w:name="_Toc97156273"/>
      <w:r>
        <w:rPr>
          <w:lang w:val="en-US"/>
        </w:rPr>
        <w:lastRenderedPageBreak/>
        <w:t>Security Hotspots</w:t>
      </w:r>
      <w:bookmarkEnd w:id="20"/>
    </w:p>
    <w:p w:rsidR="00265064" w:rsidRDefault="00C45E1C" w:rsidP="00E01693">
      <w:pPr>
        <w:pStyle w:val="Ttulo2"/>
        <w:rPr>
          <w:lang w:val="en-US"/>
        </w:rPr>
      </w:pPr>
      <w:bookmarkStart w:id="21" w:name="_Toc97156274"/>
      <w:r>
        <w:rPr>
          <w:lang w:val="en-US"/>
        </w:rPr>
        <w:t>Security hotspots count by category and priority</w:t>
      </w:r>
      <w:bookmarkEnd w:id="21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5691"/>
        <w:gridCol w:w="1147"/>
        <w:gridCol w:w="1808"/>
        <w:gridCol w:w="1207"/>
      </w:tblGrid>
      <w:tr w:rsidR="00101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Category / Priority</w:t>
            </w:r>
          </w:p>
        </w:tc>
        <w:tc>
          <w:tcPr>
            <w:tcW w:w="0" w:type="auto"/>
          </w:tcPr>
          <w:p w:rsidR="00101525" w:rsidRDefault="00BD6FFC">
            <w:r>
              <w:t>LOW</w:t>
            </w:r>
          </w:p>
        </w:tc>
        <w:tc>
          <w:tcPr>
            <w:tcW w:w="0" w:type="auto"/>
          </w:tcPr>
          <w:p w:rsidR="00101525" w:rsidRDefault="00BD6FFC">
            <w:r>
              <w:t>MEDIUM</w:t>
            </w:r>
          </w:p>
        </w:tc>
        <w:tc>
          <w:tcPr>
            <w:tcW w:w="0" w:type="auto"/>
          </w:tcPr>
          <w:p w:rsidR="00101525" w:rsidRDefault="00BD6FFC">
            <w:r>
              <w:t>HIGH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LDAP Injection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c>
          <w:tcPr>
            <w:tcW w:w="0" w:type="auto"/>
          </w:tcPr>
          <w:p w:rsidR="00101525" w:rsidRDefault="00BD6FFC">
            <w:r>
              <w:t>Object Injection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Server-Side Request Forgery (SSRF)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c>
          <w:tcPr>
            <w:tcW w:w="0" w:type="auto"/>
          </w:tcPr>
          <w:p w:rsidR="00101525" w:rsidRDefault="00BD6FFC">
            <w:r>
              <w:t>XML External Entity (XXE)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 xml:space="preserve">Insecure </w:t>
            </w:r>
            <w:r>
              <w:t>Configuration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c>
          <w:tcPr>
            <w:tcW w:w="0" w:type="auto"/>
          </w:tcPr>
          <w:p w:rsidR="00101525" w:rsidRDefault="00BD6FFC">
            <w:r>
              <w:t>XPath Injection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Authentication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c>
          <w:tcPr>
            <w:tcW w:w="0" w:type="auto"/>
          </w:tcPr>
          <w:p w:rsidR="00101525" w:rsidRDefault="00BD6FFC">
            <w:r>
              <w:t>Weak Cryptography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Denial of Service (DoS)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c>
          <w:tcPr>
            <w:tcW w:w="0" w:type="auto"/>
          </w:tcPr>
          <w:p w:rsidR="00101525" w:rsidRDefault="00BD6FFC">
            <w:r>
              <w:t>Log Injection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Cross-Site Request Forgery (CSRF)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c>
          <w:tcPr>
            <w:tcW w:w="0" w:type="auto"/>
          </w:tcPr>
          <w:p w:rsidR="00101525" w:rsidRDefault="00BD6FFC">
            <w:r>
              <w:t>Open Redirect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Permission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c>
          <w:tcPr>
            <w:tcW w:w="0" w:type="auto"/>
          </w:tcPr>
          <w:p w:rsidR="00101525" w:rsidRDefault="00BD6FFC">
            <w:r>
              <w:t>SQL Injection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 xml:space="preserve">Encryption </w:t>
            </w:r>
            <w:r>
              <w:t>of Sensitive Data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c>
          <w:tcPr>
            <w:tcW w:w="0" w:type="auto"/>
          </w:tcPr>
          <w:p w:rsidR="00101525" w:rsidRDefault="00BD6FFC">
            <w:r>
              <w:t>Traceability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Buffer Overflow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c>
          <w:tcPr>
            <w:tcW w:w="0" w:type="auto"/>
          </w:tcPr>
          <w:p w:rsidR="00101525" w:rsidRDefault="00BD6FFC">
            <w:r>
              <w:t>File Manipulation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Code Injection (RCE)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c>
          <w:tcPr>
            <w:tcW w:w="0" w:type="auto"/>
          </w:tcPr>
          <w:p w:rsidR="00101525" w:rsidRDefault="00BD6FFC">
            <w:r>
              <w:lastRenderedPageBreak/>
              <w:t>Cross-Site Scripting (XSS)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Command Injection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c>
          <w:tcPr>
            <w:tcW w:w="0" w:type="auto"/>
          </w:tcPr>
          <w:p w:rsidR="00101525" w:rsidRDefault="00BD6FFC">
            <w:r>
              <w:t>Path Traversal Injection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01525" w:rsidRDefault="00BD6FFC">
            <w:r>
              <w:t>HTTP Response Splitting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  <w:tr w:rsidR="00101525">
        <w:tc>
          <w:tcPr>
            <w:tcW w:w="0" w:type="auto"/>
          </w:tcPr>
          <w:p w:rsidR="00101525" w:rsidRDefault="00BD6FFC">
            <w:r>
              <w:t>Others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  <w:tc>
          <w:tcPr>
            <w:tcW w:w="0" w:type="auto"/>
          </w:tcPr>
          <w:p w:rsidR="00101525" w:rsidRDefault="00BD6FFC"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2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2"/>
    </w:p>
    <w:p w:rsidR="005D0643" w:rsidRPr="005D0643" w:rsidRDefault="00862E61" w:rsidP="005D0643">
      <w:pPr>
        <w:rPr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1BA7B784" wp14:editId="4EF3B6F0">
            <wp:extent cx="6304085" cy="4161687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894" t="29407" r="17825" b="18726"/>
                    <a:stretch/>
                  </pic:blipFill>
                  <pic:spPr bwMode="auto">
                    <a:xfrm>
                      <a:off x="0" y="0"/>
                      <a:ext cx="6335795" cy="4182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3" w:name="_GoBack"/>
      <w:bookmarkEnd w:id="23"/>
    </w:p>
    <w:sectPr w:rsidR="005D0643" w:rsidRPr="005D0643" w:rsidSect="001F5FAC">
      <w:headerReference w:type="default" r:id="rId15"/>
      <w:footerReference w:type="default" r:id="rId16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FFC" w:rsidRDefault="00BD6FFC">
      <w:r>
        <w:separator/>
      </w:r>
    </w:p>
  </w:endnote>
  <w:endnote w:type="continuationSeparator" w:id="0">
    <w:p w:rsidR="00BD6FFC" w:rsidRDefault="00BD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CO" w:eastAsia="es-C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862E61" w:rsidRPr="00862E6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862E61" w:rsidRPr="00862E6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FFC" w:rsidRDefault="00BD6FFC">
      <w:r>
        <w:separator/>
      </w:r>
    </w:p>
  </w:footnote>
  <w:footnote w:type="continuationSeparator" w:id="0">
    <w:p w:rsidR="00BD6FFC" w:rsidRDefault="00BD6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cabezado"/>
      <w:jc w:val="left"/>
    </w:pPr>
    <w:r>
      <w:t>parcial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01525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62E61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D6FFC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tulo">
    <w:name w:val="Title"/>
    <w:basedOn w:val="Normal"/>
    <w:next w:val="Normal"/>
    <w:link w:val="Ttul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7</c:v>
                </c:pt>
                <c:pt idx="2">
                  <c:v>0</c:v>
                </c:pt>
                <c:pt idx="3">
                  <c:v>124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General</c:formatCode>
                <c:ptCount val="2"/>
                <c:pt idx="0" formatCode="dd/mm/yyyy\ hh:mm">
                  <c:v>45420.496770833335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131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General</c:formatCode>
                <c:ptCount val="2"/>
                <c:pt idx="0" formatCode="dd/mm/yyyy\ hh:mm">
                  <c:v>45420.496770833335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DAC9A-0120-4106-B44D-A770B03A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1</Pages>
  <Words>1042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Report Template</dc:subject>
  <dc:creator>Benoit.Garcon@cnes.fr</dc:creator>
  <cp:lastModifiedBy>FUAD</cp:lastModifiedBy>
  <cp:revision>104</cp:revision>
  <cp:lastPrinted>2013-06-07T14:19:00Z</cp:lastPrinted>
  <dcterms:created xsi:type="dcterms:W3CDTF">2016-12-06T15:38:00Z</dcterms:created>
  <dcterms:modified xsi:type="dcterms:W3CDTF">2024-05-08T17:44:00Z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