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/>
          <w:bCs/>
        </w:rPr>
        <w:t xml:space="preserve">Clasificación de Sentimientos de Reseñas de Películas en IMDb</w:t>
      </w:r>
      <w:r>
        <w:br/>
      </w:r>
      <w:r>
        <w:rPr>
          <w:b/>
          <w:bCs/>
        </w:rPr>
        <w:t xml:space="preserve">con Redes Neuronales Recurrentes</w:t>
      </w:r>
      <w:r>
        <w:t xml:space="preserve"> </w:t>
      </w:r>
    </w:p>
    <w:p>
      <w:pPr>
        <w:pStyle w:val="Author"/>
      </w:pPr>
      <w:r>
        <w:t xml:space="preserve">Yezid Garcia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Juan Martin Santos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Jaime Rodriguez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br/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Grupo 24. Códigos: 200810710, 202013610, 200717791</w:t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El análisis de sentimiento es una tarea del procesamiento de lenguaje natural</w:t>
      </w:r>
      <w:r>
        <w:t xml:space="preserve"> </w:t>
      </w:r>
      <w:r>
        <w:t xml:space="preserve">que determina la polaridad emocional de un texto. En el contexto de reseñas</w:t>
      </w:r>
      <w:r>
        <w:t xml:space="preserve"> </w:t>
      </w:r>
      <w:r>
        <w:t xml:space="preserve">de películas, el problema se reduce a clasificación binaria: identificar si</w:t>
      </w:r>
      <w:r>
        <w:t xml:space="preserve"> </w:t>
      </w:r>
      <w:r>
        <w:t xml:space="preserve">una reseña expresa una opinión positiva o negativa. Su aplicación permite</w:t>
      </w:r>
      <w:r>
        <w:t xml:space="preserve"> </w:t>
      </w:r>
      <w:r>
        <w:t xml:space="preserve">caracterizar la opinión del público de forma automática, con utilidad en</w:t>
      </w:r>
      <w:r>
        <w:t xml:space="preserve"> </w:t>
      </w:r>
      <w:r>
        <w:t xml:space="preserve">sistemas de recomendación y monitoreo de reputación.</w:t>
      </w:r>
    </w:p>
    <w:p>
      <w:pPr>
        <w:pStyle w:val="BodyText"/>
      </w:pPr>
      <w:r>
        <w:t xml:space="preserve">Los enfoques clásicos basados en frecuencia de términos ignoran el orden de</w:t>
      </w:r>
      <w:r>
        <w:t xml:space="preserve"> </w:t>
      </w:r>
      <w:r>
        <w:t xml:space="preserve">las palabras y pierden información contextual. Las redes con celdas de memoria</w:t>
      </w:r>
      <w:r>
        <w:t xml:space="preserve"> </w:t>
      </w:r>
      <w:r>
        <w:t xml:space="preserve">a largo y corto plazo (LSTM) [1] superan esta limitación al procesar</w:t>
      </w:r>
      <w:r>
        <w:t xml:space="preserve"> </w:t>
      </w:r>
      <w:r>
        <w:t xml:space="preserve">secuencias de tokens y capturar dependencias entre palabras distantes. La</w:t>
      </w:r>
      <w:r>
        <w:t xml:space="preserve"> </w:t>
      </w:r>
      <w:r>
        <w:t xml:space="preserve">variante bidireccional (BiLSTM) combina estados ocultos en ambas direcciones,</w:t>
      </w:r>
      <w:r>
        <w:t xml:space="preserve"> </w:t>
      </w:r>
      <w:r>
        <w:t xml:space="preserve">proporcionando a cada posición acceso al contexto anterior y posterior. Las</w:t>
      </w:r>
      <w:r>
        <w:t xml:space="preserve"> </w:t>
      </w:r>
      <w:r>
        <w:t xml:space="preserve">representaciones distribucionales de palabras [2] codifican similitud</w:t>
      </w:r>
      <w:r>
        <w:t xml:space="preserve"> </w:t>
      </w:r>
      <w:r>
        <w:t xml:space="preserve">semántica en vectores densos entrenados sobre grandes corpus; inicializar un</w:t>
      </w:r>
      <w:r>
        <w:t xml:space="preserve"> </w:t>
      </w:r>
      <w:r>
        <w:t xml:space="preserve">modelo con vectores preentrenados como GloVe [3] mejora la generalización</w:t>
      </w:r>
      <w:r>
        <w:t xml:space="preserve"> </w:t>
      </w:r>
      <w:r>
        <w:t xml:space="preserve">cuando el conjunto de entrenamiento es de tamaño moderado.</w:t>
      </w:r>
    </w:p>
    <w:p>
      <w:pPr>
        <w:pStyle w:val="BodyText"/>
      </w:pPr>
      <w:r>
        <w:t xml:space="preserve">Este trabajo presenta la implementación y evaluación de un modelo BiLSTM</w:t>
      </w:r>
      <w:r>
        <w:t xml:space="preserve"> </w:t>
      </w:r>
      <w:r>
        <w:t xml:space="preserve">con embeddings GloVe para la clasificación binaria de reseñas del conjunto</w:t>
      </w:r>
      <w:r>
        <w:t xml:space="preserve"> </w:t>
      </w:r>
      <w:r>
        <w:t xml:space="preserve">IMDb [4]. Se describe el pipeline de preprocesamiento, la arquitectura del</w:t>
      </w:r>
      <w:r>
        <w:t xml:space="preserve"> </w:t>
      </w:r>
      <w:r>
        <w:t xml:space="preserve">modelo, la estrategia de entrenamiento y los resultados obtenidos en términos</w:t>
      </w:r>
      <w:r>
        <w:t xml:space="preserve"> </w:t>
      </w:r>
      <w:r>
        <w:t xml:space="preserve">de precisión, recall y F1-score.</w:t>
      </w:r>
    </w:p>
    <w:bookmarkEnd w:id="20"/>
    <w:bookmarkStart w:id="21" w:name="metodología"/>
    <w:p>
      <w:pPr>
        <w:pStyle w:val="Heading1"/>
      </w:pPr>
      <w:r>
        <w:t xml:space="preserve">Metodología</w:t>
      </w:r>
    </w:p>
    <w:p>
      <w:pPr>
        <w:pStyle w:val="FirstParagraph"/>
      </w:pPr>
      <w:r>
        <w:t xml:space="preserve">El conjunto de datos contiene 40 000 reseñas de IMDb [4] con etiqueta</w:t>
      </w:r>
      <w:r>
        <w:t xml:space="preserve"> </w:t>
      </w:r>
      <w:r>
        <w:t xml:space="preserve">binaria de sentimiento, balanceado en 20 000 muestras por clase y sin valores</w:t>
      </w:r>
      <w:r>
        <w:t xml:space="preserve"> </w:t>
      </w:r>
      <w:r>
        <w:t xml:space="preserve">nulos. La partición es estratificada: 80 % para entrenamiento (32 000</w:t>
      </w:r>
      <w:r>
        <w:t xml:space="preserve"> </w:t>
      </w:r>
      <w:r>
        <w:t xml:space="preserve">muestras), 10 % para validación (4 000) y 10 % para prueba (4 000).</w:t>
      </w:r>
    </w:p>
    <w:p>
      <w:pPr>
        <w:pStyle w:val="BodyText"/>
      </w:pPr>
      <w:r>
        <w:t xml:space="preserve">Cada reseña pasa por un pipeline de preprocesamiento de cinco pasos:</w:t>
      </w:r>
      <w:r>
        <w:t xml:space="preserve"> </w:t>
      </w:r>
      <w:r>
        <w:t xml:space="preserve">eliminación de etiquetas HTML; descarte de caracteres no alfabéticos;</w:t>
      </w:r>
      <w:r>
        <w:t xml:space="preserve"> </w:t>
      </w:r>
      <w:r>
        <w:t xml:space="preserve">conversión a minúsculas; eliminación de palabras funcionales en inglés;</w:t>
      </w:r>
      <w:r>
        <w:t xml:space="preserve"> </w:t>
      </w:r>
      <w:r>
        <w:t xml:space="preserve">y lematización, que reduce cada token a su forma canónica (por ejemplo,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run</w:t>
      </w:r>
      <w:r>
        <w:t xml:space="preserve">). Los tokens resultantes se convierten a</w:t>
      </w:r>
      <w:r>
        <w:t xml:space="preserve"> </w:t>
      </w:r>
      <w:r>
        <w:t xml:space="preserve">índices enteros usando un vocabulario construido exclusivamente sobre el</w:t>
      </w:r>
      <w:r>
        <w:t xml:space="preserve"> </w:t>
      </w:r>
      <w:r>
        <w:t xml:space="preserve">conjunto de entrenamiento, y las secuencias se rellenan o truncan a 300 tokens.</w:t>
      </w:r>
    </w:p>
    <w:p>
      <w:pPr>
        <w:pStyle w:val="BodyText"/>
      </w:pPr>
      <w:r>
        <w:t xml:space="preserve">Los embeddings se inicializan con vectores GloVe de 100 dimensiones [3]; la</w:t>
      </w:r>
      <w:r>
        <w:t xml:space="preserve"> </w:t>
      </w:r>
      <w:r>
        <w:t xml:space="preserve">cobertura sobre el vocabulario del conjunto es del 77.2 %. Siguiendo la</w:t>
      </w:r>
      <w:r>
        <w:t xml:space="preserve"> </w:t>
      </w:r>
      <w:r>
        <w:t xml:space="preserve">estrategia de ajuste progresivo propuesta en [5], los embeddings se congelan</w:t>
      </w:r>
      <w:r>
        <w:t xml:space="preserve"> </w:t>
      </w:r>
      <w:r>
        <w:t xml:space="preserve">durante las tres primeras épocas para que las capas recurrentes converjan sin</w:t>
      </w:r>
      <w:r>
        <w:t xml:space="preserve"> </w:t>
      </w:r>
      <w:r>
        <w:t xml:space="preserve">distorsionar las representaciones preentrenadas. A partir de la cuarta época,</w:t>
      </w:r>
      <w:r>
        <w:t xml:space="preserve"> </w:t>
      </w:r>
      <w:r>
        <w:t xml:space="preserve">se descongelan con una tasa de aprendizaje diez veces menor para realizar un</w:t>
      </w:r>
      <w:r>
        <w:t xml:space="preserve"> </w:t>
      </w:r>
      <w:r>
        <w:t xml:space="preserve">ajuste fino controlado.</w:t>
      </w:r>
    </w:p>
    <w:p>
      <w:pPr>
        <w:pStyle w:val="BodyText"/>
      </w:pPr>
      <w:r>
        <w:t xml:space="preserve">El modelo, denominado</w:t>
      </w:r>
      <w:r>
        <w:t xml:space="preserve"> </w:t>
      </w:r>
      <w:r>
        <w:rPr>
          <w:i/>
          <w:iCs/>
        </w:rPr>
        <w:t xml:space="preserve">SentimentBiLSTM</w:t>
      </w:r>
      <w:r>
        <w:t xml:space="preserve">, combina cuatro etapas descritas</w:t>
      </w:r>
      <w:r>
        <w:t xml:space="preserve"> </w:t>
      </w:r>
      <w:r>
        <w:t xml:space="preserve">en la Tabla 1. Una capa BiLSTM de 128 unidades por dirección procesa la</w:t>
      </w:r>
      <w:r>
        <w:t xml:space="preserve"> </w:t>
      </w:r>
      <w:r>
        <w:t xml:space="preserve">secuencia en ambos sentidos; luego un promedio sobre todos los estados ocultos</w:t>
      </w:r>
      <w:r>
        <w:t xml:space="preserve"> </w:t>
      </w:r>
      <w:r>
        <w:t xml:space="preserve">(mean pooling) produce una representación de longitud fija. Esta operación,</w:t>
      </w:r>
      <w:r>
        <w:t xml:space="preserve"> </w:t>
      </w:r>
      <w:r>
        <w:t xml:space="preserve">validada en [6], es superior al uso del último estado oculto para secuencias</w:t>
      </w:r>
      <w:r>
        <w:t xml:space="preserve"> </w:t>
      </w:r>
      <w:r>
        <w:t xml:space="preserve">largas donde el sentimiento está distribuido a lo largo del texto. Una capa</w:t>
      </w:r>
      <w:r>
        <w:t xml:space="preserve"> </w:t>
      </w:r>
      <w:r>
        <w:t xml:space="preserve">lineal con activación sigmoide clasifica en positivo o negativo.</w:t>
      </w:r>
    </w:p>
    <w:p>
      <w:pPr>
        <w:pStyle w:val="BodyText"/>
      </w:pPr>
      <w:r>
        <w:t xml:space="preserve">El entrenamiento usa el optimizador Adam con tasa de aprendizaje inicial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y pérdida de entropía cruzada binaria, con lotes de 128 muestras.</w:t>
      </w:r>
      <w:r>
        <w:t xml:space="preserve"> </w:t>
      </w:r>
      <w:r>
        <w:t xml:space="preserve">Se incorporan tres mecanismos de control: un planificador que reduce la tasa de</w:t>
      </w:r>
      <w:r>
        <w:t xml:space="preserve"> </w:t>
      </w:r>
      <w:r>
        <w:t xml:space="preserve">aprendizaje a la mitad si la pérdida de validación no mejora en dos</w:t>
      </w:r>
      <w:r>
        <w:t xml:space="preserve"> </w:t>
      </w:r>
      <w:r>
        <w:t xml:space="preserve">épocas consecutivas; limitación de la norma del gradiente a 1.0, que [7] identifica como</w:t>
      </w:r>
      <w:r>
        <w:t xml:space="preserve"> </w:t>
      </w:r>
      <w:r>
        <w:t xml:space="preserve">crítico para estabilizar LSTM en secuencias largas; y parada anticipada con paciencia de cinco épocas. Las métricas de</w:t>
      </w:r>
      <w:r>
        <w:t xml:space="preserve"> </w:t>
      </w:r>
      <w:r>
        <w:t xml:space="preserve">evaluación son precisión, recall y F1-score.</w:t>
      </w:r>
    </w:p>
    <w:bookmarkEnd w:id="21"/>
    <w:bookmarkStart w:id="29" w:name="resultados"/>
    <w:p>
      <w:pPr>
        <w:pStyle w:val="Heading1"/>
      </w:pPr>
      <w:r>
        <w:t xml:space="preserve">Resultados</w:t>
      </w:r>
    </w:p>
    <w:bookmarkStart w:id="27" w:name="resultados-cuantitativos"/>
    <w:p>
      <w:pPr>
        <w:pStyle w:val="Heading2"/>
      </w:pPr>
      <w:r>
        <w:t xml:space="preserve">Resultados cuantitativos</w:t>
      </w:r>
    </w:p>
    <w:p>
      <w:pPr>
        <w:pStyle w:val="FirstParagraph"/>
      </w:pPr>
      <w:r>
        <w:t xml:space="preserve">Se entrenó el modelo durante un máximo de 20 épocas; la parada anticipada</w:t>
      </w:r>
      <w:r>
        <w:t xml:space="preserve"> </w:t>
      </w:r>
      <w:r>
        <w:t xml:space="preserve">se activó en la época 19. La Fig. 1 muestra la evolución de la pérdida</w:t>
      </w:r>
      <w:r>
        <w:t xml:space="preserve"> </w:t>
      </w:r>
      <w:r>
        <w:t xml:space="preserve">y las métricas de validación a lo largo del entrenamiento.</w:t>
      </w:r>
    </w:p>
    <w:bookmarkStart w:id="25" w:name="fig:curvas"/>
    <w:p>
      <w:pPr>
        <w:pStyle w:val="CaptionedFigure"/>
      </w:pPr>
      <w:r>
        <w:drawing>
          <wp:inline>
            <wp:extent cx="6148324" cy="218615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urvas_entrenamient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324" cy="218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Pérdida BCE (izq.) y métricas de validación (der.) por</w:t>
      </w:r>
      <w:r>
        <w:t xml:space="preserve"> </w:t>
      </w:r>
      <w:r>
        <w:t xml:space="preserve">época. La parada anticipada se activa en la época 19.</w:t>
      </w:r>
    </w:p>
    <w:bookmarkEnd w:id="25"/>
    <w:p>
      <w:pPr>
        <w:pStyle w:val="BodyText"/>
      </w:pPr>
      <w:r>
        <w:t xml:space="preserve">La Tabla 2 compara las métricas en tres momentos clave para mostrar el efecto</w:t>
      </w:r>
      <w:r>
        <w:t xml:space="preserve"> </w:t>
      </w:r>
      <w:r>
        <w:t xml:space="preserve">de la estrategia de ajuste progresivo: al terminar la fase de congelado (ép.</w:t>
      </w:r>
      <w:r>
        <w:t xml:space="preserve"> </w:t>
      </w:r>
      <w:r>
        <w:t xml:space="preserve">3), al inicio del ajuste fino (ép. 6) y al final del entrenamiento (ép. 19).</w:t>
      </w:r>
      <w:r>
        <w:t xml:space="preserve"> </w:t>
      </w:r>
      <w:r>
        <w:t xml:space="preserve">La Tabla 3 reporta los resultados sobre el conjunto de prueba.</w:t>
      </w:r>
    </w:p>
    <w:bookmarkStart w:id="26" w:name="tab:prueba"/>
    <w:p>
      <w:pPr>
        <w:pStyle w:val="TableCaption"/>
      </w:pPr>
      <w:r>
        <w:t xml:space="preserve">Métricas finales sobre el conjunto de prueba.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étricas finales sobre el conjunto de prueba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0.893</w:t>
            </w:r>
          </w:p>
        </w:tc>
      </w:tr>
    </w:tbl>
    <w:bookmarkEnd w:id="26"/>
    <w:bookmarkEnd w:id="27"/>
    <w:bookmarkStart w:id="28" w:name="resultados-cualitativos"/>
    <w:p>
      <w:pPr>
        <w:pStyle w:val="Heading2"/>
      </w:pPr>
      <w:r>
        <w:t xml:space="preserve">Resultados cualitativos</w:t>
      </w:r>
    </w:p>
    <w:p>
      <w:pPr>
        <w:pStyle w:val="FirstParagraph"/>
      </w:pPr>
      <w:r>
        <w:t xml:space="preserve">El recall supera sistemáticamente a la precisión tanto en validación como</w:t>
      </w:r>
      <w:r>
        <w:t xml:space="preserve"> </w:t>
      </w:r>
      <w:r>
        <w:t xml:space="preserve">en prueba (0.910 frente a 0.877), lo que indica una tendencia del modelo a</w:t>
      </w:r>
      <w:r>
        <w:t xml:space="preserve"> </w:t>
      </w:r>
      <w:r>
        <w:t xml:space="preserve">clasificar como positivo ante la ambigüedad. Esto es consistente con el sesgo</w:t>
      </w:r>
      <w:r>
        <w:t xml:space="preserve"> </w:t>
      </w:r>
      <w:r>
        <w:t xml:space="preserve">de los vectores GloVe: intensificadores frecuentes en reseñas como</w:t>
      </w:r>
      <w:r>
        <w:t xml:space="preserve"> </w:t>
      </w:r>
      <w:r>
        <w:rPr>
          <w:i/>
          <w:iCs/>
        </w:rPr>
        <w:t xml:space="preserve">amazing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terrible</w:t>
      </w:r>
      <w:r>
        <w:t xml:space="preserve"> </w:t>
      </w:r>
      <w:r>
        <w:t xml:space="preserve">tienen carga emocional pronunciada que el</w:t>
      </w:r>
      <w:r>
        <w:t xml:space="preserve"> </w:t>
      </w:r>
      <w:r>
        <w:t xml:space="preserve">modelo asocia con la clase positiva incluso en contextos negativos. El efecto</w:t>
      </w:r>
      <w:r>
        <w:t xml:space="preserve"> </w:t>
      </w:r>
      <w:r>
        <w:t xml:space="preserve">persiste tras el ajuste fino.</w:t>
      </w:r>
    </w:p>
    <w:p>
      <w:pPr>
        <w:pStyle w:val="BodyText"/>
      </w:pPr>
      <w:r>
        <w:t xml:space="preserve">La convergencia es rápida en las primeras seis épocas, donde el F1 pasa</w:t>
      </w:r>
      <w:r>
        <w:t xml:space="preserve"> </w:t>
      </w:r>
      <w:r>
        <w:t xml:space="preserve">de 0.792 a 0.878; las épocas siguientes aportan mejoras marginales. La</w:t>
      </w:r>
      <w:r>
        <w:t xml:space="preserve"> </w:t>
      </w:r>
      <w:r>
        <w:t xml:space="preserve">brecha creciente entre pérdida de entrenamiento y validación a partir de</w:t>
      </w:r>
      <w:r>
        <w:t xml:space="preserve"> </w:t>
      </w:r>
      <w:r>
        <w:t xml:space="preserve">la época 11 señala sobreajuste moderado que la parada anticipada contiene</w:t>
      </w:r>
      <w:r>
        <w:t xml:space="preserve"> </w:t>
      </w:r>
      <w:r>
        <w:t xml:space="preserve">pero no elimina.</w:t>
      </w:r>
    </w:p>
    <w:bookmarkEnd w:id="28"/>
    <w:bookmarkEnd w:id="29"/>
    <w:bookmarkStart w:id="30" w:name="discusión"/>
    <w:p>
      <w:pPr>
        <w:pStyle w:val="Heading1"/>
      </w:pPr>
      <w:r>
        <w:t xml:space="preserve">Discusión</w:t>
      </w:r>
    </w:p>
    <w:p>
      <w:pPr>
        <w:pStyle w:val="FirstParagraph"/>
      </w:pPr>
      <w:r>
        <w:t xml:space="preserve">El F1 de 0.893 es consistente con los rangos reportados en trabajos sobre IMDb</w:t>
      </w:r>
      <w:r>
        <w:t xml:space="preserve"> </w:t>
      </w:r>
      <w:r>
        <w:t xml:space="preserve">con arquitecturas recurrentes [5]. El resultado se ubica en el rango esperado</w:t>
      </w:r>
      <w:r>
        <w:t xml:space="preserve"> </w:t>
      </w:r>
      <w:r>
        <w:t xml:space="preserve">para una sola capa BiLSTM, ya que [7] muestra que arquitecturas más profundas</w:t>
      </w:r>
      <w:r>
        <w:t xml:space="preserve"> </w:t>
      </w:r>
      <w:r>
        <w:t xml:space="preserve">no siempre mejoran el rendimiento en tareas de clasificación de longitud</w:t>
      </w:r>
      <w:r>
        <w:t xml:space="preserve"> </w:t>
      </w:r>
      <w:r>
        <w:t xml:space="preserve">moderada y pueden introducir inestabilidad en el entrenamiento. El mean pooling</w:t>
      </w:r>
      <w:r>
        <w:t xml:space="preserve"> </w:t>
      </w:r>
      <w:r>
        <w:t xml:space="preserve">sobre los estados ocultos, respaldado por [6], produce representaciones más</w:t>
      </w:r>
      <w:r>
        <w:t xml:space="preserve"> </w:t>
      </w:r>
      <w:r>
        <w:t xml:space="preserve">robustas que el último estado oculto en reseñas largas donde el sentimiento</w:t>
      </w:r>
      <w:r>
        <w:t xml:space="preserve"> </w:t>
      </w:r>
      <w:r>
        <w:t xml:space="preserve">está distribuido a lo largo del texto, lo que explica la estabilidad de las</w:t>
      </w:r>
      <w:r>
        <w:t xml:space="preserve"> </w:t>
      </w:r>
      <w:r>
        <w:t xml:space="preserve">métricas en las épocas finales.</w:t>
      </w:r>
    </w:p>
    <w:p>
      <w:pPr>
        <w:pStyle w:val="BodyText"/>
      </w:pPr>
      <w:r>
        <w:t xml:space="preserve">La estrategia de congelar y luego descongelar los embeddings es efectiva: la</w:t>
      </w:r>
      <w:r>
        <w:t xml:space="preserve"> </w:t>
      </w:r>
      <w:r>
        <w:t xml:space="preserve">Tabla 2 muestra una ganancia de 2.7 puntos de F1 entre la época 3 y la</w:t>
      </w:r>
      <w:r>
        <w:t xml:space="preserve"> </w:t>
      </w:r>
      <w:r>
        <w:t xml:space="preserve">época 6, en línea con los resultados de [2] al comparar estrategias de</w:t>
      </w:r>
      <w:r>
        <w:t xml:space="preserve"> </w:t>
      </w:r>
      <w:r>
        <w:t xml:space="preserve">embeddings estáticos y ajustables. El ajuste fino con tasa de aprendizaje</w:t>
      </w:r>
      <w:r>
        <w:t xml:space="preserve"> </w:t>
      </w:r>
      <w:r>
        <w:t xml:space="preserve">reducida evita destruir las representaciones preentrenadas mientras el modelo</w:t>
      </w:r>
      <w:r>
        <w:t xml:space="preserve"> </w:t>
      </w:r>
      <w:r>
        <w:t xml:space="preserve">captura patrones específicos del dominio. La cobertura del 77.2 % de GloVe</w:t>
      </w:r>
      <w:r>
        <w:t xml:space="preserve"> </w:t>
      </w:r>
      <w:r>
        <w:t xml:space="preserve">sobre el vocabulario del conjunto es suficiente para que los embeddings aporten</w:t>
      </w:r>
      <w:r>
        <w:t xml:space="preserve"> </w:t>
      </w:r>
      <w:r>
        <w:t xml:space="preserve">información semántica útil desde las primeras épocas.</w:t>
      </w:r>
    </w:p>
    <w:p>
      <w:pPr>
        <w:pStyle w:val="BodyText"/>
      </w:pPr>
      <w:r>
        <w:t xml:space="preserve">Como limitaciones, el número de épocas de congelado es fijo, por lo que</w:t>
      </w:r>
      <w:r>
        <w:t xml:space="preserve"> </w:t>
      </w:r>
      <w:r>
        <w:t xml:space="preserve">un criterio adaptativo podría ajustarse mejor según la velocidad de</w:t>
      </w:r>
      <w:r>
        <w:t xml:space="preserve"> </w:t>
      </w:r>
      <w:r>
        <w:t xml:space="preserve">convergencia de cada ejecución. Las reseñas con más de 300 tokens se</w:t>
      </w:r>
      <w:r>
        <w:t xml:space="preserve"> </w:t>
      </w:r>
      <w:r>
        <w:t xml:space="preserve">truncan, perdiendo el contexto del final del texto, que en críticas de cine</w:t>
      </w:r>
      <w:r>
        <w:t xml:space="preserve"> </w:t>
      </w:r>
      <w:r>
        <w:t xml:space="preserve">frecuentemente contiene la valoración final del autor. Tampoco se realizó</w:t>
      </w:r>
      <w:r>
        <w:t xml:space="preserve"> </w:t>
      </w:r>
      <w:r>
        <w:t xml:space="preserve">búsqueda sistemática de hiperparámetros, por lo que la configuración</w:t>
      </w:r>
      <w:r>
        <w:t xml:space="preserve"> </w:t>
      </w:r>
      <w:r>
        <w:t xml:space="preserve">actual puede no ser óptima. Como trabajo futuro, resulta de interés</w:t>
      </w:r>
      <w:r>
        <w:t xml:space="preserve"> </w:t>
      </w:r>
      <w:r>
        <w:t xml:space="preserve">explorar mecanismos de atención sobre los estados del BiLSTM como alternativa</w:t>
      </w:r>
      <w:r>
        <w:t xml:space="preserve"> </w:t>
      </w:r>
      <w:r>
        <w:t xml:space="preserve">al mean pooling, comparar el rendimiento con un codificador Transformer ligero</w:t>
      </w:r>
      <w:r>
        <w:t xml:space="preserve"> </w:t>
      </w:r>
      <w:r>
        <w:t xml:space="preserve">y evaluar el impacto de distintas duraciones de la fase de congelado.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S. Hochreiter and J. Schmidhuber,</w:t>
      </w:r>
      <w:r>
        <w:t xml:space="preserve"> </w:t>
      </w:r>
      <w:r>
        <w:t xml:space="preserve">“Long short-term memory,”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vol. 9, no. 8, pp. 1735–1780, 1997.</w:t>
      </w:r>
    </w:p>
    <w:p>
      <w:pPr>
        <w:pStyle w:val="BodyText"/>
      </w:pPr>
      <w:r>
        <w:t xml:space="preserve">Y. Kim,</w:t>
      </w:r>
      <w:r>
        <w:t xml:space="preserve"> </w:t>
      </w:r>
      <w:r>
        <w:t xml:space="preserve">“Convolutional neural networks for sentence classification,”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pp. 1746–1751, 2014.</w:t>
      </w:r>
    </w:p>
    <w:p>
      <w:pPr>
        <w:pStyle w:val="BodyText"/>
      </w:pPr>
      <w:r>
        <w:t xml:space="preserve">J. Pennington, R. Socher, and C. D. Manning,</w:t>
      </w:r>
      <w:r>
        <w:t xml:space="preserve"> </w:t>
      </w:r>
      <w:r>
        <w:t xml:space="preserve">“GloVe: Global vectors for word representation,”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pp. 1532–1543, 2014.</w:t>
      </w:r>
    </w:p>
    <w:p>
      <w:pPr>
        <w:pStyle w:val="BodyText"/>
      </w:pPr>
      <w:r>
        <w:t xml:space="preserve">A. L. Maas, R. E. Daly, P. T. Pham, D. Huang, A. Y. Ng, and C. Potts,</w:t>
      </w:r>
      <w:r>
        <w:t xml:space="preserve"> </w:t>
      </w:r>
      <w:r>
        <w:t xml:space="preserve">“Learning word vectors for sentiment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49th Annual Meeting of the ACL</w:t>
      </w:r>
      <w:r>
        <w:t xml:space="preserve">, pp. 142–150, 2011.</w:t>
      </w:r>
    </w:p>
    <w:p>
      <w:pPr>
        <w:pStyle w:val="BodyText"/>
      </w:pPr>
      <w:r>
        <w:t xml:space="preserve">J. Howard and S. Ruder,</w:t>
      </w:r>
      <w:r>
        <w:t xml:space="preserve"> </w:t>
      </w:r>
      <w:r>
        <w:t xml:space="preserve">“Universal language model fine-tuning for text classification,”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ACL</w:t>
      </w:r>
      <w:r>
        <w:t xml:space="preserve">, pp. 328–339, 2018.</w:t>
      </w:r>
    </w:p>
    <w:p>
      <w:pPr>
        <w:pStyle w:val="BodyText"/>
      </w:pPr>
      <w:r>
        <w:t xml:space="preserve">A. Conneau, D. Kiela, H. Schwenk, L. Barrault, and A. Bordes,</w:t>
      </w:r>
      <w:r>
        <w:t xml:space="preserve"> </w:t>
      </w:r>
      <w:r>
        <w:t xml:space="preserve">“Supervised learning of universal sentence representations from natural</w:t>
      </w:r>
      <w:r>
        <w:t xml:space="preserve"> </w:t>
      </w:r>
      <w:r>
        <w:t xml:space="preserve">language inference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pp. 670–680, 2017.</w:t>
      </w:r>
    </w:p>
    <w:p>
      <w:pPr>
        <w:pStyle w:val="BodyText"/>
      </w:pPr>
      <w:r>
        <w:t xml:space="preserve">K. Greff, R. K. Srivastava, J. Koutńik, B. R. Steunebrink, and J. Schmidhuber,</w:t>
      </w:r>
      <w:r>
        <w:t xml:space="preserve"> </w:t>
      </w:r>
      <w:r>
        <w:t xml:space="preserve">“LSTM: A search space odyssey,”</w:t>
      </w:r>
      <w:r>
        <w:t xml:space="preserve"> </w:t>
      </w:r>
      <w:r>
        <w:rPr>
          <w:i/>
          <w:iCs/>
        </w:rPr>
        <w:t xml:space="preserve">IEEE Trans. Neural Netw. Learn. Syst.</w:t>
      </w:r>
      <w:r>
        <w:t xml:space="preserve">, vol. 28, no. 10,</w:t>
      </w:r>
      <w:r>
        <w:t xml:space="preserve"> </w:t>
      </w:r>
      <w:r>
        <w:t xml:space="preserve">pp. 2222–2232, 2017.</w:t>
      </w:r>
    </w:p>
    <w:p>
      <w:pPr>
        <w:pStyle w:val="BodyText"/>
      </w:pPr>
      <w:r>
        <w:t xml:space="preserve">T. Mikolov, K. Chen, G. Corrado, and J. Dean,</w:t>
      </w:r>
      <w:r>
        <w:t xml:space="preserve"> </w:t>
      </w:r>
      <w:r>
        <w:t xml:space="preserve">“Efficient estimation of word representations in vector space,”</w:t>
      </w:r>
      <w:r>
        <w:t xml:space="preserve"> </w:t>
      </w:r>
      <w:r>
        <w:rPr>
          <w:i/>
          <w:iCs/>
        </w:rPr>
        <w:t xml:space="preserve">arXiv preprint arXiv:1301.3781</w:t>
      </w:r>
      <w:r>
        <w:t xml:space="preserve">, 2013.</w:t>
      </w:r>
    </w:p>
    <w:bookmarkEnd w:id="30"/>
    <w:sectPr w:rsidR="00F66F7E" w:rsidSect="005D61CD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622" w:footer="431" w:gutter="0" w:header="431" w:left="1440" w:right="902" w:top="1440"/>
      <w:cols w:num="2" w:space="544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5211" w14:textId="77777777" w:rsidR="00737598" w:rsidRDefault="00737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29C1" w14:textId="77777777" w:rsidR="00737598" w:rsidRDefault="007375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9023" w14:textId="77777777" w:rsidR="00737598" w:rsidRDefault="00737598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6FED" w14:textId="77777777" w:rsidR="0037698C" w:rsidRDefault="003769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00DF1" w14:textId="77777777" w:rsidR="00737598" w:rsidRDefault="007375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2969" w14:textId="77777777" w:rsidR="0037698C" w:rsidRDefault="0037698C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."/>
      <w:lvlJc w:val="left"/>
      <w:pPr>
        <w:tabs>
          <w:tab w:pos="0" w:val="num"/>
        </w:tabs>
        <w:ind w:hanging="432" w:left="432"/>
      </w:pPr>
    </w:lvl>
    <w:lvl w:ilvl="1">
      <w:start w:val="1"/>
      <w:numFmt w:val="decimal"/>
      <w:suff w:val="space"/>
      <w:lvlText w:val="%1.%2."/>
      <w:lvlJc w:val="left"/>
      <w:pPr>
        <w:tabs>
          <w:tab w:pos="0" w:val="num"/>
        </w:tabs>
        <w:ind w:hanging="576" w:left="576"/>
      </w:p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</w:lvl>
    <w:lvl w:ilvl="3">
      <w:start w:val="1"/>
      <w:numFmt w:val="decimal"/>
      <w:lvlText w:val="%1.%2.%3.%4"/>
      <w:lvlJc w:val="left"/>
      <w:pPr>
        <w:tabs>
          <w:tab w:pos="864" w:val="num"/>
        </w:tabs>
        <w:ind w:hanging="864" w:left="864"/>
      </w:pPr>
    </w:lvl>
    <w:lvl w:ilvl="4">
      <w:start w:val="1"/>
      <w:numFmt w:val="decimal"/>
      <w:lvlText w:val="%1.%2.%3.%4.%5"/>
      <w:lvlJc w:val="left"/>
      <w:pPr>
        <w:tabs>
          <w:tab w:pos="1008" w:val="num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1">
    <w:nsid w:val="00000002"/>
    <w:multiLevelType w:val="multilevel"/>
    <w:tmpl w:val="2234A0D4"/>
    <w:name w:val="WW8Num1"/>
    <w:lvl w:ilvl="0">
      <w:start w:val="1"/>
      <w:numFmt w:val="decimal"/>
      <w:pStyle w:val="Heading1"/>
      <w:suff w:val="space"/>
      <w:lvlText w:val="%1."/>
      <w:lvlJc w:val="left"/>
      <w:pPr>
        <w:tabs>
          <w:tab w:pos="0" w:val="num"/>
        </w:tabs>
        <w:ind w:hanging="432" w:left="432"/>
      </w:pPr>
    </w:lvl>
    <w:lvl w:ilvl="1">
      <w:start w:val="1"/>
      <w:numFmt w:val="decimal"/>
      <w:pStyle w:val="Heading2"/>
      <w:suff w:val="space"/>
      <w:lvlText w:val="%1.%2."/>
      <w:lvlJc w:val="left"/>
      <w:pPr>
        <w:tabs>
          <w:tab w:pos="0" w:val="num"/>
        </w:tabs>
        <w:ind w:hanging="576" w:left="576"/>
      </w:pPr>
      <w:rPr>
        <w:b/>
        <w:bCs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tabs>
          <w:tab w:pos="864" w:val="num"/>
        </w:tabs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tabs>
          <w:tab w:pos="1008" w:val="num"/>
        </w:tabs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2">
    <w:nsid w:val="00000003"/>
    <w:multiLevelType w:val="singleLevel"/>
    <w:tmpl w:val="00000003"/>
    <w:name w:val="WW8Num7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">
    <w:nsid w:val="11DC5C15"/>
    <w:multiLevelType w:val="hybridMultilevel"/>
    <w:tmpl w:val="B7F6E6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41710159" w:numId="1">
    <w:abstractNumId w:val="0"/>
  </w:num>
  <w:num w16cid:durableId="923535313" w:numId="2">
    <w:abstractNumId w:val="1"/>
  </w:num>
  <w:num w16cid:durableId="182062745" w:numId="3">
    <w:abstractNumId w:val="2"/>
  </w:num>
  <w:num w16cid:durableId="643659068" w:numId="4">
    <w:abstractNumId w:val="3"/>
  </w:num>
  <w:num w16cid:durableId="1673489884" w:numId="5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202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savePreviewPicture/>
  <w:hdrShapeDefaults>
    <o:shapedefaults spidmax="2050" v:ext="edit"/>
  </w:hdrShapeDefaults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40"/>
    <w:rsid w:val="000534E2"/>
    <w:rsid w:val="000C0414"/>
    <w:rsid w:val="000F6CAE"/>
    <w:rsid w:val="00104664"/>
    <w:rsid w:val="00191877"/>
    <w:rsid w:val="001C7E11"/>
    <w:rsid w:val="00241835"/>
    <w:rsid w:val="002477B7"/>
    <w:rsid w:val="00251F16"/>
    <w:rsid w:val="002B6BFC"/>
    <w:rsid w:val="002C1FC7"/>
    <w:rsid w:val="002E3D6A"/>
    <w:rsid w:val="002F05C3"/>
    <w:rsid w:val="003142D9"/>
    <w:rsid w:val="00354D6B"/>
    <w:rsid w:val="0037698C"/>
    <w:rsid w:val="003E3A46"/>
    <w:rsid w:val="003F53B9"/>
    <w:rsid w:val="00437C99"/>
    <w:rsid w:val="00484418"/>
    <w:rsid w:val="004C2B75"/>
    <w:rsid w:val="004E0E37"/>
    <w:rsid w:val="00526C9E"/>
    <w:rsid w:val="00532EAA"/>
    <w:rsid w:val="00587C02"/>
    <w:rsid w:val="005D61CD"/>
    <w:rsid w:val="0066092D"/>
    <w:rsid w:val="00672C7C"/>
    <w:rsid w:val="006751AB"/>
    <w:rsid w:val="006C00F0"/>
    <w:rsid w:val="006D0E71"/>
    <w:rsid w:val="00725BAB"/>
    <w:rsid w:val="00727A47"/>
    <w:rsid w:val="0073244D"/>
    <w:rsid w:val="00737598"/>
    <w:rsid w:val="0074371D"/>
    <w:rsid w:val="0075435D"/>
    <w:rsid w:val="00764B5B"/>
    <w:rsid w:val="00802680"/>
    <w:rsid w:val="00825CB8"/>
    <w:rsid w:val="0082755C"/>
    <w:rsid w:val="00833AF4"/>
    <w:rsid w:val="00852F40"/>
    <w:rsid w:val="00884C38"/>
    <w:rsid w:val="008F4BAD"/>
    <w:rsid w:val="00936E62"/>
    <w:rsid w:val="00955656"/>
    <w:rsid w:val="0095785C"/>
    <w:rsid w:val="00A54D8A"/>
    <w:rsid w:val="00A62E8F"/>
    <w:rsid w:val="00AC5631"/>
    <w:rsid w:val="00CB1912"/>
    <w:rsid w:val="00D01EE8"/>
    <w:rsid w:val="00D04357"/>
    <w:rsid w:val="00D60DE5"/>
    <w:rsid w:val="00D63E14"/>
    <w:rsid w:val="00D94115"/>
    <w:rsid w:val="00DD5D50"/>
    <w:rsid w:val="00E55195"/>
    <w:rsid w:val="00E6288E"/>
    <w:rsid w:val="00E628D0"/>
    <w:rsid w:val="00E63A37"/>
    <w:rsid w:val="00E86551"/>
    <w:rsid w:val="00EB57C6"/>
    <w:rsid w:val="00F23DF3"/>
    <w:rsid w:val="00F658A1"/>
    <w:rsid w:val="00F66F7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DengXian" w:hAnsi="Times New Roman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 w:uiPriority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qFormat="1" w:uiPriority="72"/>
    <w:lsdException w:name="Quote" w:qFormat="1" w:uiPriority="73"/>
    <w:lsdException w:name="Intense Quote" w:qFormat="1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qFormat="1" w:uiPriority="34"/>
    <w:lsdException w:name="Colorful Grid Accent 1" w:qFormat="1" w:uiPriority="29"/>
    <w:lsdException w:name="Light Shading Accent 2" w:qFormat="1" w:uiPriority="30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qFormat="1" w:uiPriority="65"/>
    <w:lsdException w:name="Intense Emphasis" w:qFormat="1" w:uiPriority="66"/>
    <w:lsdException w:name="Subtle Reference" w:qFormat="1" w:uiPriority="67"/>
    <w:lsdException w:name="Intense Reference" w:qFormat="1" w:uiPriority="68"/>
    <w:lsdException w:name="Book Title" w:qFormat="1" w:uiPriority="69"/>
    <w:lsdException w:name="Bibliography" w:uiPriority="70"/>
    <w:lsdException w:name="TOC Heading" w:qFormat="1" w:semiHidden="1" w:uiPriority="71" w:unhideWhenUsed="1"/>
    <w:lsdException w:name="Plain Table 1" w:uiPriority="72"/>
    <w:lsdException w:name="Plain Table 2" w:uiPriority="73"/>
    <w:lsdException w:name="Plain Table 3" w:qFormat="1" w:uiPriority="19"/>
    <w:lsdException w:name="Plain Table 4" w:qFormat="1" w:uiPriority="21"/>
    <w:lsdException w:name="Plain Table 5" w:qFormat="1" w:uiPriority="31"/>
    <w:lsdException w:name="Grid Table Light" w:qFormat="1" w:uiPriority="32"/>
    <w:lsdException w:name="Grid Table 1 Light" w:qFormat="1" w:uiPriority="33"/>
    <w:lsdException w:name="Grid Table 2" w:uiPriority="37"/>
    <w:lsdException w:name="Grid Table 3" w:qFormat="1" w:uiPriority="39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suppressAutoHyphens/>
      <w:autoSpaceDE w:val="0"/>
    </w:pPr>
  </w:style>
  <w:style w:styleId="Heading1" w:type="paragraph">
    <w:name w:val="heading 1"/>
    <w:basedOn w:val="Normal"/>
    <w:next w:val="Normal"/>
    <w:qFormat/>
    <w:pPr>
      <w:keepNext/>
      <w:numPr>
        <w:numId w:val="2"/>
      </w:numPr>
      <w:spacing w:after="80" w:before="240"/>
      <w:outlineLvl w:val="0"/>
    </w:pPr>
  </w:style>
  <w:style w:styleId="Heading2" w:type="paragraph">
    <w:name w:val="heading 2"/>
    <w:basedOn w:val="Normal"/>
    <w:next w:val="Normal"/>
    <w:qFormat/>
    <w:pPr>
      <w:keepNext/>
      <w:numPr>
        <w:ilvl w:val="1"/>
        <w:numId w:val="2"/>
      </w:numPr>
      <w:spacing w:after="120" w:before="240"/>
      <w:ind w:hanging="578" w:left="578"/>
      <w:outlineLvl w:val="1"/>
    </w:pPr>
  </w:style>
  <w:style w:styleId="Heading3" w:type="paragraph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i/>
      <w:iCs/>
    </w:rPr>
  </w:style>
  <w:style w:styleId="Heading4" w:type="paragraph">
    <w:name w:val="heading 4"/>
    <w:basedOn w:val="Normal"/>
    <w:next w:val="Normal"/>
    <w:qFormat/>
    <w:pPr>
      <w:keepNext/>
      <w:numPr>
        <w:ilvl w:val="3"/>
        <w:numId w:val="2"/>
      </w:numPr>
      <w:spacing w:after="60" w:before="240"/>
      <w:outlineLvl w:val="3"/>
    </w:pPr>
  </w:style>
  <w:style w:styleId="Heading5" w:type="paragraph">
    <w:name w:val="heading 5"/>
    <w:basedOn w:val="Normal"/>
    <w:next w:val="Normal"/>
    <w:qFormat/>
    <w:pPr>
      <w:numPr>
        <w:ilvl w:val="4"/>
        <w:numId w:val="2"/>
      </w:numPr>
      <w:spacing w:after="60" w:before="240"/>
      <w:outlineLvl w:val="4"/>
    </w:pPr>
    <w:rPr>
      <w:sz w:val="18"/>
      <w:szCs w:val="18"/>
    </w:rPr>
  </w:style>
  <w:style w:styleId="Heading6" w:type="paragraph">
    <w:name w:val="heading 6"/>
    <w:basedOn w:val="Normal"/>
    <w:next w:val="Normal"/>
    <w:qFormat/>
    <w:pPr>
      <w:numPr>
        <w:ilvl w:val="5"/>
        <w:numId w:val="2"/>
      </w:numPr>
      <w:spacing w:after="60" w:before="240"/>
      <w:outlineLvl w:val="5"/>
    </w:pPr>
  </w:style>
  <w:style w:styleId="Heading7" w:type="paragraph">
    <w:name w:val="heading 7"/>
    <w:basedOn w:val="Normal"/>
    <w:next w:val="Normal"/>
    <w:qFormat/>
    <w:pPr>
      <w:numPr>
        <w:ilvl w:val="6"/>
        <w:numId w:val="2"/>
      </w:numPr>
      <w:spacing w:after="60" w:before="240"/>
      <w:outlineLvl w:val="6"/>
    </w:pPr>
    <w:rPr>
      <w:sz w:val="16"/>
      <w:szCs w:val="16"/>
    </w:rPr>
  </w:style>
  <w:style w:styleId="Heading8" w:type="paragraph">
    <w:name w:val="heading 8"/>
    <w:basedOn w:val="Normal"/>
    <w:next w:val="Normal"/>
    <w:qFormat/>
    <w:pPr>
      <w:numPr>
        <w:ilvl w:val="7"/>
        <w:numId w:val="2"/>
      </w:numPr>
      <w:spacing w:after="60" w:before="240"/>
      <w:outlineLvl w:val="7"/>
    </w:pPr>
  </w:style>
  <w:style w:styleId="Heading9" w:type="paragraph">
    <w:name w:val="heading 9"/>
    <w:basedOn w:val="Normal"/>
    <w:next w:val="Normal"/>
    <w:qFormat/>
    <w:pPr>
      <w:numPr>
        <w:ilvl w:val="8"/>
        <w:numId w:val="2"/>
      </w:numPr>
      <w:spacing w:after="60" w:before="240"/>
      <w:outlineLvl w:val="8"/>
    </w:pPr>
    <w:rPr>
      <w:sz w:val="16"/>
      <w:szCs w:val="16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WW8Num1z0" w:type="character">
    <w:name w:val="WW8Num1z0"/>
  </w:style>
  <w:style w:customStyle="1" w:styleId="WW8Num1z1" w:type="character">
    <w:name w:val="WW8Num1z1"/>
  </w:style>
  <w:style w:customStyle="1" w:styleId="WW8Num1z2" w:type="character">
    <w:name w:val="WW8Num1z2"/>
  </w:style>
  <w:style w:customStyle="1" w:styleId="WW8Num1z3" w:type="character">
    <w:name w:val="WW8Num1z3"/>
  </w:style>
  <w:style w:customStyle="1" w:styleId="WW8Num1z4" w:type="character">
    <w:name w:val="WW8Num1z4"/>
  </w:style>
  <w:style w:customStyle="1" w:styleId="WW8Num1z5" w:type="character">
    <w:name w:val="WW8Num1z5"/>
  </w:style>
  <w:style w:customStyle="1" w:styleId="WW8Num1z6" w:type="character">
    <w:name w:val="WW8Num1z6"/>
  </w:style>
  <w:style w:customStyle="1" w:styleId="WW8Num1z7" w:type="character">
    <w:name w:val="WW8Num1z7"/>
  </w:style>
  <w:style w:customStyle="1" w:styleId="WW8Num1z8" w:type="character">
    <w:name w:val="WW8Num1z8"/>
  </w:style>
  <w:style w:customStyle="1" w:styleId="WW8Num2z0" w:type="character">
    <w:name w:val="WW8Num2z0"/>
  </w:style>
  <w:style w:customStyle="1" w:styleId="WW8Num3z0" w:type="character">
    <w:name w:val="WW8Num3z0"/>
  </w:style>
  <w:style w:customStyle="1" w:styleId="WW8Num3z1" w:type="character">
    <w:name w:val="WW8Num3z1"/>
  </w:style>
  <w:style w:customStyle="1" w:styleId="WW8Num3z2" w:type="character">
    <w:name w:val="WW8Num3z2"/>
  </w:style>
  <w:style w:customStyle="1" w:styleId="WW8Num3z3" w:type="character">
    <w:name w:val="WW8Num3z3"/>
  </w:style>
  <w:style w:customStyle="1" w:styleId="WW8Num3z4" w:type="character">
    <w:name w:val="WW8Num3z4"/>
  </w:style>
  <w:style w:customStyle="1" w:styleId="WW8Num3z5" w:type="character">
    <w:name w:val="WW8Num3z5"/>
  </w:style>
  <w:style w:customStyle="1" w:styleId="WW8Num3z6" w:type="character">
    <w:name w:val="WW8Num3z6"/>
  </w:style>
  <w:style w:customStyle="1" w:styleId="WW8Num3z7" w:type="character">
    <w:name w:val="WW8Num3z7"/>
  </w:style>
  <w:style w:customStyle="1" w:styleId="WW8Num3z8" w:type="character">
    <w:name w:val="WW8Num3z8"/>
  </w:style>
  <w:style w:customStyle="1" w:styleId="WW8Num4z0" w:type="character">
    <w:name w:val="WW8Num4z0"/>
  </w:style>
  <w:style w:customStyle="1" w:styleId="WW8Num5z0" w:type="character">
    <w:name w:val="WW8Num5z0"/>
  </w:style>
  <w:style w:customStyle="1" w:styleId="WW8Num6z0" w:type="character">
    <w:name w:val="WW8Num6z0"/>
  </w:style>
  <w:style w:customStyle="1" w:styleId="WW8Num7z0" w:type="character">
    <w:name w:val="WW8Num7z0"/>
  </w:style>
  <w:style w:customStyle="1" w:styleId="WW8Num8z0" w:type="character">
    <w:name w:val="WW8Num8z0"/>
  </w:style>
  <w:style w:customStyle="1" w:styleId="WW8Num9z0" w:type="character">
    <w:name w:val="WW8Num9z0"/>
  </w:style>
  <w:style w:customStyle="1" w:styleId="WW8Num9z1" w:type="character">
    <w:name w:val="WW8Num9z1"/>
  </w:style>
  <w:style w:customStyle="1" w:styleId="WW8Num9z2" w:type="character">
    <w:name w:val="WW8Num9z2"/>
  </w:style>
  <w:style w:customStyle="1" w:styleId="WW8Num9z3" w:type="character">
    <w:name w:val="WW8Num9z3"/>
  </w:style>
  <w:style w:customStyle="1" w:styleId="WW8Num9z4" w:type="character">
    <w:name w:val="WW8Num9z4"/>
  </w:style>
  <w:style w:customStyle="1" w:styleId="WW8Num9z5" w:type="character">
    <w:name w:val="WW8Num9z5"/>
  </w:style>
  <w:style w:customStyle="1" w:styleId="WW8Num9z6" w:type="character">
    <w:name w:val="WW8Num9z6"/>
  </w:style>
  <w:style w:customStyle="1" w:styleId="WW8Num9z7" w:type="character">
    <w:name w:val="WW8Num9z7"/>
  </w:style>
  <w:style w:customStyle="1" w:styleId="WW8Num9z8" w:type="character">
    <w:name w:val="WW8Num9z8"/>
  </w:style>
  <w:style w:customStyle="1" w:styleId="WW8Num10z0" w:type="character">
    <w:name w:val="WW8Num10z0"/>
  </w:style>
  <w:style w:customStyle="1" w:styleId="WW8Num11z0" w:type="character">
    <w:name w:val="WW8Num11z0"/>
  </w:style>
  <w:style w:customStyle="1" w:styleId="WW8Num11z1" w:type="character">
    <w:name w:val="WW8Num11z1"/>
  </w:style>
  <w:style w:customStyle="1" w:styleId="WW8Num11z2" w:type="character">
    <w:name w:val="WW8Num11z2"/>
  </w:style>
  <w:style w:customStyle="1" w:styleId="WW8Num11z3" w:type="character">
    <w:name w:val="WW8Num11z3"/>
  </w:style>
  <w:style w:customStyle="1" w:styleId="WW8Num11z4" w:type="character">
    <w:name w:val="WW8Num11z4"/>
  </w:style>
  <w:style w:customStyle="1" w:styleId="WW8Num11z5" w:type="character">
    <w:name w:val="WW8Num11z5"/>
  </w:style>
  <w:style w:customStyle="1" w:styleId="WW8Num11z6" w:type="character">
    <w:name w:val="WW8Num11z6"/>
  </w:style>
  <w:style w:customStyle="1" w:styleId="WW8Num11z7" w:type="character">
    <w:name w:val="WW8Num11z7"/>
  </w:style>
  <w:style w:customStyle="1" w:styleId="WW8Num11z8" w:type="character">
    <w:name w:val="WW8Num11z8"/>
  </w:style>
  <w:style w:customStyle="1" w:styleId="WW8Num12z0" w:type="character">
    <w:name w:val="WW8Num12z0"/>
  </w:style>
  <w:style w:customStyle="1" w:styleId="WW8Num13z0" w:type="character">
    <w:name w:val="WW8Num13z0"/>
  </w:style>
  <w:style w:customStyle="1" w:styleId="WW8Num13z1" w:type="character">
    <w:name w:val="WW8Num13z1"/>
  </w:style>
  <w:style w:customStyle="1" w:styleId="WW8Num13z2" w:type="character">
    <w:name w:val="WW8Num13z2"/>
  </w:style>
  <w:style w:customStyle="1" w:styleId="WW8Num13z3" w:type="character">
    <w:name w:val="WW8Num13z3"/>
  </w:style>
  <w:style w:customStyle="1" w:styleId="WW8Num13z4" w:type="character">
    <w:name w:val="WW8Num13z4"/>
  </w:style>
  <w:style w:customStyle="1" w:styleId="WW8Num13z5" w:type="character">
    <w:name w:val="WW8Num13z5"/>
  </w:style>
  <w:style w:customStyle="1" w:styleId="WW8Num13z6" w:type="character">
    <w:name w:val="WW8Num13z6"/>
  </w:style>
  <w:style w:customStyle="1" w:styleId="WW8Num13z7" w:type="character">
    <w:name w:val="WW8Num13z7"/>
  </w:style>
  <w:style w:customStyle="1" w:styleId="WW8Num13z8" w:type="character">
    <w:name w:val="WW8Num13z8"/>
  </w:style>
  <w:style w:customStyle="1" w:styleId="WW8Num14z0" w:type="character">
    <w:name w:val="WW8Num14z0"/>
  </w:style>
  <w:style w:customStyle="1" w:styleId="WW8Num14z1" w:type="character">
    <w:name w:val="WW8Num14z1"/>
  </w:style>
  <w:style w:customStyle="1" w:styleId="WW8Num14z2" w:type="character">
    <w:name w:val="WW8Num14z2"/>
  </w:style>
  <w:style w:customStyle="1" w:styleId="WW8Num14z3" w:type="character">
    <w:name w:val="WW8Num14z3"/>
  </w:style>
  <w:style w:customStyle="1" w:styleId="WW8Num14z4" w:type="character">
    <w:name w:val="WW8Num14z4"/>
  </w:style>
  <w:style w:customStyle="1" w:styleId="WW8Num14z5" w:type="character">
    <w:name w:val="WW8Num14z5"/>
  </w:style>
  <w:style w:customStyle="1" w:styleId="WW8Num14z6" w:type="character">
    <w:name w:val="WW8Num14z6"/>
  </w:style>
  <w:style w:customStyle="1" w:styleId="WW8Num14z7" w:type="character">
    <w:name w:val="WW8Num14z7"/>
  </w:style>
  <w:style w:customStyle="1" w:styleId="WW8Num14z8" w:type="character">
    <w:name w:val="WW8Num14z8"/>
  </w:style>
  <w:style w:customStyle="1" w:styleId="WW8Num15z0" w:type="character">
    <w:name w:val="WW8Num15z0"/>
  </w:style>
  <w:style w:customStyle="1" w:styleId="WW8Num16z0" w:type="character">
    <w:name w:val="WW8Num16z0"/>
  </w:style>
  <w:style w:customStyle="1" w:styleId="WW8Num17z0" w:type="character">
    <w:name w:val="WW8Num17z0"/>
  </w:style>
  <w:style w:customStyle="1" w:styleId="WW8Num17z1" w:type="character">
    <w:name w:val="WW8Num17z1"/>
  </w:style>
  <w:style w:customStyle="1" w:styleId="WW8Num17z2" w:type="character">
    <w:name w:val="WW8Num17z2"/>
  </w:style>
  <w:style w:customStyle="1" w:styleId="WW8Num17z3" w:type="character">
    <w:name w:val="WW8Num17z3"/>
  </w:style>
  <w:style w:customStyle="1" w:styleId="WW8Num17z4" w:type="character">
    <w:name w:val="WW8Num17z4"/>
  </w:style>
  <w:style w:customStyle="1" w:styleId="WW8Num17z5" w:type="character">
    <w:name w:val="WW8Num17z5"/>
  </w:style>
  <w:style w:customStyle="1" w:styleId="WW8Num17z6" w:type="character">
    <w:name w:val="WW8Num17z6"/>
  </w:style>
  <w:style w:customStyle="1" w:styleId="WW8Num17z7" w:type="character">
    <w:name w:val="WW8Num17z7"/>
  </w:style>
  <w:style w:customStyle="1" w:styleId="WW8Num17z8" w:type="character">
    <w:name w:val="WW8Num17z8"/>
  </w:style>
  <w:style w:customStyle="1" w:styleId="WW8Num18z0" w:type="character">
    <w:name w:val="WW8Num18z0"/>
  </w:style>
  <w:style w:customStyle="1" w:styleId="WW8Num19z0" w:type="character">
    <w:name w:val="WW8Num19z0"/>
  </w:style>
  <w:style w:customStyle="1" w:styleId="WW8Num19z1" w:type="character">
    <w:name w:val="WW8Num19z1"/>
  </w:style>
  <w:style w:customStyle="1" w:styleId="WW8Num19z2" w:type="character">
    <w:name w:val="WW8Num19z2"/>
  </w:style>
  <w:style w:customStyle="1" w:styleId="WW8Num19z3" w:type="character">
    <w:name w:val="WW8Num19z3"/>
  </w:style>
  <w:style w:customStyle="1" w:styleId="WW8Num19z4" w:type="character">
    <w:name w:val="WW8Num19z4"/>
  </w:style>
  <w:style w:customStyle="1" w:styleId="WW8Num19z5" w:type="character">
    <w:name w:val="WW8Num19z5"/>
  </w:style>
  <w:style w:customStyle="1" w:styleId="WW8Num19z6" w:type="character">
    <w:name w:val="WW8Num19z6"/>
  </w:style>
  <w:style w:customStyle="1" w:styleId="WW8Num19z7" w:type="character">
    <w:name w:val="WW8Num19z7"/>
  </w:style>
  <w:style w:customStyle="1" w:styleId="WW8Num19z8" w:type="character">
    <w:name w:val="WW8Num19z8"/>
  </w:style>
  <w:style w:customStyle="1" w:styleId="MemberType" w:type="character">
    <w:name w:val="MemberType"/>
  </w:style>
  <w:style w:customStyle="1" w:styleId="FootnoteCharacters" w:type="character">
    <w:name w:val="Footnote Characters"/>
    <w:rPr>
      <w:vertAlign w:val="superscript"/>
    </w:rPr>
  </w:style>
  <w:style w:styleId="Hyperlink" w:type="character">
    <w:name w:val="Hyperlink"/>
  </w:style>
  <w:style w:styleId="FollowedHyperlink" w:type="character">
    <w:name w:val="FollowedHyperlink"/>
  </w:style>
  <w:style w:styleId="PageNumber" w:type="character">
    <w:name w:val="page number"/>
    <w:basedOn w:val="DefaultParagraphFont"/>
  </w:style>
  <w:style w:customStyle="1" w:styleId="Heading1Char" w:type="character">
    <w:name w:val="Heading 1 Char"/>
  </w:style>
  <w:style w:customStyle="1" w:styleId="TextChar" w:type="character">
    <w:name w:val="Text Char"/>
  </w:style>
  <w:style w:styleId="FootnoteReference" w:type="character">
    <w:name w:val="footnote reference"/>
    <w:rPr>
      <w:vertAlign w:val="superscript"/>
    </w:rPr>
  </w:style>
  <w:style w:styleId="EndnoteReference" w:type="character">
    <w:name w:val="endnote reference"/>
    <w:rPr>
      <w:vertAlign w:val="superscript"/>
    </w:rPr>
  </w:style>
  <w:style w:customStyle="1" w:styleId="EndnoteCharacters" w:type="character">
    <w:name w:val="Endnote Characters"/>
  </w:style>
  <w:style w:customStyle="1" w:styleId="Heading" w:type="paragraph">
    <w:name w:val="Heading"/>
    <w:basedOn w:val="Normal"/>
    <w:next w:val="Normal"/>
    <w:pPr>
      <w:jc w:val="center"/>
    </w:pPr>
  </w:style>
  <w:style w:styleId="BodyText" w:type="paragraph">
    <w:name w:val="Body Text"/>
    <w:basedOn w:val="Normal"/>
    <w:pPr>
      <w:spacing w:after="140" w:line="288" w:lineRule="auto"/>
    </w:pPr>
  </w:style>
  <w:style w:styleId="List" w:type="paragraph">
    <w:name w:val="List"/>
    <w:basedOn w:val="BodyText"/>
    <w:rPr>
      <w:rFonts w:cs="Mangal"/>
    </w:rPr>
  </w:style>
  <w:style w:styleId="Caption" w:type="paragraph">
    <w:name w:val="caption"/>
    <w:basedOn w:val="Normal"/>
    <w:next w:val="Normal"/>
    <w:qFormat/>
    <w:rPr>
      <w:b/>
      <w:bCs/>
    </w:rPr>
  </w:style>
  <w:style w:customStyle="1" w:styleId="Index" w:type="paragraph">
    <w:name w:val="Index"/>
    <w:basedOn w:val="Normal"/>
    <w:pPr>
      <w:suppressLineNumbers/>
    </w:pPr>
    <w:rPr>
      <w:rFonts w:cs="Mangal"/>
    </w:rPr>
  </w:style>
  <w:style w:customStyle="1" w:styleId="Abstract" w:type="paragraph">
    <w:name w:val="Abstract"/>
    <w:basedOn w:val="Normal"/>
    <w:next w:val="Normal"/>
    <w:pPr>
      <w:spacing w:before="20"/>
      <w:ind w:firstLine="202"/>
      <w:jc w:val="both"/>
    </w:pPr>
  </w:style>
  <w:style w:customStyle="1" w:styleId="Authors" w:type="paragraph">
    <w:name w:val="Authors"/>
    <w:basedOn w:val="Normal"/>
    <w:next w:val="Normal"/>
    <w:pPr>
      <w:spacing w:after="320"/>
      <w:jc w:val="center"/>
    </w:pPr>
    <w:rPr>
      <w:sz w:val="22"/>
      <w:szCs w:val="22"/>
    </w:rPr>
  </w:style>
  <w:style w:styleId="FootnoteText" w:type="paragraph">
    <w:name w:val="footnote text"/>
    <w:basedOn w:val="Normal"/>
    <w:pPr>
      <w:ind w:firstLine="202"/>
      <w:jc w:val="both"/>
    </w:pPr>
    <w:rPr>
      <w:sz w:val="16"/>
      <w:szCs w:val="16"/>
    </w:rPr>
  </w:style>
  <w:style w:customStyle="1" w:styleId="References" w:type="paragraph">
    <w:name w:val="References"/>
    <w:basedOn w:val="Normal"/>
    <w:pPr>
      <w:numPr>
        <w:numId w:val="3"/>
      </w:numPr>
      <w:jc w:val="both"/>
    </w:pPr>
    <w:rPr>
      <w:sz w:val="18"/>
      <w:szCs w:val="16"/>
    </w:rPr>
  </w:style>
  <w:style w:customStyle="1" w:styleId="IndexTerms" w:type="paragraph">
    <w:name w:val="IndexTerms"/>
    <w:basedOn w:val="Normal"/>
    <w:next w:val="Normal"/>
    <w:pPr>
      <w:ind w:firstLine="202"/>
      <w:jc w:val="both"/>
    </w:pPr>
  </w:style>
  <w:style w:styleId="Footer" w:type="paragraph">
    <w:name w:val="footer"/>
    <w:basedOn w:val="Normal"/>
    <w:pPr>
      <w:tabs>
        <w:tab w:pos="4320" w:val="center"/>
        <w:tab w:pos="8640" w:val="right"/>
      </w:tabs>
    </w:pPr>
  </w:style>
  <w:style w:customStyle="1" w:styleId="Text" w:type="paragraph">
    <w:name w:val="Text"/>
    <w:basedOn w:val="Normal"/>
    <w:pPr>
      <w:widowControl w:val="0"/>
      <w:ind w:firstLine="204"/>
      <w:jc w:val="both"/>
    </w:pPr>
  </w:style>
  <w:style w:customStyle="1" w:styleId="FigureCaption" w:type="paragraph">
    <w:name w:val="Figure Caption"/>
    <w:basedOn w:val="Normal"/>
    <w:pPr>
      <w:jc w:val="both"/>
    </w:pPr>
    <w:rPr>
      <w:sz w:val="18"/>
      <w:szCs w:val="16"/>
    </w:rPr>
  </w:style>
  <w:style w:customStyle="1" w:styleId="TableTitle" w:type="paragraph">
    <w:name w:val="Table Title"/>
    <w:basedOn w:val="Normal"/>
    <w:pPr>
      <w:jc w:val="center"/>
    </w:pPr>
    <w:rPr>
      <w:smallCaps/>
      <w:sz w:val="16"/>
      <w:szCs w:val="16"/>
    </w:rPr>
  </w:style>
  <w:style w:customStyle="1" w:styleId="ReferenceHead" w:type="paragraph">
    <w:name w:val="Reference Head"/>
    <w:basedOn w:val="Heading1"/>
    <w:pPr>
      <w:numPr>
        <w:numId w:val="0"/>
      </w:numPr>
    </w:pPr>
  </w:style>
  <w:style w:styleId="Header" w:type="paragraph">
    <w:name w:val="header"/>
    <w:basedOn w:val="Normal"/>
    <w:pPr>
      <w:tabs>
        <w:tab w:pos="4320" w:val="center"/>
        <w:tab w:pos="8640" w:val="right"/>
      </w:tabs>
    </w:pPr>
  </w:style>
  <w:style w:customStyle="1" w:styleId="Equation" w:type="paragraph">
    <w:name w:val="Equation"/>
    <w:basedOn w:val="Normal"/>
    <w:next w:val="Normal"/>
    <w:pPr>
      <w:widowControl w:val="0"/>
      <w:tabs>
        <w:tab w:pos="5040" w:val="right"/>
      </w:tabs>
      <w:spacing w:line="252" w:lineRule="auto"/>
      <w:jc w:val="both"/>
    </w:pPr>
  </w:style>
  <w:style w:styleId="BodyTextIndent" w:type="paragraph">
    <w:name w:val="Body Text Indent"/>
    <w:basedOn w:val="Normal"/>
    <w:pPr>
      <w:ind w:hanging="630" w:left="630"/>
    </w:pPr>
    <w:rPr>
      <w:szCs w:val="24"/>
    </w:rPr>
  </w:style>
  <w:style w:customStyle="1" w:styleId="FrameContents" w:type="paragraph">
    <w:name w:val="Frame Contents"/>
    <w:basedOn w:val="Normal"/>
  </w:style>
  <w:style w:customStyle="1" w:styleId="TableContents" w:type="paragraph">
    <w:name w:val="Table Contents"/>
    <w:basedOn w:val="Normal"/>
    <w:pPr>
      <w:suppressLineNumbers/>
    </w:pPr>
  </w:style>
  <w:style w:customStyle="1" w:styleId="TableHeading" w:type="paragraph">
    <w:name w:val="Table Heading"/>
    <w:basedOn w:val="TableContents"/>
    <w:pPr>
      <w:jc w:val="center"/>
    </w:pPr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E6288E"/>
    <w:rPr>
      <w:rFonts w:ascii="SimSun" w:eastAsia="SimSun"/>
      <w:sz w:val="18"/>
      <w:szCs w:val="18"/>
    </w:rPr>
  </w:style>
  <w:style w:customStyle="1" w:styleId="BalloonTextChar" w:type="character">
    <w:name w:val="Balloon Text Char"/>
    <w:link w:val="BalloonText"/>
    <w:uiPriority w:val="99"/>
    <w:semiHidden/>
    <w:rsid w:val="00E6288E"/>
    <w:rPr>
      <w:rFonts w:ascii="SimSun" w:eastAsia="SimSun"/>
      <w:sz w:val="18"/>
      <w:szCs w:val="18"/>
      <w:lang w:eastAsia="en-US"/>
    </w:rPr>
  </w:style>
  <w:style w:styleId="PlaceholderText" w:type="character">
    <w:name w:val="Placeholder Text"/>
    <w:basedOn w:val="DefaultParagraphFont"/>
    <w:uiPriority w:val="99"/>
    <w:unhideWhenUsed/>
    <w:rsid w:val="00D01EE8"/>
    <w:rPr>
      <w:color w:val="808080"/>
    </w:rPr>
  </w:style>
  <w:style w:styleId="UnresolvedMention" w:type="character">
    <w:name w:val="Unresolved Mention"/>
    <w:basedOn w:val="DefaultParagraphFont"/>
    <w:uiPriority w:val="99"/>
    <w:semiHidden/>
    <w:unhideWhenUsed/>
    <w:rsid w:val="002C1FC7"/>
    <w:rPr>
      <w:color w:val="605E5C"/>
      <w:shd w:color="auto" w:fill="E1DFDD" w:val="clear"/>
    </w:rPr>
  </w:style>
  <w:style w:styleId="NormalWeb" w:type="paragraph">
    <w:name w:val="Normal (Web)"/>
    <w:basedOn w:val="Normal"/>
    <w:uiPriority w:val="99"/>
    <w:semiHidden/>
    <w:unhideWhenUsed/>
    <w:rsid w:val="002C1FC7"/>
    <w:rPr>
      <w:sz w:val="24"/>
      <w:szCs w:val="24"/>
    </w:rPr>
  </w:style>
  <w:style w:styleId="ListParagraph" w:type="paragraph">
    <w:name w:val="List Paragraph"/>
    <w:basedOn w:val="Normal"/>
    <w:uiPriority w:val="72"/>
    <w:qFormat/>
    <w:rsid w:val="00DD5D50"/>
    <w:pPr>
      <w:ind w:left="720"/>
      <w:contextualSpacing/>
    </w:pPr>
  </w:style>
  <w:style w:styleId="TableGrid" w:type="table">
    <w:name w:val="Table Grid"/>
    <w:basedOn w:val="TableNormal"/>
    <w:uiPriority w:val="59"/>
    <w:rsid w:val="00D63E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7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8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pixelsPerInch w:val="72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1060</Words>
  <Characters>6047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></vt:lpstr>
    </vt:vector>
  </TitlesOfParts>
  <Manager/>
  <Company/>
  <LinksUpToDate>false</LinksUpToDate>
  <CharactersWithSpaces>7093</CharactersWithSpaces>
  <SharedDoc>false</SharedDoc>
  <HyperlinkBase/>
  <HLinks>
    <vt:vector size="6" baseType="variant">
      <vt:variant>
        <vt:i4>6619256</vt:i4>
      </vt:variant>
      <vt:variant>
        <vt:i4>0</vt:i4>
      </vt:variant>
      <vt:variant>
        <vt:i4>0</vt:i4>
      </vt:variant>
      <vt:variant>
        <vt:i4>5</vt:i4>
      </vt:variant>
      <vt:variant>
        <vt:lpwstr>http://www.pamitc.org/documents/mermin.pdf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Clasificación de Sentimientos de Reseñas de Películas en IMDb con Redes Neuronales Recurrentes </dc:title>
  <dc:creator>Yezid Garcia^{*}, Juan Martin Santos^{*}, Jaime Rodriguez^{*} ^{*}Grupo 24. Códigos: 200810710, 202013610, 200717791</dc:creator>
  <cp:keywords/>
  <dcterms:created xsi:type="dcterms:W3CDTF">2026-05-05T22:28:19Z</dcterms:created>
  <dcterms:modified xsi:type="dcterms:W3CDTF">2026-05-05T22:28:19Z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