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1B49C" w14:textId="556D6633" w:rsidR="00115E3C" w:rsidRDefault="00115E3C" w:rsidP="00F129A9">
      <w:pPr>
        <w:pStyle w:val="TOCHeading"/>
        <w:rPr>
          <w:rFonts w:asciiTheme="minorHAnsi" w:hAnsiTheme="minorHAnsi"/>
          <w:b w:val="0"/>
        </w:rPr>
      </w:pPr>
      <w:r w:rsidRPr="00D40195">
        <w:rPr>
          <w:noProof/>
        </w:rPr>
        <w:drawing>
          <wp:anchor distT="0" distB="0" distL="114300" distR="114300" simplePos="0" relativeHeight="251658240" behindDoc="0" locked="0" layoutInCell="1" allowOverlap="1" wp14:anchorId="6B3A6BCA" wp14:editId="21BC71FB">
            <wp:simplePos x="1582472" y="2276669"/>
            <wp:positionH relativeFrom="column">
              <wp:align>left</wp:align>
            </wp:positionH>
            <wp:positionV relativeFrom="paragraph">
              <wp:align>top</wp:align>
            </wp:positionV>
            <wp:extent cx="5561045" cy="4896706"/>
            <wp:effectExtent l="0" t="0" r="1905" b="0"/>
            <wp:wrapSquare wrapText="bothSides"/>
            <wp:docPr id="10" name="Picture 9" descr="A colorful logo with text&#10;&#10;AI-generated content may be incorrect.">
              <a:extLst xmlns:a="http://schemas.openxmlformats.org/drawingml/2006/main">
                <a:ext uri="{FF2B5EF4-FFF2-40B4-BE49-F238E27FC236}">
                  <a16:creationId xmlns:a16="http://schemas.microsoft.com/office/drawing/2014/main" id="{68B09F50-D882-9AF8-D2F9-85984A44580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9" descr="A colorful logo with text&#10;&#10;AI-generated content may be incorrect.">
                      <a:extLst>
                        <a:ext uri="{FF2B5EF4-FFF2-40B4-BE49-F238E27FC236}">
                          <a16:creationId xmlns:a16="http://schemas.microsoft.com/office/drawing/2014/main" id="{68B09F50-D882-9AF8-D2F9-85984A445800}"/>
                        </a:ext>
                      </a:extLst>
                    </pic:cNvPr>
                    <pic:cNvPicPr>
                      <a:picLocks/>
                    </pic:cNvPicPr>
                  </pic:nvPicPr>
                  <pic:blipFill>
                    <a:blip r:embed="rId10">
                      <a:extLst>
                        <a:ext uri="{28A0092B-C50C-407E-A947-70E740481C1C}">
                          <a14:useLocalDpi xmlns:a14="http://schemas.microsoft.com/office/drawing/2010/main" val="0"/>
                        </a:ext>
                      </a:extLst>
                    </a:blip>
                    <a:stretch>
                      <a:fillRect/>
                    </a:stretch>
                  </pic:blipFill>
                  <pic:spPr>
                    <a:xfrm>
                      <a:off x="0" y="0"/>
                      <a:ext cx="5561045" cy="4896706"/>
                    </a:xfrm>
                    <a:prstGeom prst="rect">
                      <a:avLst/>
                    </a:prstGeom>
                    <a:noFill/>
                  </pic:spPr>
                </pic:pic>
              </a:graphicData>
            </a:graphic>
          </wp:anchor>
        </w:drawing>
      </w:r>
      <w:r w:rsidR="00A36CD7">
        <w:rPr>
          <w:rFonts w:asciiTheme="minorHAnsi" w:hAnsiTheme="minorHAnsi"/>
          <w:b w:val="0"/>
        </w:rPr>
        <w:br w:type="textWrapping" w:clear="all"/>
      </w:r>
    </w:p>
    <w:p w14:paraId="17107E6F" w14:textId="437F4EDA" w:rsidR="002472A8" w:rsidRDefault="002472A8" w:rsidP="002472A8">
      <w:pPr>
        <w:rPr>
          <w:rFonts w:asciiTheme="minorHAnsi" w:hAnsiTheme="minorHAnsi"/>
        </w:rPr>
      </w:pPr>
    </w:p>
    <w:p w14:paraId="6ECF2EFB" w14:textId="1B75C91F" w:rsidR="002472A8" w:rsidRPr="00E342D3" w:rsidRDefault="002472A8" w:rsidP="002472A8">
      <w:pPr>
        <w:pStyle w:val="BodyText"/>
        <w:pBdr>
          <w:top w:val="single" w:sz="4" w:space="1" w:color="auto"/>
          <w:left w:val="single" w:sz="4" w:space="4" w:color="auto"/>
          <w:bottom w:val="single" w:sz="4" w:space="1" w:color="auto"/>
          <w:right w:val="single" w:sz="4" w:space="4" w:color="auto"/>
        </w:pBdr>
        <w:rPr>
          <w:rFonts w:asciiTheme="minorHAnsi" w:hAnsiTheme="minorHAnsi"/>
          <w:i/>
          <w:iCs/>
        </w:rPr>
      </w:pPr>
      <w:r w:rsidRPr="00E342D3">
        <w:rPr>
          <w:rFonts w:asciiTheme="minorHAnsi" w:hAnsiTheme="minorHAnsi"/>
          <w:b/>
          <w:bCs/>
        </w:rPr>
        <w:t>Document Title</w:t>
      </w:r>
      <w:r w:rsidRPr="00E342D3">
        <w:rPr>
          <w:rFonts w:asciiTheme="minorHAnsi" w:hAnsiTheme="minorHAnsi"/>
        </w:rPr>
        <w:t xml:space="preserve">: </w:t>
      </w:r>
      <w:r w:rsidRPr="008B569C">
        <w:rPr>
          <w:rFonts w:asciiTheme="minorHAnsi" w:hAnsiTheme="minorHAnsi"/>
          <w:i/>
          <w:iCs/>
        </w:rPr>
        <w:fldChar w:fldCharType="begin"/>
      </w:r>
      <w:r w:rsidRPr="00E342D3">
        <w:rPr>
          <w:rFonts w:asciiTheme="minorHAnsi" w:hAnsiTheme="minorHAnsi"/>
          <w:i/>
          <w:iCs/>
        </w:rPr>
        <w:instrText xml:space="preserve"> DOCPROPERTY  Title  \* MERGEFORMAT </w:instrText>
      </w:r>
      <w:r w:rsidRPr="008B569C">
        <w:rPr>
          <w:rFonts w:asciiTheme="minorHAnsi" w:hAnsiTheme="minorHAnsi"/>
          <w:i/>
          <w:iCs/>
        </w:rPr>
        <w:fldChar w:fldCharType="separate"/>
      </w:r>
      <w:r w:rsidR="00A717FB">
        <w:rPr>
          <w:rFonts w:asciiTheme="minorHAnsi" w:hAnsiTheme="minorHAnsi"/>
          <w:i/>
          <w:iCs/>
        </w:rPr>
        <w:t>Technical User Guide - SSB Retuning Automations</w:t>
      </w:r>
      <w:r w:rsidRPr="008B569C">
        <w:rPr>
          <w:rFonts w:asciiTheme="minorHAnsi" w:hAnsiTheme="minorHAnsi"/>
          <w:i/>
          <w:iCs/>
        </w:rPr>
        <w:fldChar w:fldCharType="end"/>
      </w:r>
    </w:p>
    <w:p w14:paraId="1D4A380A" w14:textId="5E8271C8" w:rsidR="002472A8" w:rsidRPr="0054737E" w:rsidRDefault="002472A8" w:rsidP="002472A8">
      <w:pPr>
        <w:pStyle w:val="BodyText"/>
        <w:pBdr>
          <w:top w:val="single" w:sz="4" w:space="1" w:color="auto"/>
          <w:left w:val="single" w:sz="4" w:space="4" w:color="auto"/>
          <w:bottom w:val="single" w:sz="4" w:space="1" w:color="auto"/>
          <w:right w:val="single" w:sz="4" w:space="4" w:color="auto"/>
        </w:pBdr>
        <w:rPr>
          <w:rFonts w:asciiTheme="minorHAnsi" w:hAnsiTheme="minorHAnsi"/>
        </w:rPr>
      </w:pPr>
      <w:r w:rsidRPr="0054737E">
        <w:rPr>
          <w:rFonts w:asciiTheme="minorHAnsi" w:hAnsiTheme="minorHAnsi"/>
          <w:b/>
          <w:bCs/>
        </w:rPr>
        <w:t>Document Name</w:t>
      </w:r>
      <w:r w:rsidRPr="0054737E">
        <w:rPr>
          <w:rFonts w:asciiTheme="minorHAnsi" w:hAnsiTheme="minorHAnsi"/>
        </w:rPr>
        <w:t xml:space="preserve"> (type of document): </w:t>
      </w:r>
      <w:r>
        <w:rPr>
          <w:rFonts w:asciiTheme="minorHAnsi" w:hAnsiTheme="minorHAnsi"/>
          <w:i/>
          <w:iCs/>
        </w:rPr>
        <w:t>U</w:t>
      </w:r>
      <w:r w:rsidRPr="008B569C">
        <w:rPr>
          <w:rFonts w:asciiTheme="minorHAnsi" w:hAnsiTheme="minorHAnsi"/>
          <w:i/>
          <w:iCs/>
        </w:rPr>
        <w:t>SER GUIDE</w:t>
      </w:r>
    </w:p>
    <w:p w14:paraId="76EF11D7" w14:textId="4C8C6276" w:rsidR="002472A8" w:rsidRPr="0054737E" w:rsidRDefault="002472A8" w:rsidP="002472A8">
      <w:pPr>
        <w:pStyle w:val="BodyText"/>
        <w:pBdr>
          <w:top w:val="single" w:sz="4" w:space="1" w:color="auto"/>
          <w:left w:val="single" w:sz="4" w:space="4" w:color="auto"/>
          <w:bottom w:val="single" w:sz="4" w:space="1" w:color="auto"/>
          <w:right w:val="single" w:sz="4" w:space="4" w:color="auto"/>
        </w:pBdr>
        <w:rPr>
          <w:rFonts w:asciiTheme="minorHAnsi" w:hAnsiTheme="minorHAnsi"/>
        </w:rPr>
      </w:pPr>
      <w:r w:rsidRPr="0054737E">
        <w:rPr>
          <w:rFonts w:asciiTheme="minorHAnsi" w:hAnsiTheme="minorHAnsi"/>
          <w:b/>
          <w:bCs/>
        </w:rPr>
        <w:t>Document No</w:t>
      </w:r>
      <w:r w:rsidRPr="0054737E">
        <w:rPr>
          <w:rFonts w:asciiTheme="minorHAnsi" w:hAnsiTheme="minorHAnsi"/>
        </w:rPr>
        <w:t xml:space="preserve"> (decimal class): </w:t>
      </w:r>
      <w:r w:rsidRPr="008B569C">
        <w:rPr>
          <w:rFonts w:asciiTheme="minorHAnsi" w:hAnsiTheme="minorHAnsi"/>
          <w:i/>
          <w:iCs/>
        </w:rPr>
        <w:t xml:space="preserve">198 17-&lt;product number&gt; </w:t>
      </w:r>
      <w:proofErr w:type="spellStart"/>
      <w:r w:rsidRPr="008B569C">
        <w:rPr>
          <w:rFonts w:asciiTheme="minorHAnsi" w:hAnsiTheme="minorHAnsi"/>
          <w:i/>
          <w:iCs/>
        </w:rPr>
        <w:t>Uen</w:t>
      </w:r>
      <w:proofErr w:type="spellEnd"/>
      <w:r w:rsidRPr="0054737E">
        <w:rPr>
          <w:rFonts w:asciiTheme="minorHAnsi" w:hAnsiTheme="minorHAnsi"/>
        </w:rPr>
        <w:t xml:space="preserve"> </w:t>
      </w:r>
      <w:r w:rsidRPr="0054737E">
        <w:rPr>
          <w:rFonts w:asciiTheme="minorHAnsi" w:hAnsiTheme="minorHAnsi"/>
        </w:rPr>
        <w:br/>
        <w:t xml:space="preserve">(do this after the document is imported into </w:t>
      </w:r>
      <w:proofErr w:type="spellStart"/>
      <w:r w:rsidRPr="0054737E">
        <w:rPr>
          <w:rFonts w:asciiTheme="minorHAnsi" w:hAnsiTheme="minorHAnsi"/>
        </w:rPr>
        <w:t>EriDoc</w:t>
      </w:r>
      <w:proofErr w:type="spellEnd"/>
      <w:r w:rsidRPr="0054737E">
        <w:rPr>
          <w:rFonts w:asciiTheme="minorHAnsi" w:hAnsiTheme="minorHAnsi"/>
        </w:rPr>
        <w:t xml:space="preserve"> using </w:t>
      </w:r>
      <w:r w:rsidRPr="0054737E">
        <w:rPr>
          <w:rFonts w:asciiTheme="minorHAnsi" w:hAnsiTheme="minorHAnsi"/>
          <w:b/>
          <w:bCs/>
        </w:rPr>
        <w:t>Assign Document Number</w:t>
      </w:r>
      <w:r w:rsidRPr="0054737E">
        <w:rPr>
          <w:rFonts w:asciiTheme="minorHAnsi" w:hAnsiTheme="minorHAnsi"/>
        </w:rPr>
        <w:t xml:space="preserve"> function).</w:t>
      </w:r>
    </w:p>
    <w:p w14:paraId="2A9D2681" w14:textId="77777777" w:rsidR="002472A8" w:rsidRDefault="002472A8">
      <w:pPr>
        <w:tabs>
          <w:tab w:val="clear" w:pos="1247"/>
          <w:tab w:val="clear" w:pos="2552"/>
          <w:tab w:val="clear" w:pos="3856"/>
          <w:tab w:val="clear" w:pos="5216"/>
          <w:tab w:val="clear" w:pos="6464"/>
          <w:tab w:val="clear" w:pos="7768"/>
        </w:tabs>
        <w:rPr>
          <w:rFonts w:asciiTheme="minorHAnsi" w:hAnsiTheme="minorHAnsi"/>
        </w:rPr>
      </w:pPr>
      <w:r>
        <w:rPr>
          <w:rFonts w:asciiTheme="minorHAnsi" w:hAnsiTheme="minorHAnsi"/>
          <w:b/>
        </w:rPr>
        <w:br w:type="page"/>
      </w:r>
    </w:p>
    <w:sdt>
      <w:sdtPr>
        <w:rPr>
          <w:rFonts w:asciiTheme="minorHAnsi" w:hAnsiTheme="minorHAnsi"/>
          <w:b w:val="0"/>
        </w:rPr>
        <w:id w:val="1423686700"/>
        <w:docPartObj>
          <w:docPartGallery w:val="Table of Contents"/>
          <w:docPartUnique/>
        </w:docPartObj>
      </w:sdtPr>
      <w:sdtEndPr>
        <w:rPr>
          <w:bCs/>
          <w:noProof/>
        </w:rPr>
      </w:sdtEndPr>
      <w:sdtContent>
        <w:p w14:paraId="463B7C3F" w14:textId="5ED4F3E3" w:rsidR="00F129A9" w:rsidRPr="0054737E" w:rsidRDefault="00F129A9" w:rsidP="00F129A9">
          <w:pPr>
            <w:pStyle w:val="TOCHeading"/>
            <w:rPr>
              <w:rFonts w:asciiTheme="minorHAnsi" w:hAnsiTheme="minorHAnsi"/>
            </w:rPr>
          </w:pPr>
          <w:r w:rsidRPr="0054737E">
            <w:rPr>
              <w:rFonts w:asciiTheme="minorHAnsi" w:hAnsiTheme="minorHAnsi"/>
            </w:rPr>
            <w:t>Contents</w:t>
          </w:r>
        </w:p>
        <w:p w14:paraId="7561595A" w14:textId="28A30480" w:rsidR="00A717FB" w:rsidRDefault="00F129A9">
          <w:pPr>
            <w:pStyle w:val="TOC1"/>
            <w:rPr>
              <w:rFonts w:asciiTheme="minorHAnsi" w:eastAsiaTheme="minorEastAsia" w:hAnsiTheme="minorHAnsi" w:cstheme="minorBidi"/>
              <w:b w:val="0"/>
              <w:noProof/>
              <w:kern w:val="2"/>
              <w:sz w:val="24"/>
              <w:szCs w:val="24"/>
              <w14:ligatures w14:val="standardContextual"/>
            </w:rPr>
          </w:pPr>
          <w:r w:rsidRPr="0054737E">
            <w:rPr>
              <w:rFonts w:asciiTheme="minorHAnsi" w:hAnsiTheme="minorHAnsi"/>
            </w:rPr>
            <w:fldChar w:fldCharType="begin"/>
          </w:r>
          <w:r w:rsidRPr="0054737E">
            <w:rPr>
              <w:rFonts w:asciiTheme="minorHAnsi" w:hAnsiTheme="minorHAnsi"/>
            </w:rPr>
            <w:instrText xml:space="preserve"> TOC \o "1-3" \h \z \u </w:instrText>
          </w:r>
          <w:r w:rsidRPr="0054737E">
            <w:rPr>
              <w:rFonts w:asciiTheme="minorHAnsi" w:hAnsiTheme="minorHAnsi"/>
            </w:rPr>
            <w:fldChar w:fldCharType="separate"/>
          </w:r>
          <w:hyperlink w:anchor="_Toc222280070" w:history="1">
            <w:r w:rsidR="00A717FB" w:rsidRPr="001D0F37">
              <w:rPr>
                <w:rStyle w:val="Hyperlink"/>
                <w:noProof/>
              </w:rPr>
              <w:t>1</w:t>
            </w:r>
            <w:r w:rsidR="00A717FB">
              <w:rPr>
                <w:rFonts w:asciiTheme="minorHAnsi" w:eastAsiaTheme="minorEastAsia" w:hAnsiTheme="minorHAnsi" w:cstheme="minorBidi"/>
                <w:b w:val="0"/>
                <w:noProof/>
                <w:kern w:val="2"/>
                <w:sz w:val="24"/>
                <w:szCs w:val="24"/>
                <w14:ligatures w14:val="standardContextual"/>
              </w:rPr>
              <w:tab/>
            </w:r>
            <w:r w:rsidR="00A717FB" w:rsidRPr="001D0F37">
              <w:rPr>
                <w:rStyle w:val="Hyperlink"/>
                <w:noProof/>
              </w:rPr>
              <w:t>(autogenerated-content-start)</w:t>
            </w:r>
            <w:r w:rsidR="00A717FB">
              <w:rPr>
                <w:noProof/>
                <w:webHidden/>
              </w:rPr>
              <w:tab/>
            </w:r>
            <w:r w:rsidR="00A717FB">
              <w:rPr>
                <w:noProof/>
                <w:webHidden/>
              </w:rPr>
              <w:fldChar w:fldCharType="begin"/>
            </w:r>
            <w:r w:rsidR="00A717FB">
              <w:rPr>
                <w:noProof/>
                <w:webHidden/>
              </w:rPr>
              <w:instrText xml:space="preserve"> PAGEREF _Toc222280070 \h </w:instrText>
            </w:r>
            <w:r w:rsidR="00A717FB">
              <w:rPr>
                <w:noProof/>
                <w:webHidden/>
              </w:rPr>
            </w:r>
            <w:r w:rsidR="00A717FB">
              <w:rPr>
                <w:noProof/>
                <w:webHidden/>
              </w:rPr>
              <w:fldChar w:fldCharType="separate"/>
            </w:r>
            <w:r w:rsidR="00A717FB">
              <w:rPr>
                <w:noProof/>
                <w:webHidden/>
              </w:rPr>
              <w:t>3</w:t>
            </w:r>
            <w:r w:rsidR="00A717FB">
              <w:rPr>
                <w:noProof/>
                <w:webHidden/>
              </w:rPr>
              <w:fldChar w:fldCharType="end"/>
            </w:r>
          </w:hyperlink>
        </w:p>
        <w:p w14:paraId="2FB8C650" w14:textId="32ADBA12" w:rsidR="00F129A9" w:rsidRPr="0054737E" w:rsidRDefault="00F129A9" w:rsidP="002472A8">
          <w:pPr>
            <w:rPr>
              <w:rFonts w:asciiTheme="minorHAnsi" w:hAnsiTheme="minorHAnsi"/>
            </w:rPr>
          </w:pPr>
          <w:r w:rsidRPr="0054737E">
            <w:rPr>
              <w:rFonts w:asciiTheme="minorHAnsi" w:hAnsiTheme="minorHAnsi"/>
              <w:b/>
              <w:bCs/>
              <w:noProof/>
            </w:rPr>
            <w:fldChar w:fldCharType="end"/>
          </w:r>
        </w:p>
      </w:sdtContent>
    </w:sdt>
    <w:p w14:paraId="51E96BAA" w14:textId="77777777" w:rsidR="004B446D" w:rsidRDefault="004B446D">
      <w:pPr>
        <w:tabs>
          <w:tab w:val="clear" w:pos="1247"/>
          <w:tab w:val="clear" w:pos="2552"/>
          <w:tab w:val="clear" w:pos="3856"/>
          <w:tab w:val="clear" w:pos="5216"/>
          <w:tab w:val="clear" w:pos="6464"/>
          <w:tab w:val="clear" w:pos="7768"/>
        </w:tabs>
        <w:rPr>
          <w:rFonts w:eastAsiaTheme="majorEastAsia" w:cstheme="majorBidi"/>
          <w:b/>
          <w:bCs/>
          <w:sz w:val="28"/>
          <w:szCs w:val="28"/>
        </w:rPr>
      </w:pPr>
      <w:bookmarkStart w:id="0" w:name="_Toc191618355"/>
      <w:bookmarkStart w:id="1" w:name="_Toc211599207"/>
      <w:bookmarkStart w:id="2" w:name="_Toc510429222"/>
      <w:r>
        <w:br w:type="page"/>
      </w:r>
    </w:p>
    <w:p>
      <w:pPr>
        <w:pStyle w:val="Title"/>
      </w:pPr>
      <w:r>
        <w:t>Technical User Guide — SSB Retuning Automations</w:t>
      </w:r>
    </w:p>
    <w:p>
      <w:pPr>
        <w:pStyle w:val="Heading1"/>
      </w:pPr>
      <w:r>
        <w:t>Service Overview</w:t>
      </w:r>
    </w:p>
    <w:p>
      <w:r>
        <w:rPr>
          <w:b w:val="0"/>
        </w:rPr>
        <w:t>SSB Retuning Automations parses network logs, performs ConfigurationAudit checks, optionally compares PRE/POST states with ConsistencyChecks, and generates Excel deliverables and correction command exports.</w:t>
      </w:r>
    </w:p>
    <w:p>
      <w:r>
        <w:rPr>
          <w:b w:val="0"/>
        </w:rPr>
        <w:t>This document provides the official user-facing documentation for the SSB Retuning Automations tool. It explains how to prepare inputs, how each module behaves, which execution modes are available, and how to interpret all generated outputs.</w:t>
      </w:r>
    </w:p>
    <w:p>
      <w:pPr>
        <w:pStyle w:val="Heading2"/>
      </w:pPr>
      <w:r>
        <w:t>Coexistence of old &amp; new SSB:</w:t>
      </w:r>
    </w:p>
    <w:p>
      <w:r>
        <w:rPr>
          <w:b w:val="0"/>
        </w:rPr>
        <w:t>Coexistence of old/new SSB will split UE measurements in 2 frequencies. A cell ranked 3rd might become 1st after the split, increasing the risk of connecting to overshooting cells.</w:t>
      </w:r>
    </w:p>
    <w:p>
      <w:pPr>
        <w:pStyle w:val="ListParagraph"/>
        <w:numPr>
          <w:ilvl w:val="0"/>
          <w:numId w:val="28"/>
        </w:numPr>
      </w:pPr>
      <w:r>
        <w:rPr>
          <w:b w:val="0"/>
        </w:rPr>
        <w:t>To handle this, suggest setting lower priority for the SSB not collocated to minimize potential issues due to overshooting</w:t>
      </w:r>
    </w:p>
    <w:p>
      <w:pPr>
        <w:pStyle w:val="ListParagraph"/>
        <w:numPr>
          <w:ilvl w:val="0"/>
          <w:numId w:val="28"/>
        </w:numPr>
      </w:pPr>
      <w:r>
        <w:rPr>
          <w:b w:val="0"/>
        </w:rPr>
        <w:t>Retune cluster sites with low priority to old SSB (priority change on Step2)</w:t>
      </w:r>
    </w:p>
    <w:p>
      <w:pPr>
        <w:pStyle w:val="ListParagraph"/>
        <w:numPr>
          <w:ilvl w:val="0"/>
          <w:numId w:val="28"/>
        </w:numPr>
      </w:pPr>
      <w:r>
        <w:rPr>
          <w:b w:val="0"/>
        </w:rPr>
        <w:t>Neighboring sites with low priority to new SSB</w:t>
      </w:r>
    </w:p>
    <w:p>
      <w:pPr>
        <w:pStyle w:val="ListParagraph"/>
        <w:numPr>
          <w:ilvl w:val="0"/>
          <w:numId w:val="28"/>
        </w:numPr>
      </w:pPr>
      <w:r>
        <w:rPr>
          <w:b w:val="0"/>
        </w:rPr>
        <w:t>UEs camping on neighboring sites to retune cluster will not try to reselect or add ENDC on new SSB (lower priority)</w:t>
      </w:r>
    </w:p>
    <w:p>
      <w:pPr>
        <w:pStyle w:val="ListParagraph"/>
        <w:numPr>
          <w:ilvl w:val="0"/>
          <w:numId w:val="28"/>
        </w:numPr>
      </w:pPr>
      <w:r>
        <w:rPr>
          <w:b w:val="0"/>
        </w:rPr>
        <w:t>UEs camping on border sites in retune cluster will not try to reselect or add ENDC on old SSB (lower priority)</w:t>
      </w:r>
    </w:p>
    <w:p>
      <w:pPr>
        <w:pStyle w:val="ListParagraph"/>
        <w:numPr>
          <w:ilvl w:val="0"/>
          <w:numId w:val="28"/>
        </w:numPr>
      </w:pPr>
      <w:r>
        <w:rPr>
          <w:b w:val="0"/>
        </w:rPr>
        <w:t>Step1 will add FreqRelation to new SSB in retune + neighboring clusters</w:t>
      </w:r>
    </w:p>
    <w:p>
      <w:pPr>
        <w:pStyle w:val="ListParagraph"/>
        <w:numPr>
          <w:ilvl w:val="0"/>
          <w:numId w:val="28"/>
        </w:numPr>
      </w:pPr>
      <w:r>
        <w:rPr>
          <w:b w:val="0"/>
        </w:rPr>
        <w:t>Step2 will not remove FreqRelation to old SSB</w:t>
      </w:r>
    </w:p>
    <w:p>
      <w:pPr>
        <w:pStyle w:val="ListParagraph"/>
        <w:numPr>
          <w:ilvl w:val="0"/>
          <w:numId w:val="28"/>
        </w:numPr>
      </w:pPr>
      <w:r>
        <w:rPr>
          <w:b w:val="0"/>
        </w:rPr>
        <w:t>ENDC and Mobility allowed in border and neighboring sites with existing CellRelations</w:t>
      </w:r>
    </w:p>
    <w:p>
      <w:pPr>
        <w:pStyle w:val="Heading2"/>
      </w:pPr>
      <w:r>
        <w:t>Clusters definition and pre-checks</w:t>
      </w:r>
    </w:p>
    <w:p>
      <w:r>
        <w:drawing>
          <wp:inline xmlns:a="http://schemas.openxmlformats.org/drawingml/2006/main" xmlns:pic="http://schemas.openxmlformats.org/drawingml/2006/picture">
            <wp:extent cx="5760000" cy="5742925"/>
            <wp:docPr id="11" name="Picture 11"/>
            <wp:cNvGraphicFramePr>
              <a:graphicFrameLocks noChangeAspect="1"/>
            </wp:cNvGraphicFramePr>
            <a:graphic>
              <a:graphicData uri="http://schemas.openxmlformats.org/drawingml/2006/picture">
                <pic:pic>
                  <pic:nvPicPr>
                    <pic:cNvPr id="0" name="clusters_definition.png"/>
                    <pic:cNvPicPr/>
                  </pic:nvPicPr>
                  <pic:blipFill>
                    <a:blip r:embed="rId20"/>
                    <a:stretch>
                      <a:fillRect/>
                    </a:stretch>
                  </pic:blipFill>
                  <pic:spPr>
                    <a:xfrm>
                      <a:off x="0" y="0"/>
                      <a:ext cx="5760000" cy="5742925"/>
                    </a:xfrm>
                    <a:prstGeom prst="rect"/>
                  </pic:spPr>
                </pic:pic>
              </a:graphicData>
            </a:graphic>
          </wp:inline>
        </w:drawing>
      </w:r>
    </w:p>
    <w:p>
      <w:pPr>
        <w:pStyle w:val="ListParagraph"/>
        <w:numPr>
          <w:ilvl w:val="0"/>
          <w:numId w:val="28"/>
        </w:numPr>
      </w:pPr>
      <w:r>
        <w:rPr>
          <w:b w:val="0"/>
        </w:rPr>
        <w:t>Relations with old and new SSB will coexist in some nodes for a certain period, in some cases making intra-frequency relations become inter-frequency relations with impact on NR and ENDC mobility. Inter-frequency mobility will not be started until serving cell will go below a certain level entering the search zone, that might not be reached in locations that used to trigger intra-frequency mobility towards a best server. In addition, once the UE starts to measure either in idle or connected mode, the old and new SSBs will be reported in 2 separate frequencies and a cell ranked 3rd might become 1st after the split, creating the risk of connecting to cells suffering high interference.</w:t>
      </w:r>
    </w:p>
    <w:p>
      <w:pPr>
        <w:pStyle w:val="ListParagraph"/>
        <w:numPr>
          <w:ilvl w:val="0"/>
          <w:numId w:val="28"/>
        </w:numPr>
      </w:pPr>
      <w:r>
        <w:rPr>
          <w:b w:val="0"/>
        </w:rPr>
        <w:t>The amount and duration of such situations will depend on the retune clusterization and planning that should be aimed at minimizing the old and new SSB borders.</w:t>
      </w:r>
    </w:p>
    <w:p>
      <w:pPr>
        <w:pStyle w:val="ListParagraph"/>
        <w:numPr>
          <w:ilvl w:val="0"/>
          <w:numId w:val="28"/>
        </w:numPr>
      </w:pPr>
      <w:r>
        <w:rPr>
          <w:b w:val="0"/>
        </w:rPr>
        <w:t>Mobility optimizations might be recommended to mitigate the impact on KPIs such as drop rate.</w:t>
      </w:r>
    </w:p>
    <w:p>
      <w:pPr>
        <w:pStyle w:val="ListParagraph"/>
        <w:numPr>
          <w:ilvl w:val="0"/>
          <w:numId w:val="28"/>
        </w:numPr>
      </w:pPr>
      <w:r>
        <w:rPr>
          <w:b w:val="0"/>
        </w:rPr>
        <w:t>Full audit needed to evaluate the number of MOs and anticipate any additions that might be needed to the scripts for different markets.</w:t>
      </w:r>
    </w:p>
    <w:p>
      <w:pPr>
        <w:pStyle w:val="ListParagraph"/>
        <w:numPr>
          <w:ilvl w:val="0"/>
          <w:numId w:val="28"/>
        </w:numPr>
      </w:pPr>
      <w:r>
        <w:rPr>
          <w:b w:val="0"/>
        </w:rPr>
        <w:t>Detect if any MOs exceeding the allowed cardinality adding the new SSB definitions:</w:t>
      </w:r>
    </w:p>
    <w:p>
      <w:pPr>
        <w:pStyle w:val="ListParagraph"/>
        <w:numPr>
          <w:ilvl w:val="1"/>
          <w:numId w:val="28"/>
        </w:numPr>
      </w:pPr>
      <w:r>
        <w:rPr>
          <w:b w:val="0"/>
        </w:rPr>
        <w:t>Max NRFrequency definitions per node (limit 64)</w:t>
      </w:r>
    </w:p>
    <w:p>
      <w:pPr>
        <w:pStyle w:val="ListParagraph"/>
        <w:numPr>
          <w:ilvl w:val="1"/>
          <w:numId w:val="28"/>
        </w:numPr>
      </w:pPr>
      <w:r>
        <w:rPr>
          <w:b w:val="0"/>
        </w:rPr>
        <w:t>Max NRFreqRelation per NR cell (limit 16)</w:t>
      </w:r>
    </w:p>
    <w:p>
      <w:pPr>
        <w:pStyle w:val="ListParagraph"/>
        <w:numPr>
          <w:ilvl w:val="1"/>
          <w:numId w:val="28"/>
        </w:numPr>
      </w:pPr>
      <w:r>
        <w:rPr>
          <w:b w:val="0"/>
        </w:rPr>
        <w:t>Max GUtranSyncSignalFrequency definitions per node (limit 24)</w:t>
      </w:r>
    </w:p>
    <w:p>
      <w:pPr>
        <w:pStyle w:val="ListParagraph"/>
        <w:numPr>
          <w:ilvl w:val="1"/>
          <w:numId w:val="28"/>
        </w:numPr>
      </w:pPr>
      <w:r>
        <w:rPr>
          <w:b w:val="0"/>
        </w:rPr>
        <w:t>Max GUtranFreqRelation per LTE cell (limit 16)</w:t>
      </w:r>
    </w:p>
    <w:p>
      <w:pPr>
        <w:pStyle w:val="ListParagraph"/>
        <w:numPr>
          <w:ilvl w:val="0"/>
          <w:numId w:val="28"/>
        </w:numPr>
      </w:pPr>
      <w:r>
        <w:rPr>
          <w:b w:val="0"/>
        </w:rPr>
        <w:t>Identify retune+border clusters with markets being planned on different nights</w:t>
      </w:r>
    </w:p>
    <w:p>
      <w:pPr>
        <w:pStyle w:val="Heading2"/>
      </w:pPr>
      <w:r>
        <w:t>Process: Initial network audit + Two Steps approach + Final Clean-Up</w:t>
      </w:r>
    </w:p>
    <w:p>
      <w:pPr>
        <w:pStyle w:val="Heading3"/>
      </w:pPr>
      <w:r>
        <w:t>Step0, initial network audit</w:t>
      </w:r>
    </w:p>
    <w:p>
      <w:pPr>
        <w:pStyle w:val="ListParagraph"/>
        <w:numPr>
          <w:ilvl w:val="0"/>
          <w:numId w:val="28"/>
        </w:numPr>
      </w:pPr>
      <w:r>
        <w:rPr>
          <w:b w:val="0"/>
        </w:rPr>
        <w:t>Pre-checks export with all relevant MOs and params in retune+border clusters, including cellRelation. Evaluate the number of MOs and anticipate any additions that might be needed to the scripts for different markets</w:t>
      </w:r>
    </w:p>
    <w:p>
      <w:pPr>
        <w:pStyle w:val="Heading3"/>
      </w:pPr>
      <w:r>
        <w:t>Step1, before SSB retune including neighboring sites</w:t>
      </w:r>
    </w:p>
    <w:p>
      <w:pPr>
        <w:pStyle w:val="ListParagraph"/>
        <w:numPr>
          <w:ilvl w:val="0"/>
          <w:numId w:val="28"/>
        </w:numPr>
      </w:pPr>
      <w:r>
        <w:rPr>
          <w:b w:val="0"/>
        </w:rPr>
        <w:t>Retune readiness in retune + neighboring clusters</w:t>
      </w:r>
    </w:p>
    <w:p>
      <w:pPr>
        <w:pStyle w:val="ListParagraph"/>
        <w:numPr>
          <w:ilvl w:val="0"/>
          <w:numId w:val="28"/>
        </w:numPr>
      </w:pPr>
      <w:r>
        <w:rPr>
          <w:b w:val="0"/>
        </w:rPr>
        <w:t>Following the clusterization and planning phase, there would be a first step preparing the network for the coexistence of old and new SSBs.</w:t>
      </w:r>
    </w:p>
    <w:p>
      <w:pPr>
        <w:pStyle w:val="ListParagraph"/>
        <w:numPr>
          <w:ilvl w:val="0"/>
          <w:numId w:val="28"/>
        </w:numPr>
      </w:pPr>
      <w:r>
        <w:rPr>
          <w:b w:val="0"/>
        </w:rPr>
        <w:t>New GUtranSyncSignalFrequency/GUtranFreqRelation and NRFrequency/NRFreqRelation instances following VZ naming convention added manually before SSB retune. Nodes of all NR and LTE bands with FreqRelations to the retuned frequency are considered</w:t>
      </w:r>
    </w:p>
    <w:p>
      <w:pPr>
        <w:pStyle w:val="ListParagraph"/>
        <w:numPr>
          <w:ilvl w:val="0"/>
          <w:numId w:val="28"/>
        </w:numPr>
      </w:pPr>
      <w:r>
        <w:rPr>
          <w:b w:val="0"/>
        </w:rPr>
        <w:t>NrFreqRel profiles containing new SSB names</w:t>
      </w:r>
    </w:p>
    <w:p>
      <w:pPr>
        <w:pStyle w:val="ListParagraph"/>
        <w:numPr>
          <w:ilvl w:val="0"/>
          <w:numId w:val="28"/>
        </w:numPr>
      </w:pPr>
      <w:r>
        <w:rPr>
          <w:b w:val="0"/>
        </w:rPr>
        <w:t>Low PRIO for new SSB: endcB1MeasPriority 2-&gt;1, to mitigate the impact in retune borders</w:t>
      </w:r>
    </w:p>
    <w:p>
      <w:pPr>
        <w:pStyle w:val="ListParagraph"/>
        <w:numPr>
          <w:ilvl w:val="0"/>
          <w:numId w:val="28"/>
        </w:numPr>
      </w:pPr>
      <w:r>
        <w:rPr>
          <w:b w:val="0"/>
        </w:rPr>
        <w:t>Add new SSB to FreqPrioNR</w:t>
      </w:r>
    </w:p>
    <w:p>
      <w:pPr>
        <w:pStyle w:val="Heading3"/>
      </w:pPr>
      <w:r>
        <w:t>Step2, SSB retune cluster</w:t>
      </w:r>
    </w:p>
    <w:p>
      <w:pPr>
        <w:pStyle w:val="ListParagraph"/>
        <w:numPr>
          <w:ilvl w:val="0"/>
          <w:numId w:val="28"/>
        </w:numPr>
      </w:pPr>
      <w:r>
        <w:rPr>
          <w:b w:val="0"/>
        </w:rPr>
        <w:t>Finally, in the second step we will proceed with the SSB retune in the retune clusters.</w:t>
      </w:r>
    </w:p>
    <w:p>
      <w:pPr>
        <w:pStyle w:val="ListParagraph"/>
        <w:numPr>
          <w:ilvl w:val="0"/>
          <w:numId w:val="28"/>
        </w:numPr>
      </w:pPr>
      <w:r>
        <w:rPr>
          <w:b w:val="0"/>
        </w:rPr>
        <w:t>SSB retune NR N77 cells in a cluster</w:t>
      </w:r>
    </w:p>
    <w:p>
      <w:pPr>
        <w:pStyle w:val="ListParagraph"/>
        <w:numPr>
          <w:ilvl w:val="0"/>
          <w:numId w:val="28"/>
        </w:numPr>
      </w:pPr>
      <w:r>
        <w:rPr>
          <w:b w:val="0"/>
        </w:rPr>
        <w:t>NrCell, NrFreqRel and EUtranFreqRel profiles containing new SSB names</w:t>
      </w:r>
    </w:p>
    <w:p>
      <w:pPr>
        <w:pStyle w:val="ListParagraph"/>
        <w:numPr>
          <w:ilvl w:val="0"/>
          <w:numId w:val="28"/>
        </w:numPr>
      </w:pPr>
      <w:r>
        <w:rPr>
          <w:b w:val="0"/>
        </w:rPr>
        <w:t>Replace old SSB on EndcDistrProfile gUtranFreqRef and MandatoryGUtranFreqRef</w:t>
      </w:r>
    </w:p>
    <w:p>
      <w:pPr>
        <w:pStyle w:val="ListParagraph"/>
        <w:numPr>
          <w:ilvl w:val="0"/>
          <w:numId w:val="28"/>
        </w:numPr>
      </w:pPr>
      <w:r>
        <w:rPr>
          <w:b w:val="0"/>
        </w:rPr>
        <w:t>Normal PRIO for new SSB: endcB1MeasPriority 2</w:t>
      </w:r>
    </w:p>
    <w:p>
      <w:pPr>
        <w:pStyle w:val="ListParagraph"/>
        <w:numPr>
          <w:ilvl w:val="0"/>
          <w:numId w:val="28"/>
        </w:numPr>
      </w:pPr>
      <w:r>
        <w:rPr>
          <w:b w:val="0"/>
        </w:rPr>
        <w:t>Low PRIO for old SSB: endcB1MeasPriority 2-&gt;1, to mitigate the impact in retune borders</w:t>
      </w:r>
    </w:p>
    <w:p>
      <w:pPr>
        <w:pStyle w:val="ListParagraph"/>
        <w:numPr>
          <w:ilvl w:val="0"/>
          <w:numId w:val="28"/>
        </w:numPr>
      </w:pPr>
      <w:r>
        <w:rPr>
          <w:b w:val="0"/>
        </w:rPr>
        <w:t>Step2 Cleanup, Relations and ExternalCell that failed to update automatically</w:t>
      </w:r>
    </w:p>
    <w:p>
      <w:pPr>
        <w:pStyle w:val="ListParagraph"/>
        <w:numPr>
          <w:ilvl w:val="1"/>
          <w:numId w:val="28"/>
        </w:numPr>
      </w:pPr>
      <w:r>
        <w:rPr>
          <w:b w:val="0"/>
        </w:rPr>
        <w:t>Lock/unlock Termpoints</w:t>
      </w:r>
    </w:p>
    <w:p>
      <w:pPr>
        <w:pStyle w:val="ListParagraph"/>
        <w:numPr>
          <w:ilvl w:val="1"/>
          <w:numId w:val="28"/>
        </w:numPr>
      </w:pPr>
      <w:r>
        <w:rPr>
          <w:b w:val="0"/>
        </w:rPr>
        <w:t>Set ExternalCell Frequency</w:t>
      </w:r>
    </w:p>
    <w:p>
      <w:pPr>
        <w:pStyle w:val="ListParagraph"/>
        <w:numPr>
          <w:ilvl w:val="1"/>
          <w:numId w:val="28"/>
        </w:numPr>
      </w:pPr>
      <w:r>
        <w:rPr>
          <w:b w:val="0"/>
        </w:rPr>
        <w:t>Delete and re-create CellRelations</w:t>
      </w:r>
    </w:p>
    <w:p>
      <w:pPr>
        <w:pStyle w:val="ListParagraph"/>
        <w:numPr>
          <w:ilvl w:val="1"/>
          <w:numId w:val="28"/>
        </w:numPr>
      </w:pPr>
      <w:r>
        <w:rPr>
          <w:b w:val="0"/>
        </w:rPr>
        <w:t>Remove CellRelations that ANR might have added due to outage during SSB retune</w:t>
      </w:r>
    </w:p>
    <w:p>
      <w:pPr>
        <w:pStyle w:val="Heading3"/>
      </w:pPr>
      <w:r>
        <w:t>Final Cleanup (after all clusters done in a region and no borders with old SSB)</w:t>
      </w:r>
    </w:p>
    <w:p>
      <w:pPr>
        <w:pStyle w:val="ListParagraph"/>
        <w:numPr>
          <w:ilvl w:val="0"/>
          <w:numId w:val="28"/>
        </w:numPr>
      </w:pPr>
      <w:r>
        <w:rPr>
          <w:b w:val="0"/>
        </w:rPr>
        <w:t>There should not be any CellRelation pointing to old SSB Freq</w:t>
      </w:r>
    </w:p>
    <w:p>
      <w:pPr>
        <w:pStyle w:val="ListParagraph"/>
        <w:numPr>
          <w:ilvl w:val="0"/>
          <w:numId w:val="28"/>
        </w:numPr>
      </w:pPr>
      <w:r>
        <w:rPr>
          <w:b w:val="0"/>
        </w:rPr>
        <w:t>Remove old SSB GUtranSyncSignalFrequency/GUtranFreqRelation and NRFrequency/NRFreqRelation</w:t>
      </w:r>
    </w:p>
    <w:p>
      <w:pPr>
        <w:pStyle w:val="ListParagraph"/>
        <w:numPr>
          <w:ilvl w:val="0"/>
          <w:numId w:val="28"/>
        </w:numPr>
      </w:pPr>
      <w:r>
        <w:rPr>
          <w:b w:val="0"/>
        </w:rPr>
        <w:t>Remove NrCell, NrFreqRel and EUtranFreqRel profiles containing old SSB names</w:t>
      </w:r>
    </w:p>
    <w:p>
      <w:pPr>
        <w:pStyle w:val="Heading2"/>
      </w:pPr>
      <w:r>
        <w:t>Retune process roadmap</w:t>
      </w:r>
    </w:p>
    <w:p>
      <w:r>
        <w:drawing>
          <wp:inline xmlns:a="http://schemas.openxmlformats.org/drawingml/2006/main" xmlns:pic="http://schemas.openxmlformats.org/drawingml/2006/picture">
            <wp:extent cx="5760000" cy="2989890"/>
            <wp:docPr id="12" name="Picture 12"/>
            <wp:cNvGraphicFramePr>
              <a:graphicFrameLocks noChangeAspect="1"/>
            </wp:cNvGraphicFramePr>
            <a:graphic>
              <a:graphicData uri="http://schemas.openxmlformats.org/drawingml/2006/picture">
                <pic:pic>
                  <pic:nvPicPr>
                    <pic:cNvPr id="0" name="retune_process_roadmap.png"/>
                    <pic:cNvPicPr/>
                  </pic:nvPicPr>
                  <pic:blipFill>
                    <a:blip r:embed="rId21"/>
                    <a:stretch>
                      <a:fillRect/>
                    </a:stretch>
                  </pic:blipFill>
                  <pic:spPr>
                    <a:xfrm>
                      <a:off x="0" y="0"/>
                      <a:ext cx="5760000" cy="2989890"/>
                    </a:xfrm>
                    <a:prstGeom prst="rect"/>
                  </pic:spPr>
                </pic:pic>
              </a:graphicData>
            </a:graphic>
          </wp:inline>
        </w:drawing>
      </w:r>
    </w:p>
    <w:p>
      <w:r>
        <w:br w:type="page"/>
      </w:r>
    </w:p>
    <w:p>
      <w:pPr>
        <w:pStyle w:val="Heading1"/>
      </w:pPr>
      <w:r>
        <w:t>SSB Retuning Automations - Overview</w:t>
      </w:r>
    </w:p>
    <w:p>
      <w:pPr>
        <w:pStyle w:val="Heading2"/>
      </w:pPr>
      <w:r>
        <w:t>Structure and Inputs/Outputs</w:t>
      </w:r>
    </w:p>
    <w:p>
      <w:pPr>
        <w:pStyle w:val="Heading3"/>
      </w:pPr>
      <w:r>
        <w:t>Structure</w:t>
      </w:r>
    </w:p>
    <w:p>
      <w:pPr>
        <w:pStyle w:val="ListParagraph"/>
        <w:numPr>
          <w:ilvl w:val="0"/>
          <w:numId w:val="28"/>
        </w:numPr>
      </w:pPr>
      <w:r>
        <w:rPr>
          <w:b/>
        </w:rPr>
        <w:t>SSB Retuning Automations</w:t>
      </w:r>
      <w:r>
        <w:rPr>
          <w:b w:val="0"/>
        </w:rPr>
        <w:t xml:space="preserve"> is an automation platform for SSB retuning projects that can run in GUI or CLI mode or through a Web Interface (using a server/client infrastructure) and orchestrates five functional modules:</w:t>
      </w:r>
    </w:p>
    <w:p>
      <w:pPr>
        <w:pStyle w:val="ListParagraph"/>
        <w:numPr>
          <w:ilvl w:val="1"/>
          <w:numId w:val="28"/>
        </w:numPr>
      </w:pPr>
      <w:r>
        <w:rPr>
          <w:b/>
        </w:rPr>
        <w:t>Module 0</w:t>
      </w:r>
      <w:r>
        <w:rPr>
          <w:b w:val="0"/>
        </w:rPr>
        <w:t>: Update Network Frequencies.</w:t>
      </w:r>
    </w:p>
    <w:p>
      <w:pPr>
        <w:pStyle w:val="ListParagraph"/>
        <w:numPr>
          <w:ilvl w:val="1"/>
          <w:numId w:val="28"/>
        </w:numPr>
      </w:pPr>
      <w:r>
        <w:rPr>
          <w:b/>
        </w:rPr>
        <w:t>Module 1</w:t>
      </w:r>
      <w:r>
        <w:rPr>
          <w:b w:val="0"/>
        </w:rPr>
        <w:t>: Configuration Audit &amp; Logs Parser.</w:t>
      </w:r>
    </w:p>
    <w:p>
      <w:pPr>
        <w:pStyle w:val="ListParagraph"/>
        <w:numPr>
          <w:ilvl w:val="1"/>
          <w:numId w:val="28"/>
        </w:numPr>
      </w:pPr>
      <w:r>
        <w:rPr>
          <w:b/>
        </w:rPr>
        <w:t>Module 2</w:t>
      </w:r>
      <w:r>
        <w:rPr>
          <w:b w:val="0"/>
        </w:rPr>
        <w:t>: Consistency Check (manual Pre/Post).</w:t>
      </w:r>
    </w:p>
    <w:p>
      <w:pPr>
        <w:pStyle w:val="ListParagraph"/>
        <w:numPr>
          <w:ilvl w:val="1"/>
          <w:numId w:val="28"/>
        </w:numPr>
      </w:pPr>
      <w:r>
        <w:rPr>
          <w:b/>
        </w:rPr>
        <w:t>Module 3</w:t>
      </w:r>
      <w:r>
        <w:rPr>
          <w:b w:val="0"/>
        </w:rPr>
        <w:t>: Consistency Check Bulk (automatic Pre/Post detection by market).</w:t>
      </w:r>
    </w:p>
    <w:p>
      <w:pPr>
        <w:pStyle w:val="ListParagraph"/>
        <w:numPr>
          <w:ilvl w:val="1"/>
          <w:numId w:val="28"/>
        </w:numPr>
      </w:pPr>
      <w:r>
        <w:rPr>
          <w:b/>
        </w:rPr>
        <w:t>Module 4</w:t>
      </w:r>
      <w:r>
        <w:rPr>
          <w:b w:val="0"/>
        </w:rPr>
        <w:t>: Final Clean-Up.</w:t>
      </w:r>
    </w:p>
    <w:p>
      <w:pPr>
        <w:pStyle w:val="ListParagraph"/>
        <w:numPr>
          <w:ilvl w:val="0"/>
          <w:numId w:val="28"/>
        </w:numPr>
      </w:pPr>
      <w:r>
        <w:rPr>
          <w:b w:val="0"/>
        </w:rPr>
        <w:t>The main execution lives in "src/SSB_RetuningAutomations.py", where CLI arguments, GUI, configuration persistence, input resolution (folders/ZIP), per-module execution, and artifact versioning are managed.</w:t>
      </w:r>
    </w:p>
    <w:p>
      <w:pPr>
        <w:pStyle w:val="Heading3"/>
      </w:pPr>
      <w:r>
        <w:t>Inputs</w:t>
      </w:r>
    </w:p>
    <w:p>
      <w:r>
        <w:rPr>
          <w:b w:val="0"/>
        </w:rPr>
        <w:t>Inputs are folders (or ZIP archives) containing log files. The tool parses the logs into MO tables and runs checks on them. For ConsistencyChecks, provide either explicit PRE and POST folders or a single root folder where PRE/POST runs can be auto-detected.</w:t>
      </w:r>
    </w:p>
    <w:p>
      <w:pPr>
        <w:pStyle w:val="Heading3"/>
      </w:pPr>
      <w:r>
        <w:t>Outputs</w:t>
      </w:r>
    </w:p>
    <w:p>
      <w:r>
        <w:rPr>
          <w:b w:val="0"/>
        </w:rPr>
        <w:t>Each module generates a dedicated output folder containing Excel reports, logs, and optional correction command exports.</w:t>
      </w:r>
    </w:p>
    <w:p>
      <w:pPr>
        <w:pStyle w:val="Heading2"/>
      </w:pPr>
      <w:r>
        <w:t>Repository architecture, Execution modes and Versioning</w:t>
      </w:r>
    </w:p>
    <w:p>
      <w:pPr>
        <w:pStyle w:val="Heading3"/>
      </w:pPr>
      <w:r>
        <w:t>Orchestration core</w:t>
      </w:r>
    </w:p>
    <w:p>
      <w:pPr>
        <w:pStyle w:val="ListParagraph"/>
        <w:numPr>
          <w:ilvl w:val="0"/>
          <w:numId w:val="28"/>
        </w:numPr>
      </w:pPr>
      <w:r>
        <w:rPr>
          <w:b w:val="0"/>
        </w:rPr>
        <w:t>"src/SSB_RetuningAutomations.py": entry point, CLI/GUI parsing, module routing, batch/bulk execution, and versioning.</w:t>
      </w:r>
    </w:p>
    <w:p>
      <w:pPr>
        <w:pStyle w:val="Heading3"/>
      </w:pPr>
      <w:r>
        <w:t>Main modules files</w:t>
      </w:r>
    </w:p>
    <w:p>
      <w:pPr>
        <w:pStyle w:val="ListParagraph"/>
        <w:numPr>
          <w:ilvl w:val="0"/>
          <w:numId w:val="28"/>
        </w:numPr>
      </w:pPr>
      <w:r>
        <w:rPr>
          <w:b w:val="0"/>
        </w:rPr>
        <w:t>"src/modules/ConfigurationAudit/ConfigurationAudit.py": log parsing and audit workbook construction (Excel + PPT).</w:t>
      </w:r>
    </w:p>
    <w:p>
      <w:pPr>
        <w:pStyle w:val="ListParagraph"/>
        <w:numPr>
          <w:ilvl w:val="0"/>
          <w:numId w:val="28"/>
        </w:numPr>
      </w:pPr>
      <w:r>
        <w:rPr>
          <w:b w:val="0"/>
        </w:rPr>
        <w:t>"src/modules/ConfigurationAudit/ca_summary_excel.py": assembly of "SummaryAudit" and discrepancy dataframes.</w:t>
      </w:r>
    </w:p>
    <w:p>
      <w:pPr>
        <w:pStyle w:val="ListParagraph"/>
        <w:numPr>
          <w:ilvl w:val="0"/>
          <w:numId w:val="28"/>
        </w:numPr>
      </w:pPr>
      <w:r>
        <w:rPr>
          <w:b w:val="0"/>
        </w:rPr>
        <w:t>"src/modules/ConsistencyChecks/ConsistencyChecks.py": PRE/POST loading, relation comparison, discrepancies, and output export.</w:t>
      </w:r>
    </w:p>
    <w:p>
      <w:pPr>
        <w:pStyle w:val="ListParagraph"/>
        <w:numPr>
          <w:ilvl w:val="0"/>
          <w:numId w:val="28"/>
        </w:numPr>
      </w:pPr>
      <w:r>
        <w:rPr>
          <w:b w:val="0"/>
        </w:rPr>
        <w:t>"src/modules/ProfilesAudit/ProfilesAudit.py": profiles audit (integrated into module 1).</w:t>
      </w:r>
    </w:p>
    <w:p>
      <w:pPr>
        <w:pStyle w:val="ListParagraph"/>
        <w:numPr>
          <w:ilvl w:val="0"/>
          <w:numId w:val="28"/>
        </w:numPr>
      </w:pPr>
      <w:r>
        <w:rPr>
          <w:b w:val="0"/>
        </w:rPr>
        <w:t>"src/modules/CleanUp/FinalCleanUp.py": final clean-up (base implementation for extension).</w:t>
      </w:r>
    </w:p>
    <w:p>
      <w:pPr>
        <w:pStyle w:val="Heading3"/>
      </w:pPr>
      <w:r>
        <w:t>Common layer and utilities</w:t>
      </w:r>
    </w:p>
    <w:p>
      <w:pPr>
        <w:pStyle w:val="ListParagraph"/>
        <w:numPr>
          <w:ilvl w:val="0"/>
          <w:numId w:val="28"/>
        </w:numPr>
      </w:pPr>
      <w:r>
        <w:rPr>
          <w:b w:val="0"/>
        </w:rPr>
        <w:t>"src/modules/Common/*.py": correction command logic and shared functions.</w:t>
      </w:r>
    </w:p>
    <w:p>
      <w:pPr>
        <w:pStyle w:val="ListParagraph"/>
        <w:numPr>
          <w:ilvl w:val="0"/>
          <w:numId w:val="28"/>
        </w:numPr>
      </w:pPr>
      <w:r>
        <w:rPr>
          <w:b w:val="0"/>
        </w:rPr>
        <w:t>"src/utils/*.py": IO, parsing, frequency handling, Excel, pivots, sorting, infrastructure, and timing.</w:t>
      </w:r>
    </w:p>
    <w:p>
      <w:pPr>
        <w:pStyle w:val="Heading3"/>
      </w:pPr>
      <w:r>
        <w:t>Execution modes</w:t>
      </w:r>
    </w:p>
    <w:p>
      <w:pPr>
        <w:pStyle w:val="ListParagraph"/>
        <w:numPr>
          <w:ilvl w:val="0"/>
          <w:numId w:val="28"/>
        </w:numPr>
      </w:pPr>
      <w:r>
        <w:rPr>
          <w:b w:val="0"/>
        </w:rPr>
        <w:t>The tool can be run in three different modes:</w:t>
      </w:r>
    </w:p>
    <w:p>
      <w:pPr>
        <w:pStyle w:val="ListParagraph"/>
        <w:numPr>
          <w:ilvl w:val="1"/>
          <w:numId w:val="28"/>
        </w:numPr>
      </w:pPr>
      <w:r>
        <w:rPr>
          <w:b/>
        </w:rPr>
        <w:t>GUI mode</w:t>
      </w:r>
      <w:r>
        <w:rPr>
          <w:b w:val="0"/>
        </w:rPr>
        <w:t>: run without CLI arguments.</w:t>
      </w:r>
    </w:p>
    <w:p>
      <w:pPr>
        <w:pStyle w:val="ListParagraph"/>
        <w:numPr>
          <w:ilvl w:val="1"/>
          <w:numId w:val="28"/>
        </w:numPr>
      </w:pPr>
      <w:r>
        <w:rPr>
          <w:b/>
        </w:rPr>
        <w:t>CLI mode</w:t>
      </w:r>
      <w:r>
        <w:rPr>
          <w:b w:val="0"/>
        </w:rPr>
        <w:t>: run with explicit module and options.</w:t>
      </w:r>
    </w:p>
    <w:p>
      <w:pPr>
        <w:pStyle w:val="ListParagraph"/>
        <w:numPr>
          <w:ilvl w:val="1"/>
          <w:numId w:val="28"/>
        </w:numPr>
      </w:pPr>
      <w:r>
        <w:rPr>
          <w:b/>
        </w:rPr>
        <w:t>Web Interfacee</w:t>
      </w:r>
      <w:r>
        <w:rPr>
          <w:b w:val="0"/>
        </w:rPr>
        <w:t>: the tool can be run in a server/client infrastructure, accessing the server through a Web Interface where you can unpload your inputs, enqueue different tasks and  export the results when finish..</w:t>
      </w:r>
    </w:p>
    <w:p>
      <w:pPr>
        <w:pStyle w:val="Heading3"/>
      </w:pPr>
      <w:r>
        <w:t>Versioning</w:t>
      </w:r>
    </w:p>
    <w:p>
      <w:pPr>
        <w:pStyle w:val="ListParagraph"/>
        <w:numPr>
          <w:ilvl w:val="0"/>
          <w:numId w:val="28"/>
        </w:numPr>
      </w:pPr>
      <w:r>
        <w:rPr>
          <w:b w:val="0"/>
        </w:rPr>
        <w:t>All Generated artifacts include a versioned suffix: "&lt;timestamp&gt;_v&lt;TOOL_VERSION&gt;". This guarantees traceability and avoids collisions between runs.</w:t>
      </w:r>
    </w:p>
    <w:p>
      <w:r>
        <w:br w:type="page"/>
      </w:r>
    </w:p>
    <w:p>
      <w:pPr>
        <w:pStyle w:val="Heading1"/>
      </w:pPr>
      <w:r>
        <w:t>SSB Retuning Automations - Interfaces</w:t>
      </w:r>
    </w:p>
    <w:p>
      <w:pPr>
        <w:pStyle w:val="Heading2"/>
      </w:pPr>
      <w:r>
        <w:t>Graphical User Interface - GUI Panel</w:t>
      </w:r>
    </w:p>
    <w:p>
      <w:r>
        <w:drawing>
          <wp:inline xmlns:a="http://schemas.openxmlformats.org/drawingml/2006/main" xmlns:pic="http://schemas.openxmlformats.org/drawingml/2006/picture">
            <wp:extent cx="5760000" cy="4892121"/>
            <wp:docPr id="13" name="Picture 13"/>
            <wp:cNvGraphicFramePr>
              <a:graphicFrameLocks noChangeAspect="1"/>
            </wp:cNvGraphicFramePr>
            <a:graphic>
              <a:graphicData uri="http://schemas.openxmlformats.org/drawingml/2006/picture">
                <pic:pic>
                  <pic:nvPicPr>
                    <pic:cNvPr id="0" name="gui-interface.png"/>
                    <pic:cNvPicPr/>
                  </pic:nvPicPr>
                  <pic:blipFill>
                    <a:blip r:embed="rId22"/>
                    <a:stretch>
                      <a:fillRect/>
                    </a:stretch>
                  </pic:blipFill>
                  <pic:spPr>
                    <a:xfrm>
                      <a:off x="0" y="0"/>
                      <a:ext cx="5760000" cy="4892121"/>
                    </a:xfrm>
                    <a:prstGeom prst="rect"/>
                  </pic:spPr>
                </pic:pic>
              </a:graphicData>
            </a:graphic>
          </wp:inline>
        </w:drawing>
      </w:r>
    </w:p>
    <w:p>
      <w:pPr>
        <w:pStyle w:val="ListParagraph"/>
        <w:numPr>
          <w:ilvl w:val="0"/>
          <w:numId w:val="28"/>
        </w:numPr>
      </w:pPr>
      <w:r>
        <w:rPr>
          <w:b w:val="0"/>
        </w:rPr>
        <w:t>This is the main Graphical User Interface for SSB Retuning Automations.. From this panel you can select the modules you want to run and the inputs you want to provide.</w:t>
      </w:r>
    </w:p>
    <w:p>
      <w:pPr>
        <w:pStyle w:val="ListParagraph"/>
        <w:numPr>
          <w:ilvl w:val="0"/>
          <w:numId w:val="28"/>
        </w:numPr>
      </w:pPr>
      <w:r>
        <w:rPr>
          <w:b w:val="0"/>
        </w:rPr>
        <w:t>You can also configure some settings like the network frequencies to use or the Input folder to use.</w:t>
      </w:r>
    </w:p>
    <w:p>
      <w:pPr>
        <w:pStyle w:val="ListParagraph"/>
        <w:numPr>
          <w:ilvl w:val="0"/>
          <w:numId w:val="28"/>
        </w:numPr>
      </w:pPr>
      <w:r>
        <w:rPr>
          <w:b w:val="0"/>
        </w:rPr>
        <w:t>The tool will then run the selected modules and generate the outputs.</w:t>
      </w:r>
    </w:p>
    <w:p>
      <w:pPr>
        <w:pStyle w:val="Heading2"/>
      </w:pPr>
      <w:r>
        <w:t>Web Interface - User Section</w:t>
      </w:r>
    </w:p>
    <w:p>
      <w:r>
        <w:drawing>
          <wp:inline xmlns:a="http://schemas.openxmlformats.org/drawingml/2006/main" xmlns:pic="http://schemas.openxmlformats.org/drawingml/2006/picture">
            <wp:extent cx="5760000" cy="4739395"/>
            <wp:docPr id="14" name="Picture 14"/>
            <wp:cNvGraphicFramePr>
              <a:graphicFrameLocks noChangeAspect="1"/>
            </wp:cNvGraphicFramePr>
            <a:graphic>
              <a:graphicData uri="http://schemas.openxmlformats.org/drawingml/2006/picture">
                <pic:pic>
                  <pic:nvPicPr>
                    <pic:cNvPr id="0" name="web-interface-user-panel.png"/>
                    <pic:cNvPicPr/>
                  </pic:nvPicPr>
                  <pic:blipFill>
                    <a:blip r:embed="rId23"/>
                    <a:stretch>
                      <a:fillRect/>
                    </a:stretch>
                  </pic:blipFill>
                  <pic:spPr>
                    <a:xfrm>
                      <a:off x="0" y="0"/>
                      <a:ext cx="5760000" cy="4739395"/>
                    </a:xfrm>
                    <a:prstGeom prst="rect"/>
                  </pic:spPr>
                </pic:pic>
              </a:graphicData>
            </a:graphic>
          </wp:inline>
        </w:drawing>
      </w:r>
    </w:p>
    <w:p>
      <w:pPr>
        <w:pStyle w:val="ListParagraph"/>
        <w:numPr>
          <w:ilvl w:val="0"/>
          <w:numId w:val="28"/>
        </w:numPr>
      </w:pPr>
      <w:r>
        <w:rPr>
          <w:b w:val="0"/>
        </w:rPr>
        <w:t>This is the main Web Interface for SSB Retuning Automations. From this panel you can select the modules you want to run and the inputs you want to provide.</w:t>
      </w:r>
    </w:p>
    <w:p>
      <w:pPr>
        <w:pStyle w:val="ListParagraph"/>
        <w:numPr>
          <w:ilvl w:val="0"/>
          <w:numId w:val="28"/>
        </w:numPr>
      </w:pPr>
      <w:r>
        <w:rPr>
          <w:b w:val="0"/>
        </w:rPr>
        <w:t>You can also configure some settings like the network frequencies to use or the Input folder to use.</w:t>
      </w:r>
    </w:p>
    <w:p>
      <w:pPr>
        <w:pStyle w:val="ListParagraph"/>
        <w:numPr>
          <w:ilvl w:val="0"/>
          <w:numId w:val="28"/>
        </w:numPr>
      </w:pPr>
      <w:r>
        <w:rPr>
          <w:b w:val="0"/>
        </w:rPr>
        <w:t>The tool will then run the selected modules and generate the outputs.</w:t>
      </w:r>
    </w:p>
    <w:p>
      <w:pPr>
        <w:pStyle w:val="Heading2"/>
      </w:pPr>
      <w:r>
        <w:t>Web Interface - Inputs Repository Panel</w:t>
      </w:r>
    </w:p>
    <w:p>
      <w:r>
        <w:drawing>
          <wp:inline xmlns:a="http://schemas.openxmlformats.org/drawingml/2006/main" xmlns:pic="http://schemas.openxmlformats.org/drawingml/2006/picture">
            <wp:extent cx="5760000" cy="4156223"/>
            <wp:docPr id="15" name="Picture 15"/>
            <wp:cNvGraphicFramePr>
              <a:graphicFrameLocks noChangeAspect="1"/>
            </wp:cNvGraphicFramePr>
            <a:graphic>
              <a:graphicData uri="http://schemas.openxmlformats.org/drawingml/2006/picture">
                <pic:pic>
                  <pic:nvPicPr>
                    <pic:cNvPr id="0" name="web-interface-inputs-executions-panels.png"/>
                    <pic:cNvPicPr/>
                  </pic:nvPicPr>
                  <pic:blipFill>
                    <a:blip r:embed="rId24"/>
                    <a:stretch>
                      <a:fillRect/>
                    </a:stretch>
                  </pic:blipFill>
                  <pic:spPr>
                    <a:xfrm>
                      <a:off x="0" y="0"/>
                      <a:ext cx="5760000" cy="4156223"/>
                    </a:xfrm>
                    <a:prstGeom prst="rect"/>
                  </pic:spPr>
                </pic:pic>
              </a:graphicData>
            </a:graphic>
          </wp:inline>
        </w:drawing>
      </w:r>
    </w:p>
    <w:p>
      <w:pPr>
        <w:pStyle w:val="ListParagraph"/>
        <w:numPr>
          <w:ilvl w:val="0"/>
          <w:numId w:val="28"/>
        </w:numPr>
      </w:pPr>
      <w:r>
        <w:rPr>
          <w:b w:val="0"/>
        </w:rPr>
        <w:t>You can see some information about the Inputs Repository.</w:t>
      </w:r>
    </w:p>
    <w:p>
      <w:pPr>
        <w:pStyle w:val="Heading2"/>
      </w:pPr>
      <w:r>
        <w:t>Web Interface - Executions and System Logs Panels</w:t>
      </w:r>
    </w:p>
    <w:p>
      <w:r>
        <w:drawing>
          <wp:inline xmlns:a="http://schemas.openxmlformats.org/drawingml/2006/main" xmlns:pic="http://schemas.openxmlformats.org/drawingml/2006/picture">
            <wp:extent cx="5760000" cy="3518454"/>
            <wp:docPr id="16" name="Picture 16"/>
            <wp:cNvGraphicFramePr>
              <a:graphicFrameLocks noChangeAspect="1"/>
            </wp:cNvGraphicFramePr>
            <a:graphic>
              <a:graphicData uri="http://schemas.openxmlformats.org/drawingml/2006/picture">
                <pic:pic>
                  <pic:nvPicPr>
                    <pic:cNvPr id="0" name="web-interface-logs-panels.png"/>
                    <pic:cNvPicPr/>
                  </pic:nvPicPr>
                  <pic:blipFill>
                    <a:blip r:embed="rId25"/>
                    <a:stretch>
                      <a:fillRect/>
                    </a:stretch>
                  </pic:blipFill>
                  <pic:spPr>
                    <a:xfrm>
                      <a:off x="0" y="0"/>
                      <a:ext cx="5760000" cy="3518454"/>
                    </a:xfrm>
                    <a:prstGeom prst="rect"/>
                  </pic:spPr>
                </pic:pic>
              </a:graphicData>
            </a:graphic>
          </wp:inline>
        </w:drawing>
      </w:r>
    </w:p>
    <w:p>
      <w:pPr>
        <w:pStyle w:val="ListParagraph"/>
        <w:numPr>
          <w:ilvl w:val="0"/>
          <w:numId w:val="28"/>
        </w:numPr>
      </w:pPr>
      <w:r>
        <w:rPr>
          <w:b w:val="0"/>
        </w:rPr>
        <w:t>You can see some information about Last Executions and some useful System Logs of the tool.</w:t>
      </w:r>
    </w:p>
    <w:p>
      <w:pPr>
        <w:pStyle w:val="Heading2"/>
      </w:pPr>
      <w:r>
        <w:t>Web Interface - Admin Section</w:t>
      </w:r>
    </w:p>
    <w:p>
      <w:r>
        <w:drawing>
          <wp:inline xmlns:a="http://schemas.openxmlformats.org/drawingml/2006/main" xmlns:pic="http://schemas.openxmlformats.org/drawingml/2006/picture">
            <wp:extent cx="5760000" cy="4699351"/>
            <wp:docPr id="17" name="Picture 17"/>
            <wp:cNvGraphicFramePr>
              <a:graphicFrameLocks noChangeAspect="1"/>
            </wp:cNvGraphicFramePr>
            <a:graphic>
              <a:graphicData uri="http://schemas.openxmlformats.org/drawingml/2006/picture">
                <pic:pic>
                  <pic:nvPicPr>
                    <pic:cNvPr id="0" name="web-interface-admin-panel.png"/>
                    <pic:cNvPicPr/>
                  </pic:nvPicPr>
                  <pic:blipFill>
                    <a:blip r:embed="rId26"/>
                    <a:stretch>
                      <a:fillRect/>
                    </a:stretch>
                  </pic:blipFill>
                  <pic:spPr>
                    <a:xfrm>
                      <a:off x="0" y="0"/>
                      <a:ext cx="5760000" cy="4699351"/>
                    </a:xfrm>
                    <a:prstGeom prst="rect"/>
                  </pic:spPr>
                </pic:pic>
              </a:graphicData>
            </a:graphic>
          </wp:inline>
        </w:drawing>
      </w:r>
    </w:p>
    <w:p>
      <w:pPr>
        <w:pStyle w:val="ListParagraph"/>
        <w:numPr>
          <w:ilvl w:val="0"/>
          <w:numId w:val="28"/>
        </w:numPr>
      </w:pPr>
      <w:r>
        <w:rPr>
          <w:b w:val="0"/>
        </w:rPr>
        <w:t>This is the main Administrator Panel for SSB Retuning Automations. From this panel you can manage the configuration of the tool, view logs and manage user access.</w:t>
      </w:r>
    </w:p>
    <w:p>
      <w:pPr>
        <w:pStyle w:val="Heading2"/>
      </w:pPr>
      <w:r>
        <w:t>Web Interface - Database Management Panels</w:t>
      </w:r>
    </w:p>
    <w:p>
      <w:r>
        <w:drawing>
          <wp:inline xmlns:a="http://schemas.openxmlformats.org/drawingml/2006/main" xmlns:pic="http://schemas.openxmlformats.org/drawingml/2006/picture">
            <wp:extent cx="5760000" cy="3717707"/>
            <wp:docPr id="18" name="Picture 18"/>
            <wp:cNvGraphicFramePr>
              <a:graphicFrameLocks noChangeAspect="1"/>
            </wp:cNvGraphicFramePr>
            <a:graphic>
              <a:graphicData uri="http://schemas.openxmlformats.org/drawingml/2006/picture">
                <pic:pic>
                  <pic:nvPicPr>
                    <pic:cNvPr id="0" name="web-interface-database-management-panels.png"/>
                    <pic:cNvPicPr/>
                  </pic:nvPicPr>
                  <pic:blipFill>
                    <a:blip r:embed="rId27"/>
                    <a:stretch>
                      <a:fillRect/>
                    </a:stretch>
                  </pic:blipFill>
                  <pic:spPr>
                    <a:xfrm>
                      <a:off x="0" y="0"/>
                      <a:ext cx="5760000" cy="3717707"/>
                    </a:xfrm>
                    <a:prstGeom prst="rect"/>
                  </pic:spPr>
                </pic:pic>
              </a:graphicData>
            </a:graphic>
          </wp:inline>
        </w:drawing>
      </w:r>
    </w:p>
    <w:p>
      <w:pPr>
        <w:pStyle w:val="ListParagraph"/>
        <w:numPr>
          <w:ilvl w:val="0"/>
          <w:numId w:val="28"/>
        </w:numPr>
      </w:pPr>
      <w:r>
        <w:rPr>
          <w:b w:val="0"/>
        </w:rPr>
        <w:t>With those panels you can manage the database of the tool, schedule backups tasks, or edit the database content directly.</w:t>
      </w:r>
    </w:p>
    <w:p>
      <w:pPr>
        <w:pStyle w:val="Heading2"/>
      </w:pPr>
      <w:r>
        <w:t>Command Line Interface - CLI</w:t>
      </w:r>
    </w:p>
    <w:p>
      <w:r>
        <w:rPr>
          <w:b w:val="0"/>
        </w:rPr>
        <w:t>With the CLI you can run the modules you want to run and provide all different arguments you need.</w:t>
      </w:r>
    </w:p>
    <w:p>
      <w:r>
        <w:rPr>
          <w:b w:val="0"/>
        </w:rPr>
        <w:t xml:space="preserve"> ▶️ Basic Syntax:</w:t>
      </w:r>
    </w:p>
    <w:p>
      <w:pPr>
        <w:pStyle w:val="ListParagraph"/>
        <w:numPr>
          <w:ilvl w:val="0"/>
          <w:numId w:val="28"/>
        </w:numPr>
      </w:pPr>
      <w:r>
        <w:rPr>
          <w:b/>
        </w:rPr>
        <w:t>SSB_RetuningAutomations.exe --module &lt;module-name&gt; [options]</w:t>
      </w:r>
    </w:p>
    <w:p>
      <w:pPr>
        <w:pStyle w:val="ListParagraph"/>
        <w:numPr>
          <w:ilvl w:val="0"/>
          <w:numId w:val="28"/>
        </w:numPr>
      </w:pPr>
      <w:r>
        <w:rPr>
          <w:b w:val="0"/>
        </w:rPr>
        <w:t xml:space="preserve">If "--module" is omitted and </w:t>
      </w:r>
      <w:r>
        <w:rPr>
          <w:b/>
        </w:rPr>
        <w:t>no other arguments</w:t>
      </w:r>
      <w:r>
        <w:rPr>
          <w:b w:val="0"/>
        </w:rPr>
        <w:t xml:space="preserve"> are provided, the GUI will launch automatically unless "--no-gui" is specified.</w:t>
      </w:r>
    </w:p>
    <w:p>
      <w:r>
        <w:rPr>
          <w:b w:val="0"/>
        </w:rPr>
        <w:t>⚙️ Main Options:</w:t>
      </w:r>
    </w:p>
    <w:tbl>
      <w:tblPr>
        <w:tblStyle w:val="TableGrid"/>
        <w:tblW w:type="auto" w:w="0"/>
        <w:tblLook w:firstColumn="1" w:firstRow="1" w:lastColumn="0" w:lastRow="0" w:noHBand="0" w:noVBand="1" w:val="04A0"/>
      </w:tblPr>
      <w:tblGrid>
        <w:gridCol w:w="4337"/>
        <w:gridCol w:w="4337"/>
      </w:tblGrid>
      <w:tr>
        <w:tc>
          <w:tcPr>
            <w:tcW w:type="dxa" w:w="4337"/>
          </w:tcPr>
          <w:p>
            <w:r/>
            <w:r>
              <w:rPr>
                <w:b/>
                <w:sz w:val="18"/>
              </w:rPr>
              <w:t>Argument</w:t>
            </w:r>
          </w:p>
        </w:tc>
        <w:tc>
          <w:tcPr>
            <w:tcW w:type="dxa" w:w="4337"/>
          </w:tcPr>
          <w:p>
            <w:r/>
            <w:r>
              <w:rPr>
                <w:b/>
                <w:sz w:val="18"/>
              </w:rPr>
              <w:t>Description</w:t>
            </w:r>
          </w:p>
        </w:tc>
      </w:tr>
      <w:tr>
        <w:tc>
          <w:tcPr>
            <w:tcW w:type="dxa" w:w="4337"/>
          </w:tcPr>
          <w:p>
            <w:r/>
            <w:r>
              <w:rPr>
                <w:b w:val="0"/>
                <w:sz w:val="16"/>
              </w:rPr>
              <w:t>--module</w:t>
            </w:r>
          </w:p>
        </w:tc>
        <w:tc>
          <w:tcPr>
            <w:tcW w:type="dxa" w:w="4337"/>
          </w:tcPr>
          <w:p>
            <w:r/>
            <w:r>
              <w:rPr>
                <w:b w:val="0"/>
                <w:sz w:val="16"/>
              </w:rPr>
              <w:t>Module to run: ["configuration-audit", "consistency-check", "consistency-check-bulk", "final-cleanup"]</w:t>
            </w:r>
          </w:p>
        </w:tc>
      </w:tr>
      <w:tr>
        <w:tc>
          <w:tcPr>
            <w:tcW w:type="dxa" w:w="4337"/>
          </w:tcPr>
          <w:p>
            <w:r/>
            <w:r>
              <w:rPr>
                <w:b w:val="0"/>
                <w:sz w:val="16"/>
              </w:rPr>
              <w:t>--input</w:t>
            </w:r>
          </w:p>
        </w:tc>
        <w:tc>
          <w:tcPr>
            <w:tcW w:type="dxa" w:w="4337"/>
          </w:tcPr>
          <w:p>
            <w:r/>
            <w:r>
              <w:rPr>
                <w:b w:val="0"/>
                <w:sz w:val="16"/>
              </w:rPr>
              <w:t>Input folder to process (single-input modules)</w:t>
            </w:r>
          </w:p>
        </w:tc>
      </w:tr>
      <w:tr>
        <w:tc>
          <w:tcPr>
            <w:tcW w:type="dxa" w:w="4337"/>
          </w:tcPr>
          <w:p>
            <w:r/>
            <w:r>
              <w:rPr>
                <w:b w:val="0"/>
                <w:sz w:val="16"/>
              </w:rPr>
              <w:t>--inputs</w:t>
            </w:r>
          </w:p>
        </w:tc>
        <w:tc>
          <w:tcPr>
            <w:tcW w:type="dxa" w:w="4337"/>
          </w:tcPr>
          <w:p>
            <w:r/>
            <w:r>
              <w:rPr>
                <w:b w:val="0"/>
                <w:sz w:val="16"/>
              </w:rPr>
              <w:t>Input folders to process module in batch mode. Example: "--module configuration-audit --inputs dir1 dir2 dir3"</w:t>
            </w:r>
          </w:p>
        </w:tc>
      </w:tr>
      <w:tr>
        <w:tc>
          <w:tcPr>
            <w:tcW w:type="dxa" w:w="4337"/>
          </w:tcPr>
          <w:p>
            <w:r/>
            <w:r>
              <w:rPr>
                <w:b w:val="0"/>
                <w:sz w:val="16"/>
              </w:rPr>
              <w:t>--input-pre</w:t>
            </w:r>
          </w:p>
        </w:tc>
        <w:tc>
          <w:tcPr>
            <w:tcW w:type="dxa" w:w="4337"/>
          </w:tcPr>
          <w:p>
            <w:r/>
            <w:r>
              <w:rPr>
                <w:b w:val="0"/>
                <w:sz w:val="16"/>
              </w:rPr>
              <w:t>PRE input folder (only for "consistency-check")</w:t>
            </w:r>
          </w:p>
        </w:tc>
      </w:tr>
      <w:tr>
        <w:tc>
          <w:tcPr>
            <w:tcW w:type="dxa" w:w="4337"/>
          </w:tcPr>
          <w:p>
            <w:r/>
            <w:r>
              <w:rPr>
                <w:b w:val="0"/>
                <w:sz w:val="16"/>
              </w:rPr>
              <w:t>--input-post</w:t>
            </w:r>
          </w:p>
        </w:tc>
        <w:tc>
          <w:tcPr>
            <w:tcW w:type="dxa" w:w="4337"/>
          </w:tcPr>
          <w:p>
            <w:r/>
            <w:r>
              <w:rPr>
                <w:b w:val="0"/>
                <w:sz w:val="16"/>
              </w:rPr>
              <w:t>POST input folder (only for "consistency-check")</w:t>
            </w:r>
          </w:p>
        </w:tc>
      </w:tr>
      <w:tr>
        <w:tc>
          <w:tcPr>
            <w:tcW w:type="dxa" w:w="4337"/>
          </w:tcPr>
          <w:p>
            <w:r/>
            <w:r>
              <w:rPr>
                <w:b w:val="0"/>
                <w:sz w:val="16"/>
              </w:rPr>
              <w:t>--output</w:t>
            </w:r>
          </w:p>
        </w:tc>
        <w:tc>
          <w:tcPr>
            <w:tcW w:type="dxa" w:w="4337"/>
          </w:tcPr>
          <w:p>
            <w:r/>
            <w:r>
              <w:rPr>
                <w:b w:val="0"/>
                <w:sz w:val="16"/>
              </w:rPr>
              <w:t>Output root folder override (all modules). The tool still creates the same module/version subfolder logic under this root.</w:t>
            </w:r>
          </w:p>
        </w:tc>
      </w:tr>
    </w:tbl>
    <w:tbl>
      <w:tblPr>
        <w:tblStyle w:val="TableGrid"/>
        <w:tblW w:type="auto" w:w="0"/>
        <w:tblLook w:firstColumn="1" w:firstRow="1" w:lastColumn="0" w:lastRow="0" w:noHBand="0" w:noVBand="1" w:val="04A0"/>
      </w:tblPr>
      <w:tblGrid>
        <w:gridCol w:w="4337"/>
        <w:gridCol w:w="4337"/>
      </w:tblGrid>
      <w:tr>
        <w:tc>
          <w:tcPr>
            <w:tcW w:type="dxa" w:w="4337"/>
          </w:tcPr>
          <w:p>
            <w:r/>
            <w:r>
              <w:rPr>
                <w:b/>
                <w:sz w:val="18"/>
              </w:rPr>
              <w:t>Argument</w:t>
            </w:r>
          </w:p>
        </w:tc>
        <w:tc>
          <w:tcPr>
            <w:tcW w:type="dxa" w:w="4337"/>
          </w:tcPr>
          <w:p>
            <w:r/>
            <w:r>
              <w:rPr>
                <w:b/>
                <w:sz w:val="18"/>
              </w:rPr>
              <w:t>Description</w:t>
            </w:r>
          </w:p>
        </w:tc>
      </w:tr>
      <w:tr>
        <w:tc>
          <w:tcPr>
            <w:tcW w:type="dxa" w:w="4337"/>
          </w:tcPr>
          <w:p>
            <w:r/>
            <w:r>
              <w:rPr>
                <w:b w:val="0"/>
                <w:sz w:val="16"/>
              </w:rPr>
              <w:t>--n77-ssb-pre"</w:t>
            </w:r>
          </w:p>
        </w:tc>
        <w:tc>
          <w:tcPr>
            <w:tcW w:type="dxa" w:w="4337"/>
          </w:tcPr>
          <w:p>
            <w:r/>
            <w:r>
              <w:rPr>
                <w:b w:val="0"/>
                <w:sz w:val="16"/>
              </w:rPr>
              <w:t>N77 SSB frequency before refarming (Pre), e.g. "647328"</w:t>
            </w:r>
          </w:p>
        </w:tc>
      </w:tr>
      <w:tr>
        <w:tc>
          <w:tcPr>
            <w:tcW w:type="dxa" w:w="4337"/>
          </w:tcPr>
          <w:p>
            <w:r/>
            <w:r>
              <w:rPr>
                <w:b w:val="0"/>
                <w:sz w:val="16"/>
              </w:rPr>
              <w:t>--n77-ssb-post</w:t>
            </w:r>
          </w:p>
        </w:tc>
        <w:tc>
          <w:tcPr>
            <w:tcW w:type="dxa" w:w="4337"/>
          </w:tcPr>
          <w:p>
            <w:r/>
            <w:r>
              <w:rPr>
                <w:b w:val="0"/>
                <w:sz w:val="16"/>
              </w:rPr>
              <w:t>N77 SSB frequency after refarming (Post), e.g. "653952"</w:t>
            </w:r>
          </w:p>
        </w:tc>
      </w:tr>
      <w:tr>
        <w:tc>
          <w:tcPr>
            <w:tcW w:type="dxa" w:w="4337"/>
          </w:tcPr>
          <w:p>
            <w:r/>
            <w:r>
              <w:rPr>
                <w:b w:val="0"/>
                <w:sz w:val="16"/>
              </w:rPr>
              <w:t>--n77b-ssb</w:t>
            </w:r>
          </w:p>
        </w:tc>
        <w:tc>
          <w:tcPr>
            <w:tcW w:type="dxa" w:w="4337"/>
          </w:tcPr>
          <w:p>
            <w:r/>
            <w:r>
              <w:rPr>
                <w:b w:val="0"/>
                <w:sz w:val="16"/>
              </w:rPr>
              <w:t>N77B SSB frequency (ARFCN), e.g. "650334"</w:t>
            </w:r>
          </w:p>
        </w:tc>
      </w:tr>
      <w:tr>
        <w:tc>
          <w:tcPr>
            <w:tcW w:type="dxa" w:w="4337"/>
          </w:tcPr>
          <w:p>
            <w:r/>
            <w:r>
              <w:rPr>
                <w:b w:val="0"/>
                <w:sz w:val="16"/>
              </w:rPr>
              <w:t>--allowed-n77-ssb-pre</w:t>
            </w:r>
          </w:p>
        </w:tc>
        <w:tc>
          <w:tcPr>
            <w:tcW w:type="dxa" w:w="4337"/>
          </w:tcPr>
          <w:p>
            <w:r/>
            <w:r>
              <w:rPr>
                <w:b w:val="0"/>
                <w:sz w:val="16"/>
              </w:rPr>
              <w:t>Comma-separated allowed N77 SSB (Pre) values for Configuration Audit</w:t>
            </w:r>
          </w:p>
        </w:tc>
      </w:tr>
      <w:tr>
        <w:tc>
          <w:tcPr>
            <w:tcW w:type="dxa" w:w="4337"/>
          </w:tcPr>
          <w:p>
            <w:r/>
            <w:r>
              <w:rPr>
                <w:b w:val="0"/>
                <w:sz w:val="16"/>
              </w:rPr>
              <w:t>--allowed-n77-arfcn-pre</w:t>
            </w:r>
          </w:p>
        </w:tc>
        <w:tc>
          <w:tcPr>
            <w:tcW w:type="dxa" w:w="4337"/>
          </w:tcPr>
          <w:p>
            <w:r/>
            <w:r>
              <w:rPr>
                <w:b w:val="0"/>
                <w:sz w:val="16"/>
              </w:rPr>
              <w:t>Comma-separated allowed N77 ARFCN (Pre) values for Configuration Audit</w:t>
            </w:r>
          </w:p>
        </w:tc>
      </w:tr>
      <w:tr>
        <w:tc>
          <w:tcPr>
            <w:tcW w:type="dxa" w:w="4337"/>
          </w:tcPr>
          <w:p>
            <w:r/>
            <w:r>
              <w:rPr>
                <w:b w:val="0"/>
                <w:sz w:val="16"/>
              </w:rPr>
              <w:t>--allowed-n77-ssb-post</w:t>
            </w:r>
          </w:p>
        </w:tc>
        <w:tc>
          <w:tcPr>
            <w:tcW w:type="dxa" w:w="4337"/>
          </w:tcPr>
          <w:p>
            <w:r/>
            <w:r>
              <w:rPr>
                <w:b w:val="0"/>
                <w:sz w:val="16"/>
              </w:rPr>
              <w:t>Comma-separated allowed N77 SSB (Post) values for Configuration Audit</w:t>
            </w:r>
          </w:p>
        </w:tc>
      </w:tr>
      <w:tr>
        <w:tc>
          <w:tcPr>
            <w:tcW w:type="dxa" w:w="4337"/>
          </w:tcPr>
          <w:p>
            <w:r/>
            <w:r>
              <w:rPr>
                <w:b w:val="0"/>
                <w:sz w:val="16"/>
              </w:rPr>
              <w:t>--allowed-n77-arfcn-post</w:t>
            </w:r>
          </w:p>
        </w:tc>
        <w:tc>
          <w:tcPr>
            <w:tcW w:type="dxa" w:w="4337"/>
          </w:tcPr>
          <w:p>
            <w:r/>
            <w:r>
              <w:rPr>
                <w:b w:val="0"/>
                <w:sz w:val="16"/>
              </w:rPr>
              <w:t>Comma-separated allowed N77 ARFCN (Post) values for Configuration Audit</w:t>
            </w:r>
          </w:p>
        </w:tc>
      </w:tr>
      <w:tr>
        <w:tc>
          <w:tcPr>
            <w:tcW w:type="dxa" w:w="4337"/>
          </w:tcPr>
          <w:p>
            <w:r/>
            <w:r>
              <w:rPr>
                <w:b w:val="0"/>
                <w:sz w:val="16"/>
              </w:rPr>
              <w:t>--ca-freq-filters</w:t>
            </w:r>
          </w:p>
        </w:tc>
        <w:tc>
          <w:tcPr>
            <w:tcW w:type="dxa" w:w="4337"/>
          </w:tcPr>
          <w:p>
            <w:r/>
            <w:r>
              <w:rPr>
                <w:b w:val="0"/>
                <w:sz w:val="16"/>
              </w:rPr>
              <w:t>Comma-separated list of frequency substrings to filter pivot columns in Configuration Audit module</w:t>
            </w:r>
          </w:p>
        </w:tc>
      </w:tr>
      <w:tr>
        <w:tc>
          <w:tcPr>
            <w:tcW w:type="dxa" w:w="4337"/>
          </w:tcPr>
          <w:p>
            <w:r/>
            <w:r>
              <w:rPr>
                <w:b w:val="0"/>
                <w:sz w:val="16"/>
              </w:rPr>
              <w:t>--cc-freq-filters</w:t>
            </w:r>
          </w:p>
        </w:tc>
        <w:tc>
          <w:tcPr>
            <w:tcW w:type="dxa" w:w="4337"/>
          </w:tcPr>
          <w:p>
            <w:r/>
            <w:r>
              <w:rPr>
                <w:b w:val="0"/>
                <w:sz w:val="16"/>
              </w:rPr>
              <w:t>Comma-separated list of frequency substrings to filter relations in Consistency Check module</w:t>
            </w:r>
          </w:p>
        </w:tc>
      </w:tr>
      <w:tr>
        <w:tc>
          <w:tcPr>
            <w:tcW w:type="dxa" w:w="4337"/>
          </w:tcPr>
          <w:p>
            <w:r/>
            <w:r>
              <w:rPr>
                <w:b w:val="0"/>
                <w:sz w:val="16"/>
              </w:rPr>
              <w:t>--frequency-audit</w:t>
            </w:r>
          </w:p>
        </w:tc>
        <w:tc>
          <w:tcPr>
            <w:tcW w:type="dxa" w:w="4337"/>
          </w:tcPr>
          <w:p>
            <w:r/>
            <w:r>
              <w:rPr>
                <w:b w:val="0"/>
                <w:sz w:val="16"/>
              </w:rPr>
              <w:t>Enable/disable Frequency Audit (integrated into Configuration Audit). Default Value: Enabled (use "--no-frequency-audit" to disable it)</w:t>
            </w:r>
          </w:p>
        </w:tc>
      </w:tr>
      <w:tr>
        <w:tc>
          <w:tcPr>
            <w:tcW w:type="dxa" w:w="4337"/>
          </w:tcPr>
          <w:p>
            <w:r/>
            <w:r>
              <w:rPr>
                <w:b w:val="0"/>
                <w:sz w:val="16"/>
              </w:rPr>
              <w:t>--profiles-audit</w:t>
            </w:r>
          </w:p>
        </w:tc>
        <w:tc>
          <w:tcPr>
            <w:tcW w:type="dxa" w:w="4337"/>
          </w:tcPr>
          <w:p>
            <w:r/>
            <w:r>
              <w:rPr>
                <w:b w:val="0"/>
                <w:sz w:val="16"/>
              </w:rPr>
              <w:t>Enable/disable Profiles Audit (integrated into Configuration Audit). Default Value: Enabled (use "--no-profiles-audit" to disable it)</w:t>
            </w:r>
          </w:p>
        </w:tc>
      </w:tr>
      <w:tr>
        <w:tc>
          <w:tcPr>
            <w:tcW w:type="dxa" w:w="4337"/>
          </w:tcPr>
          <w:p>
            <w:r/>
            <w:r>
              <w:rPr>
                <w:b w:val="0"/>
                <w:sz w:val="16"/>
              </w:rPr>
              <w:t>--export-correction-cmd</w:t>
            </w:r>
          </w:p>
        </w:tc>
        <w:tc>
          <w:tcPr>
            <w:tcW w:type="dxa" w:w="4337"/>
          </w:tcPr>
          <w:p>
            <w:r/>
            <w:r>
              <w:rPr>
                <w:b w:val="0"/>
                <w:sz w:val="16"/>
              </w:rPr>
              <w:t>Enable/disable exporting correction command to text files (slow). Default Value: Enabled (use "--no-export-correction-cmd" to disable it).</w:t>
            </w:r>
          </w:p>
        </w:tc>
      </w:tr>
      <w:tr>
        <w:tc>
          <w:tcPr>
            <w:tcW w:type="dxa" w:w="4337"/>
          </w:tcPr>
          <w:p>
            <w:r/>
            <w:r>
              <w:rPr>
                <w:b w:val="0"/>
                <w:sz w:val="16"/>
              </w:rPr>
              <w:t>--fast-excel</w:t>
            </w:r>
          </w:p>
        </w:tc>
        <w:tc>
          <w:tcPr>
            <w:tcW w:type="dxa" w:w="4337"/>
          </w:tcPr>
          <w:p>
            <w:r/>
            <w:r>
              <w:rPr>
                <w:b w:val="0"/>
                <w:sz w:val="16"/>
              </w:rPr>
              <w:t>Enable/disable fast Excel export using xlsxwriter engine (reduced formatting features if compared to openpyxl). Default Value: Disabled (use "--fast-excel" to enable it).</w:t>
            </w:r>
          </w:p>
        </w:tc>
      </w:tr>
    </w:tbl>
    <w:p>
      <w:r>
        <w:br w:type="page"/>
      </w:r>
    </w:p>
    <w:p>
      <w:pPr>
        <w:pStyle w:val="Heading1"/>
      </w:pPr>
      <w:r>
        <w:t>SSB Retuning Automations - Modules Included</w:t>
      </w:r>
    </w:p>
    <w:p>
      <w:pPr>
        <w:pStyle w:val="Heading2"/>
      </w:pPr>
      <w:r>
        <w:t>Module 0 — Update Network Frequencies</w:t>
      </w:r>
    </w:p>
    <w:p>
      <w:pPr>
        <w:pStyle w:val="Heading3"/>
      </w:pPr>
      <w:r>
        <w:t>Input</w:t>
      </w:r>
    </w:p>
    <w:p>
      <w:pPr>
        <w:pStyle w:val="ListParagraph"/>
        <w:numPr>
          <w:ilvl w:val="0"/>
          <w:numId w:val="28"/>
        </w:numPr>
      </w:pPr>
      <w:r>
        <w:rPr>
          <w:b w:val="0"/>
        </w:rPr>
        <w:t>Input folder (may contain subfolders/ZIPs already supported by the IO layer).</w:t>
      </w:r>
    </w:p>
    <w:p>
      <w:pPr>
        <w:pStyle w:val="ListParagraph"/>
        <w:numPr>
          <w:ilvl w:val="0"/>
          <w:numId w:val="28"/>
        </w:numPr>
      </w:pPr>
      <w:r>
        <w:rPr>
          <w:b w:val="0"/>
        </w:rPr>
        <w:t>Mo logs with an "NRFrequency" table and the "arfcnValueNRDl" column.</w:t>
      </w:r>
    </w:p>
    <w:p>
      <w:pPr>
        <w:pStyle w:val="Heading3"/>
      </w:pPr>
      <w:r>
        <w:t>Process</w:t>
      </w:r>
    </w:p>
    <w:p>
      <w:pPr>
        <w:pStyle w:val="ListParagraph"/>
      </w:pPr>
      <w:r>
        <w:rPr>
          <w:b w:val="0"/>
        </w:rPr>
        <w:t>1. Scan logs and detects "NRFrequency" blocks.</w:t>
      </w:r>
    </w:p>
    <w:p>
      <w:pPr>
        <w:pStyle w:val="ListParagraph"/>
      </w:pPr>
      <w:r>
        <w:rPr>
          <w:b w:val="0"/>
        </w:rPr>
        <w:t>2. Extracts numeric values from "arfcnValueNRDl".</w:t>
      </w:r>
    </w:p>
    <w:p>
      <w:pPr>
        <w:pStyle w:val="ListParagraph"/>
      </w:pPr>
      <w:r>
        <w:rPr>
          <w:b w:val="0"/>
        </w:rPr>
        <w:t>3. Removes duplicates and sorts frequencies.</w:t>
      </w:r>
    </w:p>
    <w:p>
      <w:pPr>
        <w:pStyle w:val="ListParagraph"/>
      </w:pPr>
      <w:r>
        <w:rPr>
          <w:b w:val="0"/>
        </w:rPr>
        <w:t>4. Updates the persisted “Network frequencies” configuration for GUI/CLI.</w:t>
      </w:r>
    </w:p>
    <w:p>
      <w:pPr>
        <w:pStyle w:val="Heading3"/>
      </w:pPr>
      <w:r>
        <w:t>Output</w:t>
      </w:r>
    </w:p>
    <w:p>
      <w:pPr>
        <w:pStyle w:val="ListParagraph"/>
        <w:numPr>
          <w:ilvl w:val="0"/>
          <w:numId w:val="28"/>
        </w:numPr>
      </w:pPr>
      <w:r>
        <w:rPr>
          <w:b w:val="0"/>
        </w:rPr>
        <w:t>Does not generate Excel/PPT.</w:t>
      </w:r>
    </w:p>
    <w:p>
      <w:pPr>
        <w:pStyle w:val="ListParagraph"/>
        <w:numPr>
          <w:ilvl w:val="0"/>
          <w:numId w:val="28"/>
        </w:numPr>
      </w:pPr>
      <w:r>
        <w:rPr>
          <w:b w:val="0"/>
        </w:rPr>
        <w:t>Updates the persisted network frequency value used for filtering and selection in later runs.</w:t>
      </w:r>
    </w:p>
    <w:p>
      <w:pPr>
        <w:pStyle w:val="Heading3"/>
      </w:pPr>
      <w:r>
        <w:t>Detailed implementation notes</w:t>
      </w:r>
    </w:p>
    <w:p>
      <w:pPr>
        <w:pStyle w:val="ListParagraph"/>
        <w:numPr>
          <w:ilvl w:val="0"/>
          <w:numId w:val="28"/>
        </w:numPr>
      </w:pPr>
      <w:r>
        <w:rPr>
          <w:b w:val="0"/>
        </w:rPr>
        <w:t>The module reuses the same input resolver used by the other modules ("ensure_logs_available"), so it can consume either plain folders or folders containing ZIPs without changing operator workflow.</w:t>
      </w:r>
    </w:p>
    <w:p>
      <w:pPr>
        <w:pStyle w:val="ListParagraph"/>
        <w:numPr>
          <w:ilvl w:val="0"/>
          <w:numId w:val="28"/>
        </w:numPr>
      </w:pPr>
      <w:r>
        <w:rPr>
          <w:b w:val="0"/>
        </w:rPr>
        <w:t xml:space="preserve">It scans </w:t>
      </w:r>
      <w:r>
        <w:rPr>
          <w:b/>
        </w:rPr>
        <w:t>all</w:t>
      </w:r>
      <w:r>
        <w:rPr>
          <w:b w:val="0"/>
        </w:rPr>
        <w:t xml:space="preserve"> detected logs, slices each "SubNetwork" block, and processes only blocks where MO name is exactly "NRFrequency".</w:t>
      </w:r>
    </w:p>
    <w:p>
      <w:pPr>
        <w:pStyle w:val="ListParagraph"/>
        <w:numPr>
          <w:ilvl w:val="0"/>
          <w:numId w:val="28"/>
        </w:numPr>
      </w:pPr>
      <w:r>
        <w:rPr>
          <w:b w:val="0"/>
        </w:rPr>
        <w:t>Inside each "NRFrequency" block, it reads "arfcnValueNRDl", keeps only strictly numeric values, deduplicates, and sorts numerically.</w:t>
      </w:r>
    </w:p>
    <w:p>
      <w:pPr>
        <w:pStyle w:val="ListParagraph"/>
        <w:numPr>
          <w:ilvl w:val="0"/>
          <w:numId w:val="28"/>
        </w:numPr>
      </w:pPr>
      <w:r>
        <w:rPr>
          <w:b w:val="0"/>
        </w:rPr>
        <w:t>The resulting list is persisted to "config.cfg" in "network_frequencies" and also loaded in-memory into the "NETWORK_FREQUENCIES" global list.</w:t>
      </w:r>
    </w:p>
    <w:p>
      <w:pPr>
        <w:pStyle w:val="ListParagraph"/>
        <w:numPr>
          <w:ilvl w:val="0"/>
          <w:numId w:val="28"/>
        </w:numPr>
      </w:pPr>
      <w:r>
        <w:rPr>
          <w:b w:val="0"/>
        </w:rPr>
        <w:t>In practice, this module should be executed after collecting representative logs from the network and then only when new frequencies are introduced. For stable markets, running it once is usually enough.</w:t>
      </w:r>
    </w:p>
    <w:p>
      <w:pPr>
        <w:pStyle w:val="Heading3"/>
      </w:pPr>
      <w:r>
        <w:t>Impact on GUI and Web Interface</w:t>
      </w:r>
    </w:p>
    <w:p>
      <w:pPr>
        <w:pStyle w:val="ListParagraph"/>
        <w:numPr>
          <w:ilvl w:val="0"/>
          <w:numId w:val="28"/>
        </w:numPr>
      </w:pPr>
      <w:r>
        <w:rPr>
          <w:b/>
        </w:rPr>
        <w:t>Desktop GUI</w:t>
      </w:r>
      <w:r>
        <w:rPr>
          <w:b w:val="0"/>
        </w:rPr>
        <w:t>: when launching in GUI mode (no CLI args), the app loads "network_frequencies" from "config.cfg" and uses that list as the selectable values shown to users.</w:t>
      </w:r>
    </w:p>
    <w:p>
      <w:pPr>
        <w:pStyle w:val="ListParagraph"/>
        <w:numPr>
          <w:ilvl w:val="0"/>
          <w:numId w:val="28"/>
        </w:numPr>
      </w:pPr>
      <w:r>
        <w:rPr>
          <w:b/>
        </w:rPr>
        <w:t>Web Interface</w:t>
      </w:r>
      <w:r>
        <w:rPr>
          <w:b w:val="0"/>
        </w:rPr>
        <w:t>: the backend endpoint loading defaults first tries persisted "network_frequencies"; if empty, it falls back to parsing the hardcoded defaults from "SSB_RetuningAutomations.py".</w:t>
      </w:r>
    </w:p>
    <w:p>
      <w:pPr>
        <w:pStyle w:val="ListParagraph"/>
        <w:numPr>
          <w:ilvl w:val="0"/>
          <w:numId w:val="28"/>
        </w:numPr>
      </w:pPr>
      <w:r>
        <w:rPr>
          <w:b w:val="0"/>
        </w:rPr>
        <w:t>This means Module 0 is the canonical mechanism to keep both interfaces aligned with real network frequency inventory.</w:t>
      </w:r>
    </w:p>
    <w:p>
      <w:pPr>
        <w:pStyle w:val="Heading2"/>
      </w:pPr>
      <w:r>
        <w:t>Module 1 — Configuration Audit &amp; Logs Parser</w:t>
      </w:r>
    </w:p>
    <w:p>
      <w:r>
        <w:rPr>
          <w:b w:val="0"/>
        </w:rPr>
        <w:t>ConfigurationAudit performs a detailed validation of a single configuration snapshot. It parses network logs, builds Managed Object (MO) tables, and evaluates multiple consistency and retuning-related rules.</w:t>
      </w:r>
    </w:p>
    <w:p>
      <w:r>
        <w:rPr>
          <w:b w:val="0"/>
        </w:rPr>
        <w:t>ConfigurationAudit validates frequency configuration (SSB/ARFCN), relations, externals, TermPoints, profiles, and cardinality constraints. Results are consolidated in the SummaryAudit sheet.</w:t>
      </w:r>
    </w:p>
    <w:p>
      <w:pPr>
        <w:pStyle w:val="Heading3"/>
      </w:pPr>
      <w:r>
        <w:t>Execution Modes</w:t>
      </w:r>
    </w:p>
    <w:p>
      <w:r>
        <w:rPr>
          <w:b w:val="0"/>
        </w:rPr>
        <w:t>ConfigurationAudit can be executed in two main modes:</w:t>
      </w:r>
    </w:p>
    <w:p>
      <w:pPr>
        <w:pStyle w:val="ListParagraph"/>
        <w:numPr>
          <w:ilvl w:val="0"/>
          <w:numId w:val="28"/>
        </w:numPr>
      </w:pPr>
      <w:r>
        <w:rPr>
          <w:b w:val="0"/>
        </w:rPr>
        <w:t>Normal mode: The user provides a single input folder. The tool runs all checks and generates one audit output.</w:t>
      </w:r>
    </w:p>
    <w:p>
      <w:pPr>
        <w:pStyle w:val="ListParagraph"/>
        <w:numPr>
          <w:ilvl w:val="0"/>
          <w:numId w:val="28"/>
        </w:numPr>
      </w:pPr>
      <w:r>
        <w:rPr>
          <w:b w:val="0"/>
        </w:rPr>
        <w:t>Batch mode: The user provides a root folder containing multiple Step0 runs. The tool automatically detects valid runs and executes ConfigurationAudit for each one.</w:t>
      </w:r>
    </w:p>
    <w:p>
      <w:pPr>
        <w:pStyle w:val="Heading3"/>
      </w:pPr>
      <w:r>
        <w:t>Inputs</w:t>
      </w:r>
    </w:p>
    <w:p>
      <w:pPr>
        <w:pStyle w:val="ListParagraph"/>
        <w:numPr>
          <w:ilvl w:val="0"/>
          <w:numId w:val="28"/>
        </w:numPr>
      </w:pPr>
      <w:r>
        <w:rPr>
          <w:b w:val="0"/>
        </w:rPr>
        <w:t>Input folder with MOs logs (".log", ".logs", ".txt") or ZIPs resolvable by utilities.</w:t>
      </w:r>
    </w:p>
    <w:p>
      <w:pPr>
        <w:pStyle w:val="ListParagraph"/>
        <w:numPr>
          <w:ilvl w:val="0"/>
          <w:numId w:val="28"/>
        </w:numPr>
      </w:pPr>
      <w:r>
        <w:rPr>
          <w:b w:val="0"/>
        </w:rPr>
        <w:t>Frequency parameters:</w:t>
      </w:r>
    </w:p>
    <w:p>
      <w:pPr>
        <w:pStyle w:val="ListParagraph"/>
        <w:numPr>
          <w:ilvl w:val="1"/>
          <w:numId w:val="28"/>
        </w:numPr>
      </w:pPr>
      <w:r>
        <w:rPr>
          <w:b w:val="0"/>
        </w:rPr>
        <w:t>"n77_ssb_pre"</w:t>
      </w:r>
    </w:p>
    <w:p>
      <w:pPr>
        <w:pStyle w:val="ListParagraph"/>
        <w:numPr>
          <w:ilvl w:val="1"/>
          <w:numId w:val="28"/>
        </w:numPr>
      </w:pPr>
      <w:r>
        <w:rPr>
          <w:b w:val="0"/>
        </w:rPr>
        <w:t>"n77_ssb_post"</w:t>
      </w:r>
    </w:p>
    <w:p>
      <w:pPr>
        <w:pStyle w:val="ListParagraph"/>
        <w:numPr>
          <w:ilvl w:val="1"/>
          <w:numId w:val="28"/>
        </w:numPr>
      </w:pPr>
      <w:r>
        <w:rPr>
          <w:b w:val="0"/>
        </w:rPr>
        <w:t>"n77b_ssb"</w:t>
      </w:r>
    </w:p>
    <w:p>
      <w:pPr>
        <w:pStyle w:val="ListParagraph"/>
        <w:numPr>
          <w:ilvl w:val="1"/>
          <w:numId w:val="28"/>
        </w:numPr>
      </w:pPr>
      <w:r>
        <w:rPr>
          <w:b w:val="0"/>
        </w:rPr>
        <w:t>allowed SSB/ARFCN lists pre/post.</w:t>
      </w:r>
    </w:p>
    <w:p>
      <w:pPr>
        <w:pStyle w:val="ListParagraph"/>
        <w:numPr>
          <w:ilvl w:val="0"/>
          <w:numId w:val="28"/>
        </w:numPr>
      </w:pPr>
      <w:r>
        <w:rPr>
          <w:b w:val="0"/>
        </w:rPr>
        <w:t>Flags:</w:t>
      </w:r>
    </w:p>
    <w:p>
      <w:pPr>
        <w:pStyle w:val="ListParagraph"/>
        <w:numPr>
          <w:ilvl w:val="1"/>
          <w:numId w:val="28"/>
        </w:numPr>
      </w:pPr>
      <w:r>
        <w:rPr>
          <w:b w:val="0"/>
        </w:rPr>
        <w:t>"profiles_audit"</w:t>
      </w:r>
    </w:p>
    <w:p>
      <w:pPr>
        <w:pStyle w:val="ListParagraph"/>
        <w:numPr>
          <w:ilvl w:val="1"/>
          <w:numId w:val="28"/>
        </w:numPr>
      </w:pPr>
      <w:r>
        <w:rPr>
          <w:b w:val="0"/>
        </w:rPr>
        <w:t>"frequency_audit"</w:t>
      </w:r>
    </w:p>
    <w:p>
      <w:pPr>
        <w:pStyle w:val="ListParagraph"/>
        <w:numPr>
          <w:ilvl w:val="1"/>
          <w:numId w:val="28"/>
        </w:numPr>
      </w:pPr>
      <w:r>
        <w:rPr>
          <w:b w:val="0"/>
        </w:rPr>
        <w:t>"export_correction_cmd"</w:t>
      </w:r>
    </w:p>
    <w:p>
      <w:pPr>
        <w:pStyle w:val="ListParagraph"/>
        <w:numPr>
          <w:ilvl w:val="1"/>
          <w:numId w:val="28"/>
        </w:numPr>
      </w:pPr>
      <w:r>
        <w:rPr>
          <w:b w:val="0"/>
        </w:rPr>
        <w:t>"fast_excel_export".</w:t>
      </w:r>
    </w:p>
    <w:p>
      <w:pPr>
        <w:pStyle w:val="Heading3"/>
      </w:pPr>
      <w:r>
        <w:t>Process</w:t>
      </w:r>
    </w:p>
    <w:p>
      <w:pPr>
        <w:pStyle w:val="ListParagraph"/>
      </w:pPr>
      <w:r>
        <w:rPr>
          <w:b w:val="0"/>
        </w:rPr>
        <w:t>1. Parses files and extracts MO tables by "SubNetwork" blocks.</w:t>
      </w:r>
    </w:p>
    <w:p>
      <w:pPr>
        <w:pStyle w:val="ListParagraph"/>
      </w:pPr>
      <w:r>
        <w:rPr>
          <w:b w:val="0"/>
        </w:rPr>
        <w:t>2. Generates one sheet per detected table.</w:t>
      </w:r>
    </w:p>
    <w:p>
      <w:pPr>
        <w:pStyle w:val="ListParagraph"/>
      </w:pPr>
      <w:r>
        <w:rPr>
          <w:b w:val="0"/>
        </w:rPr>
        <w:t>3. Builds "SummaryAudit" + pivots/auxiliary summaries.</w:t>
      </w:r>
    </w:p>
    <w:p>
      <w:pPr>
        <w:pStyle w:val="ListParagraph"/>
      </w:pPr>
      <w:r>
        <w:rPr>
          <w:b w:val="0"/>
        </w:rPr>
        <w:t>4. Runs profiles audit if enabled.</w:t>
      </w:r>
    </w:p>
    <w:p>
      <w:pPr>
        <w:pStyle w:val="ListParagraph"/>
      </w:pPr>
      <w:r>
        <w:rPr>
          <w:b w:val="0"/>
        </w:rPr>
        <w:t>5. Exports CA correction commands if requested.</w:t>
      </w:r>
    </w:p>
    <w:p>
      <w:pPr>
        <w:pStyle w:val="ListParagraph"/>
      </w:pPr>
      <w:r>
        <w:rPr>
          <w:b w:val="0"/>
        </w:rPr>
        <w:t>6. Generates the summary PPT.</w:t>
      </w:r>
    </w:p>
    <w:p>
      <w:pPr>
        <w:pStyle w:val="Heading3"/>
      </w:pPr>
      <w:r>
        <w:t>Outputs</w:t>
      </w:r>
    </w:p>
    <w:p>
      <w:pPr>
        <w:pStyle w:val="ListParagraph"/>
        <w:numPr>
          <w:ilvl w:val="0"/>
          <w:numId w:val="28"/>
        </w:numPr>
      </w:pPr>
      <w:r>
        <w:rPr>
          <w:b w:val="0"/>
        </w:rPr>
        <w:t>Folder "ConfigurationAudit_&lt;timestamp&gt;_v&lt;version&gt;/".</w:t>
      </w:r>
    </w:p>
    <w:p>
      <w:pPr>
        <w:pStyle w:val="ListParagraph"/>
        <w:numPr>
          <w:ilvl w:val="0"/>
          <w:numId w:val="28"/>
        </w:numPr>
      </w:pPr>
      <w:r>
        <w:rPr>
          <w:b w:val="0"/>
        </w:rPr>
        <w:t>Excel file "ConfigurationAudit_&lt;timestamp&gt;_v&lt;version&gt;.xlsx":</w:t>
      </w:r>
    </w:p>
    <w:p>
      <w:pPr>
        <w:pStyle w:val="ListParagraph"/>
        <w:numPr>
          <w:ilvl w:val="1"/>
          <w:numId w:val="28"/>
        </w:numPr>
      </w:pPr>
      <w:r>
        <w:rPr>
          <w:b w:val="0"/>
        </w:rPr>
        <w:t>Sheets for each parsed MO table.</w:t>
      </w:r>
    </w:p>
    <w:p>
      <w:pPr>
        <w:pStyle w:val="ListParagraph"/>
        <w:numPr>
          <w:ilvl w:val="1"/>
          <w:numId w:val="28"/>
        </w:numPr>
      </w:pPr>
      <w:r>
        <w:rPr>
          <w:b w:val="0"/>
        </w:rPr>
        <w:t>Sheet with a "SummaryAudit" sheet wich contains the audit results.</w:t>
      </w:r>
    </w:p>
    <w:p>
      <w:pPr>
        <w:pStyle w:val="ListParagraph"/>
        <w:numPr>
          <w:ilvl w:val="1"/>
          <w:numId w:val="28"/>
        </w:numPr>
      </w:pPr>
      <w:r>
        <w:rPr>
          <w:b w:val="0"/>
        </w:rPr>
        <w:t>NR/LTE parameter discrepancy sheets.</w:t>
      </w:r>
    </w:p>
    <w:p>
      <w:pPr>
        <w:pStyle w:val="ListParagraph"/>
        <w:numPr>
          <w:ilvl w:val="1"/>
          <w:numId w:val="28"/>
        </w:numPr>
      </w:pPr>
      <w:r>
        <w:rPr>
          <w:b w:val="0"/>
        </w:rPr>
        <w:t>Summary/pivot sheets by frequencies and relations.</w:t>
      </w:r>
    </w:p>
    <w:p>
      <w:pPr>
        <w:pStyle w:val="ListParagraph"/>
        <w:numPr>
          <w:ilvl w:val="0"/>
          <w:numId w:val="28"/>
        </w:numPr>
      </w:pPr>
      <w:r>
        <w:rPr>
          <w:b w:val="0"/>
        </w:rPr>
        <w:t>PPT file "ConfigurationAudit_&lt;timestamp&gt;_v&lt;version&gt;.pptx".</w:t>
      </w:r>
    </w:p>
    <w:p>
      <w:pPr>
        <w:pStyle w:val="ListParagraph"/>
        <w:numPr>
          <w:ilvl w:val="0"/>
          <w:numId w:val="28"/>
        </w:numPr>
      </w:pPr>
      <w:r>
        <w:rPr>
          <w:b w:val="0"/>
        </w:rPr>
        <w:t>Optional folder "Correction_Cmd_CA/" with AMOS commands.</w:t>
      </w:r>
    </w:p>
    <w:p>
      <w:pPr>
        <w:pStyle w:val="Heading3"/>
      </w:pPr>
      <w:r>
        <w:t>Main semantic content</w:t>
      </w:r>
    </w:p>
    <w:p>
      <w:pPr>
        <w:pStyle w:val="ListParagraph"/>
        <w:numPr>
          <w:ilvl w:val="0"/>
          <w:numId w:val="28"/>
        </w:numPr>
      </w:pPr>
      <w:r>
        <w:rPr>
          <w:b/>
        </w:rPr>
        <w:t>SummaryAudit</w:t>
      </w:r>
      <w:r>
        <w:rPr>
          <w:b w:val="0"/>
        </w:rPr>
        <w:t xml:space="preserve"> contains rows with:</w:t>
      </w:r>
    </w:p>
    <w:p>
      <w:pPr>
        <w:pStyle w:val="ListParagraph"/>
        <w:numPr>
          <w:ilvl w:val="1"/>
          <w:numId w:val="28"/>
        </w:numPr>
      </w:pPr>
      <w:r>
        <w:rPr>
          <w:b w:val="0"/>
        </w:rPr>
        <w:t>"Category", "SubCategory", "Metric", "Value", "ExtraInfo",</w:t>
      </w:r>
    </w:p>
    <w:p>
      <w:pPr>
        <w:pStyle w:val="ListParagraph"/>
        <w:numPr>
          <w:ilvl w:val="1"/>
          <w:numId w:val="28"/>
        </w:numPr>
      </w:pPr>
      <w:r>
        <w:rPr>
          <w:b w:val="0"/>
        </w:rPr>
        <w:t>and execution context fields (stage, module, etc. depending on the flow).</w:t>
      </w:r>
    </w:p>
    <w:p>
      <w:pPr>
        <w:pStyle w:val="ListParagraph"/>
        <w:numPr>
          <w:ilvl w:val="0"/>
          <w:numId w:val="28"/>
        </w:numPr>
      </w:pPr>
      <w:r>
        <w:rPr>
          <w:b w:val="0"/>
        </w:rPr>
        <w:t>"Value" usually represents a count of impacted nodes/cells/relations.</w:t>
      </w:r>
    </w:p>
    <w:p>
      <w:pPr>
        <w:pStyle w:val="ListParagraph"/>
        <w:numPr>
          <w:ilvl w:val="0"/>
          <w:numId w:val="28"/>
        </w:numPr>
      </w:pPr>
      <w:r>
        <w:rPr>
          <w:b w:val="0"/>
        </w:rPr>
        <w:t>"ExtraInfo" contains the NodeId list or a compact discrepancy detail.</w:t>
      </w:r>
    </w:p>
    <w:p>
      <w:pPr>
        <w:pStyle w:val="Heading2"/>
      </w:pPr>
      <w:r>
        <w:t>Module 2 — Consistency Check (manual Pre/Post)</w:t>
      </w:r>
    </w:p>
    <w:p>
      <w:r>
        <w:rPr>
          <w:b w:val="0"/>
        </w:rPr>
        <w:t>ConsistencyChecks compares PRE and POST relation tables (NRCellRelation and GUtranCellRelation). The comparison uses a stable key per relation (e.g., NodeId + CellId + RelationId).</w:t>
      </w:r>
    </w:p>
    <w:p>
      <w:r>
        <w:rPr>
          <w:b w:val="0"/>
        </w:rPr>
        <w:t>The module detects missing relations, new relations, and discrepancies (parameter differences and frequency differences). Results are summarized in the comparison Excel.</w:t>
      </w:r>
    </w:p>
    <w:p>
      <w:pPr>
        <w:pStyle w:val="Heading3"/>
      </w:pPr>
      <w:r>
        <w:t>Execution Modes</w:t>
      </w:r>
    </w:p>
    <w:p>
      <w:pPr>
        <w:pStyle w:val="ListParagraph"/>
        <w:numPr>
          <w:ilvl w:val="0"/>
          <w:numId w:val="28"/>
        </w:numPr>
      </w:pPr>
      <w:r>
        <w:rPr>
          <w:b w:val="0"/>
        </w:rPr>
        <w:t>Normal (manual PRE/POST): The user explicitly provides PRE and POST input folders.</w:t>
      </w:r>
    </w:p>
    <w:p>
      <w:pPr>
        <w:pStyle w:val="ListParagraph"/>
        <w:numPr>
          <w:ilvl w:val="0"/>
          <w:numId w:val="28"/>
        </w:numPr>
      </w:pPr>
      <w:r>
        <w:rPr>
          <w:b w:val="0"/>
        </w:rPr>
        <w:t>Batch (auto-detected PRE/POST):The user provides a root folder. The tool automatically selects PRE and POST runs based on timestamps and naming rules.</w:t>
      </w:r>
    </w:p>
    <w:p>
      <w:pPr>
        <w:pStyle w:val="Heading3"/>
      </w:pPr>
      <w:r>
        <w:t>Inputs</w:t>
      </w:r>
    </w:p>
    <w:p>
      <w:pPr>
        <w:pStyle w:val="ListParagraph"/>
        <w:numPr>
          <w:ilvl w:val="0"/>
          <w:numId w:val="28"/>
        </w:numPr>
      </w:pPr>
      <w:r>
        <w:rPr>
          <w:b w:val="0"/>
        </w:rPr>
        <w:t>"input_pre" and "input_post" folders. Both folders should contains MOs logs (".log", ".logs", ".txt") or ZIPs resolvable by utilities.</w:t>
      </w:r>
    </w:p>
    <w:p>
      <w:pPr>
        <w:pStyle w:val="ListParagraph"/>
        <w:numPr>
          <w:ilvl w:val="0"/>
          <w:numId w:val="28"/>
        </w:numPr>
      </w:pPr>
      <w:r>
        <w:rPr>
          <w:b w:val="0"/>
        </w:rPr>
        <w:t>Frequencies "n77_ssb_pre" and "n77_ssb_post".</w:t>
      </w:r>
    </w:p>
    <w:p>
      <w:pPr>
        <w:pStyle w:val="ListParagraph"/>
        <w:numPr>
          <w:ilvl w:val="0"/>
          <w:numId w:val="28"/>
        </w:numPr>
      </w:pPr>
      <w:r>
        <w:rPr>
          <w:b w:val="0"/>
        </w:rPr>
        <w:t>Optional reference to PRE and POST "ConfigurationAudit" to enrich target classification.</w:t>
      </w:r>
    </w:p>
    <w:p>
      <w:pPr>
        <w:pStyle w:val="ListParagraph"/>
        <w:numPr>
          <w:ilvl w:val="0"/>
          <w:numId w:val="28"/>
        </w:numPr>
      </w:pPr>
      <w:r>
        <w:rPr>
          <w:b w:val="0"/>
        </w:rPr>
        <w:t>Optional list of frequency filters ("cc_freq_filters").</w:t>
      </w:r>
    </w:p>
    <w:p>
      <w:pPr>
        <w:pStyle w:val="Heading3"/>
      </w:pPr>
      <w:r>
        <w:t>Process</w:t>
      </w:r>
    </w:p>
    <w:p>
      <w:pPr>
        <w:pStyle w:val="ListParagraph"/>
      </w:pPr>
      <w:r>
        <w:rPr>
          <w:b w:val="0"/>
        </w:rPr>
        <w:t>1. Loads relation tables ("GUtranCellRelation", "NRCellRelation").</w:t>
      </w:r>
    </w:p>
    <w:p>
      <w:pPr>
        <w:pStyle w:val="ListParagraph"/>
      </w:pPr>
      <w:r>
        <w:rPr>
          <w:b w:val="0"/>
        </w:rPr>
        <w:t>2. Normalizes columns/keys and selects the most recent snapshots by date.</w:t>
      </w:r>
    </w:p>
    <w:p>
      <w:pPr>
        <w:pStyle w:val="ListParagraph"/>
      </w:pPr>
      <w:r>
        <w:rPr>
          <w:b w:val="0"/>
        </w:rPr>
        <w:t>3. Detect:</w:t>
      </w:r>
    </w:p>
    <w:p>
      <w:pPr>
        <w:pStyle w:val="ListParagraph"/>
        <w:numPr>
          <w:ilvl w:val="1"/>
          <w:numId w:val="28"/>
        </w:numPr>
      </w:pPr>
      <w:r>
        <w:rPr>
          <w:b w:val="0"/>
        </w:rPr>
        <w:t>new relations,</w:t>
      </w:r>
    </w:p>
    <w:p>
      <w:pPr>
        <w:pStyle w:val="ListParagraph"/>
        <w:numPr>
          <w:ilvl w:val="1"/>
          <w:numId w:val="28"/>
        </w:numPr>
      </w:pPr>
      <w:r>
        <w:rPr>
          <w:b w:val="0"/>
        </w:rPr>
        <w:t>missing relations,</w:t>
      </w:r>
    </w:p>
    <w:p>
      <w:pPr>
        <w:pStyle w:val="ListParagraph"/>
        <w:numPr>
          <w:ilvl w:val="1"/>
          <w:numId w:val="28"/>
        </w:numPr>
      </w:pPr>
      <w:r>
        <w:rPr>
          <w:b w:val="0"/>
        </w:rPr>
        <w:t>parameter discrepancies,</w:t>
      </w:r>
    </w:p>
    <w:p>
      <w:pPr>
        <w:pStyle w:val="ListParagraph"/>
        <w:numPr>
          <w:ilvl w:val="1"/>
          <w:numId w:val="28"/>
        </w:numPr>
      </w:pPr>
      <w:r>
        <w:rPr>
          <w:b w:val="0"/>
        </w:rPr>
        <w:t>frequency discrepancies,</w:t>
      </w:r>
    </w:p>
    <w:p>
      <w:pPr>
        <w:pStyle w:val="ListParagraph"/>
        <w:numPr>
          <w:ilvl w:val="1"/>
          <w:numId w:val="28"/>
        </w:numPr>
      </w:pPr>
      <w:r>
        <w:rPr>
          <w:b w:val="0"/>
        </w:rPr>
        <w:t>summary by PRE/POST frequency pair.</w:t>
      </w:r>
    </w:p>
    <w:p>
      <w:pPr>
        <w:pStyle w:val="ListParagraph"/>
      </w:pPr>
      <w:r>
        <w:rPr>
          <w:b w:val="0"/>
        </w:rPr>
        <w:t>4. Classify destination targets as "SSB-Pre", "SSB-Post" or "Unknown".</w:t>
      </w:r>
    </w:p>
    <w:p>
      <w:pPr>
        <w:pStyle w:val="ListParagraph"/>
      </w:pPr>
      <w:r>
        <w:rPr>
          <w:b w:val="0"/>
        </w:rPr>
        <w:t>5. Exports detailed Excel outputs and correction commands.</w:t>
      </w:r>
    </w:p>
    <w:p>
      <w:pPr>
        <w:pStyle w:val="Heading3"/>
      </w:pPr>
      <w:r>
        <w:t>Outputs</w:t>
      </w:r>
    </w:p>
    <w:p>
      <w:pPr>
        <w:pStyle w:val="ListParagraph"/>
        <w:numPr>
          <w:ilvl w:val="0"/>
          <w:numId w:val="28"/>
        </w:numPr>
      </w:pPr>
      <w:r>
        <w:rPr>
          <w:b w:val="0"/>
        </w:rPr>
        <w:t>"CellRelation_&lt;timestamp&gt;_v&lt;version&gt;.xlsx" (end-to-end relations view).</w:t>
      </w:r>
    </w:p>
    <w:p>
      <w:pPr>
        <w:pStyle w:val="ListParagraph"/>
        <w:numPr>
          <w:ilvl w:val="0"/>
          <w:numId w:val="28"/>
        </w:numPr>
      </w:pPr>
      <w:r>
        <w:rPr>
          <w:b w:val="0"/>
        </w:rPr>
        <w:t>"ConsistencyChecks_CellRelation_&lt;timestamp&gt;_v&lt;version&gt;.xlsx" with:</w:t>
      </w:r>
    </w:p>
    <w:p>
      <w:pPr>
        <w:pStyle w:val="ListParagraph"/>
        <w:numPr>
          <w:ilvl w:val="1"/>
          <w:numId w:val="28"/>
        </w:numPr>
      </w:pPr>
      <w:r>
        <w:rPr>
          <w:b w:val="0"/>
        </w:rPr>
        <w:t>"Summary"</w:t>
      </w:r>
    </w:p>
    <w:p>
      <w:pPr>
        <w:pStyle w:val="ListParagraph"/>
        <w:numPr>
          <w:ilvl w:val="1"/>
          <w:numId w:val="28"/>
        </w:numPr>
      </w:pPr>
      <w:r>
        <w:rPr>
          <w:b w:val="0"/>
        </w:rPr>
        <w:t>"SummaryAuditComparisson" (if there is PRE/POST SummaryAudit)</w:t>
      </w:r>
    </w:p>
    <w:p>
      <w:pPr>
        <w:pStyle w:val="ListParagraph"/>
        <w:numPr>
          <w:ilvl w:val="1"/>
          <w:numId w:val="28"/>
        </w:numPr>
      </w:pPr>
      <w:r>
        <w:rPr>
          <w:b w:val="0"/>
        </w:rPr>
        <w:t>"Summary_CellRelation"</w:t>
      </w:r>
    </w:p>
    <w:p>
      <w:pPr>
        <w:pStyle w:val="ListParagraph"/>
        <w:numPr>
          <w:ilvl w:val="1"/>
          <w:numId w:val="28"/>
        </w:numPr>
      </w:pPr>
      <w:r>
        <w:rPr>
          <w:b w:val="0"/>
        </w:rPr>
        <w:t>GU blocks: "GU_relations", "GU_param_disc", "GU_freq_disc", "GU_freq_disc_unknown", "GU_missing", "GU_new"</w:t>
      </w:r>
    </w:p>
    <w:p>
      <w:pPr>
        <w:pStyle w:val="ListParagraph"/>
        <w:numPr>
          <w:ilvl w:val="1"/>
          <w:numId w:val="28"/>
        </w:numPr>
      </w:pPr>
      <w:r>
        <w:rPr>
          <w:b w:val="0"/>
        </w:rPr>
        <w:t>NR blocks: "NR_relations", "NR_param_disc", "NR_freq_disc", "NR_freq_disc_unknown", "NR_missing", "NR_new"</w:t>
      </w:r>
    </w:p>
    <w:p>
      <w:pPr>
        <w:pStyle w:val="ListParagraph"/>
        <w:numPr>
          <w:ilvl w:val="1"/>
          <w:numId w:val="28"/>
        </w:numPr>
      </w:pPr>
      <w:r>
        <w:rPr>
          <w:b w:val="0"/>
        </w:rPr>
        <w:t>optional "GU_all", "NR_all".</w:t>
      </w:r>
    </w:p>
    <w:p>
      <w:pPr>
        <w:pStyle w:val="ListParagraph"/>
        <w:numPr>
          <w:ilvl w:val="0"/>
          <w:numId w:val="28"/>
        </w:numPr>
      </w:pPr>
      <w:r>
        <w:rPr>
          <w:b w:val="0"/>
        </w:rPr>
        <w:t>"Correction_Cmd_CC/" with commands per type (new/missing/discrepancies).</w:t>
      </w:r>
    </w:p>
    <w:p>
      <w:pPr>
        <w:pStyle w:val="Heading3"/>
      </w:pPr>
      <w:r>
        <w:t>Missing Relations</w:t>
      </w:r>
    </w:p>
    <w:p>
      <w:r>
        <w:rPr>
          <w:b w:val="0"/>
        </w:rPr>
        <w:t>A relation is classified as MISSING in POST when its key exists in PRE but does not exist in POST. In code terms: Missing = PRE_keys − POST_keys.</w:t>
      </w:r>
    </w:p>
    <w:p>
      <w:pPr>
        <w:pStyle w:val="Heading3"/>
      </w:pPr>
      <w:r>
        <w:t>New Relations</w:t>
      </w:r>
    </w:p>
    <w:p>
      <w:r>
        <w:rPr>
          <w:b w:val="0"/>
        </w:rPr>
        <w:t>A relation is classified as NEW in POST when its key exists in POST but does not exist in PRE. In code terms: New = POST_keys − PRE_keys.</w:t>
      </w:r>
    </w:p>
    <w:p>
      <w:pPr>
        <w:pStyle w:val="Heading3"/>
      </w:pPr>
      <w:r>
        <w:t>Parameters Discrepancies</w:t>
      </w:r>
    </w:p>
    <w:p>
      <w:r>
        <w:rPr>
          <w:b w:val="0"/>
        </w:rPr>
        <w:t>A relation is classified as a DISCREPANCY when the key exists in both PRE and POST, but one or more audited parameters differ. The tool compares shared columns, excluding technical columns (Pre/Post, Date), key columns, and the detected frequency column.</w:t>
      </w:r>
    </w:p>
    <w:p>
      <w:pPr>
        <w:pStyle w:val="Heading3"/>
      </w:pPr>
      <w:r>
        <w:t>Frequency Discrepancies (SSB)</w:t>
      </w:r>
    </w:p>
    <w:p>
      <w:r>
        <w:rPr>
          <w:b w:val="0"/>
        </w:rPr>
        <w:t>Frequency discrepancies are identified by extracting a normalized base frequency (Freq_Pre / Freq_Post) and applying retuning rules. Typical rule: if a relation has the target frequency in PRE (or already has POST) but POST does not contain the expected POST frequency, it is flagged for frequency discrepancy handling</w:t>
      </w:r>
    </w:p>
    <w:p>
      <w:pPr>
        <w:pStyle w:val="Heading2"/>
      </w:pPr>
      <w:r>
        <w:t>Module 3 — Consistency Check Bulk (automatic Pre/Post detection by market)</w:t>
      </w:r>
    </w:p>
    <w:p>
      <w:pPr>
        <w:pStyle w:val="Heading3"/>
      </w:pPr>
      <w:r>
        <w:t>Inputs</w:t>
      </w:r>
    </w:p>
    <w:p>
      <w:pPr>
        <w:pStyle w:val="ListParagraph"/>
        <w:numPr>
          <w:ilvl w:val="0"/>
          <w:numId w:val="28"/>
        </w:numPr>
      </w:pPr>
      <w:r>
        <w:rPr>
          <w:b w:val="0"/>
        </w:rPr>
        <w:t>Root folder with subfolders like "yyyymmdd_hhmm_step0" (optionally nested by market).</w:t>
      </w:r>
    </w:p>
    <w:p>
      <w:pPr>
        <w:pStyle w:val="Heading3"/>
      </w:pPr>
      <w:r>
        <w:t>Process</w:t>
      </w:r>
    </w:p>
    <w:p>
      <w:pPr>
        <w:pStyle w:val="ListParagraph"/>
      </w:pPr>
      <w:r>
        <w:rPr>
          <w:b w:val="0"/>
        </w:rPr>
        <w:t>1. Detects PRE/POST candidates by the most appropriate date/time.</w:t>
      </w:r>
    </w:p>
    <w:p>
      <w:pPr>
        <w:pStyle w:val="ListParagraph"/>
      </w:pPr>
      <w:r>
        <w:rPr>
          <w:b w:val="0"/>
        </w:rPr>
        <w:t>2. Excludes folders using a blacklist ("ignore", "old", "bad", "partial", "incomplete", "discard", etc.).</w:t>
      </w:r>
    </w:p>
    <w:p>
      <w:pPr>
        <w:pStyle w:val="ListParagraph"/>
      </w:pPr>
      <w:r>
        <w:rPr>
          <w:b w:val="0"/>
        </w:rPr>
        <w:t>3. Runs Module 2 for each detected market.</w:t>
      </w:r>
    </w:p>
    <w:p>
      <w:pPr>
        <w:pStyle w:val="Heading3"/>
      </w:pPr>
      <w:r>
        <w:t>Outputs</w:t>
      </w:r>
    </w:p>
    <w:p>
      <w:pPr>
        <w:pStyle w:val="ListParagraph"/>
        <w:numPr>
          <w:ilvl w:val="0"/>
          <w:numId w:val="28"/>
        </w:numPr>
      </w:pPr>
      <w:r>
        <w:rPr>
          <w:b w:val="0"/>
        </w:rPr>
        <w:t>Same output structure as module 2, per market.</w:t>
      </w:r>
    </w:p>
    <w:p>
      <w:pPr>
        <w:pStyle w:val="ListParagraph"/>
        <w:numPr>
          <w:ilvl w:val="0"/>
          <w:numId w:val="28"/>
        </w:numPr>
      </w:pPr>
      <w:r>
        <w:rPr>
          <w:b w:val="0"/>
        </w:rPr>
        <w:t>Traceability file "FoldersCompared.txt".</w:t>
      </w:r>
    </w:p>
    <w:p>
      <w:pPr>
        <w:pStyle w:val="Heading2"/>
      </w:pPr>
      <w:r>
        <w:t>Module 4 — Final Clean-Up</w:t>
      </w:r>
    </w:p>
    <w:p>
      <w:pPr>
        <w:pStyle w:val="Heading3"/>
      </w:pPr>
      <w:r>
        <w:t>Inputs</w:t>
      </w:r>
    </w:p>
    <w:p>
      <w:pPr>
        <w:pStyle w:val="ListParagraph"/>
        <w:numPr>
          <w:ilvl w:val="0"/>
          <w:numId w:val="28"/>
        </w:numPr>
      </w:pPr>
      <w:r>
        <w:rPr>
          <w:b w:val="0"/>
        </w:rPr>
        <w:t>Final retune working folder.</w:t>
      </w:r>
    </w:p>
    <w:p>
      <w:pPr>
        <w:pStyle w:val="Heading3"/>
      </w:pPr>
      <w:r>
        <w:t>Process</w:t>
      </w:r>
    </w:p>
    <w:p>
      <w:pPr>
        <w:pStyle w:val="ListParagraph"/>
        <w:numPr>
          <w:ilvl w:val="0"/>
          <w:numId w:val="28"/>
        </w:numPr>
      </w:pPr>
      <w:r>
        <w:rPr>
          <w:b w:val="0"/>
        </w:rPr>
        <w:t>Executes final cleanup policies (structure prepared to expand rules).</w:t>
      </w:r>
    </w:p>
    <w:p>
      <w:pPr>
        <w:pStyle w:val="Heading3"/>
      </w:pPr>
      <w:r>
        <w:t>Outputs</w:t>
      </w:r>
    </w:p>
    <w:p>
      <w:pPr>
        <w:pStyle w:val="ListParagraph"/>
        <w:numPr>
          <w:ilvl w:val="0"/>
          <w:numId w:val="28"/>
        </w:numPr>
      </w:pPr>
      <w:r>
        <w:rPr>
          <w:b w:val="0"/>
        </w:rPr>
        <w:t>Versioned cleanup directory according to the active implementation.</w:t>
      </w:r>
    </w:p>
    <w:p>
      <w:r>
        <w:br w:type="page"/>
      </w:r>
    </w:p>
    <w:p>
      <w:pPr>
        <w:pStyle w:val="Heading1"/>
      </w:pPr>
      <w:r>
        <w:t>Configuration Audit module in detail</w:t>
      </w:r>
    </w:p>
    <w:p>
      <w:pPr>
        <w:pStyle w:val="Heading2"/>
      </w:pPr>
      <w:r>
        <w:t>SummaryAudit checks philosophy</w:t>
      </w:r>
    </w:p>
    <w:p>
      <w:r>
        <w:rPr>
          <w:b w:val="0"/>
        </w:rPr>
        <w:t>SummaryAudit sheet contains a high-level checks table by categories. The flow:</w:t>
      </w:r>
    </w:p>
    <w:p>
      <w:pPr>
        <w:pStyle w:val="ListParagraph"/>
      </w:pPr>
      <w:r>
        <w:rPr>
          <w:b w:val="0"/>
        </w:rPr>
        <w:t>1. Excludes "UNSYNCHRONIZED" nodes based on "MeContext".</w:t>
      </w:r>
    </w:p>
    <w:p>
      <w:pPr>
        <w:pStyle w:val="ListParagraph"/>
      </w:pPr>
      <w:r>
        <w:rPr>
          <w:b w:val="0"/>
        </w:rPr>
        <w:t>2. Evaluates NR, LTE, ENDC, Externals, TermPoints, cardinalities, and profiles.</w:t>
      </w:r>
    </w:p>
    <w:p>
      <w:pPr>
        <w:pStyle w:val="ListParagraph"/>
      </w:pPr>
      <w:r>
        <w:rPr>
          <w:b w:val="0"/>
        </w:rPr>
        <w:t>3. Records each check as a row ("Category/SubCategory/Metric/Value/ExtraInfo").</w:t>
      </w:r>
    </w:p>
    <w:p>
      <w:pPr>
        <w:pStyle w:val="Heading2"/>
      </w:pPr>
      <w:r>
        <w:t>Operational meaning of SummaryAudit rows</w:t>
      </w:r>
    </w:p>
    <w:p>
      <w:pPr>
        <w:pStyle w:val="ListParagraph"/>
        <w:numPr>
          <w:ilvl w:val="0"/>
          <w:numId w:val="28"/>
        </w:numPr>
      </w:pPr>
      <w:r>
        <w:rPr>
          <w:b/>
        </w:rPr>
        <w:t>Category</w:t>
      </w:r>
      <w:r>
        <w:rPr>
          <w:b w:val="0"/>
        </w:rPr>
        <w:t>: audited technical domain (NR/LTE/ENDC/MeContext/etc.).</w:t>
      </w:r>
    </w:p>
    <w:p>
      <w:pPr>
        <w:pStyle w:val="ListParagraph"/>
        <w:numPr>
          <w:ilvl w:val="0"/>
          <w:numId w:val="28"/>
        </w:numPr>
      </w:pPr>
      <w:r>
        <w:rPr>
          <w:b/>
        </w:rPr>
        <w:t>SubCategory</w:t>
      </w:r>
      <w:r>
        <w:rPr>
          <w:b w:val="0"/>
        </w:rPr>
        <w:t>: type of analysis (Audit/Inconsistencies/Profiles).</w:t>
      </w:r>
    </w:p>
    <w:p>
      <w:pPr>
        <w:pStyle w:val="ListParagraph"/>
        <w:numPr>
          <w:ilvl w:val="0"/>
          <w:numId w:val="28"/>
        </w:numPr>
      </w:pPr>
      <w:r>
        <w:rPr>
          <w:b/>
        </w:rPr>
        <w:t>Metric</w:t>
      </w:r>
      <w:r>
        <w:rPr>
          <w:b w:val="0"/>
        </w:rPr>
        <w:t>: specific rule evaluated.</w:t>
      </w:r>
    </w:p>
    <w:p>
      <w:pPr>
        <w:pStyle w:val="ListParagraph"/>
        <w:numPr>
          <w:ilvl w:val="0"/>
          <w:numId w:val="28"/>
        </w:numPr>
      </w:pPr>
      <w:r>
        <w:rPr>
          <w:b/>
        </w:rPr>
        <w:t>Value</w:t>
      </w:r>
      <w:r>
        <w:rPr>
          <w:b w:val="0"/>
        </w:rPr>
        <w:t>:</w:t>
      </w:r>
    </w:p>
    <w:p>
      <w:pPr>
        <w:pStyle w:val="ListParagraph"/>
        <w:numPr>
          <w:ilvl w:val="1"/>
          <w:numId w:val="28"/>
        </w:numPr>
      </w:pPr>
      <w:r>
        <w:rPr>
          <w:b w:val="0"/>
        </w:rPr>
        <w:t>Integer: number of affected nodes/relations/cells.</w:t>
      </w:r>
    </w:p>
    <w:p>
      <w:pPr>
        <w:pStyle w:val="ListParagraph"/>
        <w:numPr>
          <w:ilvl w:val="1"/>
          <w:numId w:val="28"/>
        </w:numPr>
      </w:pPr>
      <w:r>
        <w:rPr>
          <w:b w:val="0"/>
        </w:rPr>
        <w:t>"N/A": not evaluable due to missing columns.</w:t>
      </w:r>
    </w:p>
    <w:p>
      <w:pPr>
        <w:pStyle w:val="ListParagraph"/>
        <w:numPr>
          <w:ilvl w:val="1"/>
          <w:numId w:val="28"/>
        </w:numPr>
      </w:pPr>
      <w:r>
        <w:rPr>
          <w:b w:val="0"/>
        </w:rPr>
        <w:t>Text: captured status or error.</w:t>
      </w:r>
    </w:p>
    <w:p>
      <w:pPr>
        <w:pStyle w:val="ListParagraph"/>
        <w:numPr>
          <w:ilvl w:val="0"/>
          <w:numId w:val="28"/>
        </w:numPr>
      </w:pPr>
      <w:r>
        <w:rPr>
          <w:b/>
        </w:rPr>
        <w:t>ExtraInfo</w:t>
      </w:r>
      <w:r>
        <w:rPr>
          <w:b w:val="0"/>
        </w:rPr>
        <w:t>: list of nodes or bounded detail for troubleshooting.</w:t>
      </w:r>
    </w:p>
    <w:p>
      <w:pPr>
        <w:pStyle w:val="Heading2"/>
      </w:pPr>
      <w:r>
        <w:t>SummaryAudit checks catalog</w:t>
      </w:r>
    </w:p>
    <w:p>
      <w:pPr>
        <w:pStyle w:val="Heading2"/>
      </w:pPr>
      <w:r>
        <w:t>MeContext Audit</w:t>
      </w:r>
    </w:p>
    <w:p>
      <w:r>
        <w:rPr>
          <w:b/>
        </w:rPr>
        <w:t>Source tables</w:t>
      </w:r>
      <w:r>
        <w:rPr>
          <w:b w:val="0"/>
        </w:rPr>
        <w:t>: "MeContext".</w:t>
      </w:r>
    </w:p>
    <w:p>
      <w:r>
        <w:rPr>
          <w:b w:val="0"/>
        </w:rPr>
        <w:t>Main checks:</w:t>
      </w:r>
    </w:p>
    <w:p>
      <w:pPr>
        <w:pStyle w:val="ListParagraph"/>
        <w:numPr>
          <w:ilvl w:val="0"/>
          <w:numId w:val="28"/>
        </w:numPr>
      </w:pPr>
      <w:r>
        <w:rPr>
          <w:b w:val="0"/>
        </w:rPr>
        <w:t>Total unique nodes.</w:t>
      </w:r>
    </w:p>
    <w:p>
      <w:pPr>
        <w:pStyle w:val="ListParagraph"/>
        <w:numPr>
          <w:ilvl w:val="0"/>
          <w:numId w:val="28"/>
        </w:numPr>
      </w:pPr>
      <w:r>
        <w:rPr>
          <w:b w:val="0"/>
        </w:rPr>
        <w:t>Nodes with syncStatus="UNSYNCHRONIZED" (excluded from the rest of the audits).</w:t>
      </w:r>
    </w:p>
    <w:p>
      <w:r>
        <w:rPr>
          <w:b/>
        </w:rPr>
        <w:t>Complete Checks List</w:t>
      </w:r>
      <w:r>
        <w:rPr>
          <w:b w:val="0"/>
        </w:rPr>
        <w:t>:</w:t>
      </w:r>
    </w:p>
    <w:tbl>
      <w:tblPr>
        <w:tblStyle w:val="TableGrid"/>
        <w:tblW w:type="auto" w:w="0"/>
        <w:tblLook w:firstColumn="1" w:firstRow="1" w:lastColumn="0" w:lastRow="0" w:noHBand="0" w:noVBand="1" w:val="04A0"/>
      </w:tblPr>
      <w:tblGrid>
        <w:gridCol w:w="2168"/>
        <w:gridCol w:w="2168"/>
        <w:gridCol w:w="2168"/>
        <w:gridCol w:w="2168"/>
      </w:tblGrid>
      <w:tr>
        <w:tc>
          <w:tcPr>
            <w:tcW w:type="dxa" w:w="2168"/>
          </w:tcPr>
          <w:p>
            <w:r/>
            <w:r>
              <w:rPr>
                <w:b/>
                <w:sz w:val="18"/>
              </w:rPr>
              <w:t>Category</w:t>
            </w:r>
          </w:p>
        </w:tc>
        <w:tc>
          <w:tcPr>
            <w:tcW w:type="dxa" w:w="2168"/>
          </w:tcPr>
          <w:p>
            <w:r/>
            <w:r>
              <w:rPr>
                <w:b/>
                <w:sz w:val="18"/>
              </w:rPr>
              <w:t>SubCategory</w:t>
            </w:r>
          </w:p>
        </w:tc>
        <w:tc>
          <w:tcPr>
            <w:tcW w:type="dxa" w:w="2168"/>
          </w:tcPr>
          <w:p>
            <w:r/>
            <w:r>
              <w:rPr>
                <w:b/>
                <w:sz w:val="18"/>
              </w:rPr>
              <w:t>Metric</w:t>
            </w:r>
          </w:p>
        </w:tc>
        <w:tc>
          <w:tcPr>
            <w:tcW w:type="dxa" w:w="2168"/>
          </w:tcPr>
          <w:p>
            <w:r/>
            <w:r>
              <w:rPr>
                <w:b/>
                <w:sz w:val="18"/>
              </w:rPr>
              <w:t>Tips</w:t>
            </w:r>
          </w:p>
        </w:tc>
      </w:tr>
      <w:tr>
        <w:tc>
          <w:tcPr>
            <w:tcW w:type="dxa" w:w="2168"/>
          </w:tcPr>
          <w:p>
            <w:r/>
            <w:r>
              <w:rPr>
                <w:b w:val="0"/>
                <w:sz w:val="16"/>
              </w:rPr>
              <w:t>MeContext</w:t>
            </w:r>
          </w:p>
        </w:tc>
        <w:tc>
          <w:tcPr>
            <w:tcW w:type="dxa" w:w="2168"/>
          </w:tcPr>
          <w:p>
            <w:r/>
            <w:r>
              <w:rPr>
                <w:b w:val="0"/>
                <w:sz w:val="16"/>
              </w:rPr>
              <w:t>MeContext Audit</w:t>
            </w:r>
          </w:p>
        </w:tc>
        <w:tc>
          <w:tcPr>
            <w:tcW w:type="dxa" w:w="2168"/>
          </w:tcPr>
          <w:p>
            <w:r/>
            <w:r>
              <w:rPr>
                <w:b w:val="0"/>
                <w:sz w:val="16"/>
              </w:rPr>
              <w:t>Total unique nodes</w:t>
            </w:r>
          </w:p>
        </w:tc>
        <w:tc>
          <w:tcPr>
            <w:tcW w:type="dxa" w:w="2168"/>
          </w:tcPr>
          <w:p>
            <w:r/>
            <w:r>
              <w:rPr>
                <w:b w:val="0"/>
                <w:sz w:val="16"/>
              </w:rPr>
              <w:t>MeContext table to create lists of sites for implementation</w:t>
            </w:r>
          </w:p>
        </w:tc>
      </w:tr>
      <w:tr>
        <w:tc>
          <w:tcPr>
            <w:tcW w:type="dxa" w:w="2168"/>
          </w:tcPr>
          <w:p>
            <w:r/>
            <w:r>
              <w:rPr>
                <w:b w:val="0"/>
                <w:sz w:val="16"/>
              </w:rPr>
              <w:t>MeContext</w:t>
            </w:r>
          </w:p>
        </w:tc>
        <w:tc>
          <w:tcPr>
            <w:tcW w:type="dxa" w:w="2168"/>
          </w:tcPr>
          <w:p>
            <w:r/>
            <w:r>
              <w:rPr>
                <w:b w:val="0"/>
                <w:sz w:val="16"/>
              </w:rPr>
              <w:t>MeContext Audit</w:t>
            </w:r>
          </w:p>
        </w:tc>
        <w:tc>
          <w:tcPr>
            <w:tcW w:type="dxa" w:w="2168"/>
          </w:tcPr>
          <w:p>
            <w:r/>
            <w:r>
              <w:rPr>
                <w:b w:val="0"/>
                <w:sz w:val="16"/>
              </w:rPr>
              <w:t>Nodes with syncStatus="UNSYNCHRONIZED" (being excluded in all Audits)</w:t>
            </w:r>
          </w:p>
        </w:tc>
        <w:tc>
          <w:tcPr>
            <w:tcW w:type="dxa" w:w="2168"/>
          </w:tcPr>
          <w:p>
            <w:r/>
            <w:r>
              <w:rPr>
                <w:b w:val="0"/>
                <w:sz w:val="16"/>
              </w:rPr>
              <w:t>Unsynch nodes excluded in Audits and Implementation</w:t>
            </w:r>
          </w:p>
        </w:tc>
      </w:tr>
    </w:tbl>
    <w:p>
      <w:pPr>
        <w:pStyle w:val="Heading2"/>
      </w:pPr>
      <w:r>
        <w:t>NR Frequency Audit / NR Frequency Inconsistencies</w:t>
      </w:r>
    </w:p>
    <w:p>
      <w:r>
        <w:rPr>
          <w:b/>
        </w:rPr>
        <w:t>Source tables</w:t>
      </w:r>
      <w:r>
        <w:rPr>
          <w:b w:val="0"/>
        </w:rPr>
        <w:t>: "NRCellDU", "NRFrequency", "NRFreqRelation", "NRSectorCarrier", "NRCellRelation", "ExternalNRCellCU", "TermPointToGNodeB", "TermPointToGNB".</w:t>
      </w:r>
    </w:p>
    <w:p>
      <w:r>
        <w:rPr>
          <w:b w:val="0"/>
        </w:rPr>
        <w:t>Main checks:</w:t>
      </w:r>
    </w:p>
    <w:p>
      <w:pPr>
        <w:pStyle w:val="ListParagraph"/>
        <w:numPr>
          <w:ilvl w:val="0"/>
          <w:numId w:val="28"/>
        </w:numPr>
      </w:pPr>
      <w:r>
        <w:rPr>
          <w:b w:val="0"/>
        </w:rPr>
        <w:t>Detection of NR nodes with N77 SSB (band 646600–660000).</w:t>
      </w:r>
    </w:p>
    <w:p>
      <w:pPr>
        <w:pStyle w:val="ListParagraph"/>
        <w:numPr>
          <w:ilvl w:val="0"/>
          <w:numId w:val="28"/>
        </w:numPr>
      </w:pPr>
      <w:r>
        <w:rPr>
          <w:b w:val="0"/>
        </w:rPr>
        <w:t>Classification of NR nodes as LowMidBand / mmWave / mixed.</w:t>
      </w:r>
    </w:p>
    <w:p>
      <w:pPr>
        <w:pStyle w:val="ListParagraph"/>
        <w:numPr>
          <w:ilvl w:val="0"/>
          <w:numId w:val="28"/>
        </w:numPr>
      </w:pPr>
      <w:r>
        <w:rPr>
          <w:b w:val="0"/>
        </w:rPr>
        <w:t>Nodes whose N77 SSBs are fully within allowed PRE or POST lists.</w:t>
      </w:r>
    </w:p>
    <w:p>
      <w:pPr>
        <w:pStyle w:val="ListParagraph"/>
        <w:numPr>
          <w:ilvl w:val="0"/>
          <w:numId w:val="28"/>
        </w:numPr>
      </w:pPr>
      <w:r>
        <w:rPr>
          <w:b w:val="0"/>
        </w:rPr>
        <w:t>Nodes with N77 SSB outside allowed lists.</w:t>
      </w:r>
    </w:p>
    <w:p>
      <w:pPr>
        <w:pStyle w:val="ListParagraph"/>
        <w:numPr>
          <w:ilvl w:val="0"/>
          <w:numId w:val="28"/>
        </w:numPr>
      </w:pPr>
      <w:r>
        <w:rPr>
          <w:b w:val="0"/>
        </w:rPr>
        <w:t>Old/new SSB presence per node (only old, only new, both).</w:t>
      </w:r>
    </w:p>
    <w:p>
      <w:pPr>
        <w:pStyle w:val="ListParagraph"/>
        <w:numPr>
          <w:ilvl w:val="0"/>
          <w:numId w:val="28"/>
        </w:numPr>
      </w:pPr>
      <w:r>
        <w:rPr>
          <w:b w:val="0"/>
        </w:rPr>
        <w:t>Nodes with NRFreqRelationId in an unexpected format (auto-created outside convention).</w:t>
      </w:r>
    </w:p>
    <w:p>
      <w:pPr>
        <w:pStyle w:val="ListParagraph"/>
        <w:numPr>
          <w:ilvl w:val="0"/>
          <w:numId w:val="28"/>
        </w:numPr>
      </w:pPr>
      <w:r>
        <w:rPr>
          <w:b w:val="0"/>
        </w:rPr>
        <w:t>NR relations to old/new SSB.</w:t>
      </w:r>
    </w:p>
    <w:p>
      <w:pPr>
        <w:pStyle w:val="ListParagraph"/>
        <w:numPr>
          <w:ilvl w:val="0"/>
          <w:numId w:val="28"/>
        </w:numPr>
      </w:pPr>
      <w:r>
        <w:rPr>
          <w:b w:val="0"/>
        </w:rPr>
        <w:t>NR externals and termpoints pointing to old/new/unknown.</w:t>
      </w:r>
    </w:p>
    <w:p>
      <w:r>
        <w:rPr>
          <w:b/>
        </w:rPr>
        <w:t>Typical triggering</w:t>
      </w:r>
      <w:r>
        <w:rPr>
          <w:b w:val="0"/>
        </w:rPr>
        <w:t>:</w:t>
      </w:r>
    </w:p>
    <w:p>
      <w:pPr>
        <w:pStyle w:val="ListParagraph"/>
        <w:numPr>
          <w:ilvl w:val="0"/>
          <w:numId w:val="28"/>
        </w:numPr>
      </w:pPr>
      <w:r>
        <w:rPr>
          <w:b w:val="0"/>
        </w:rPr>
        <w:t>Each check is enabled if the table and minimum required columns exist.</w:t>
      </w:r>
    </w:p>
    <w:p>
      <w:pPr>
        <w:pStyle w:val="ListParagraph"/>
        <w:numPr>
          <w:ilvl w:val="0"/>
          <w:numId w:val="28"/>
        </w:numPr>
      </w:pPr>
      <w:r>
        <w:rPr>
          <w:b w:val="0"/>
        </w:rPr>
        <w:t>If columns are missing, a "N/A" status row is added.</w:t>
      </w:r>
    </w:p>
    <w:p>
      <w:pPr>
        <w:pStyle w:val="ListParagraph"/>
        <w:numPr>
          <w:ilvl w:val="0"/>
          <w:numId w:val="28"/>
        </w:numPr>
      </w:pPr>
      <w:r>
        <w:rPr>
          <w:b w:val="0"/>
        </w:rPr>
        <w:t>If the table is empty or not found, an informative row "Table not found or empty" is added.</w:t>
      </w:r>
    </w:p>
    <w:p>
      <w:r>
        <w:rPr>
          <w:b/>
        </w:rPr>
        <w:t>Interpretation</w:t>
      </w:r>
      <w:r>
        <w:rPr>
          <w:b w:val="0"/>
        </w:rPr>
        <w:t>:</w:t>
      </w:r>
    </w:p>
    <w:p>
      <w:pPr>
        <w:pStyle w:val="ListParagraph"/>
        <w:numPr>
          <w:ilvl w:val="0"/>
          <w:numId w:val="28"/>
        </w:numPr>
      </w:pPr>
      <w:r>
        <w:rPr>
          <w:b w:val="0"/>
        </w:rPr>
        <w:t>"Value &gt; 0" in inconsistencies indicates a real deviation that requires investigation.</w:t>
      </w:r>
    </w:p>
    <w:p>
      <w:pPr>
        <w:pStyle w:val="ListParagraph"/>
        <w:numPr>
          <w:ilvl w:val="0"/>
          <w:numId w:val="28"/>
        </w:numPr>
      </w:pPr>
      <w:r>
        <w:rPr>
          <w:b w:val="0"/>
        </w:rPr>
        <w:t>"ExtraInfo" typically lists affected nodes for operational targeting.</w:t>
      </w:r>
    </w:p>
    <w:p>
      <w:r>
        <w:rPr>
          <w:b/>
        </w:rPr>
        <w:t>Complete Checks List</w:t>
      </w:r>
      <w:r>
        <w:rPr>
          <w:b w:val="0"/>
        </w:rPr>
        <w:t>:</w:t>
      </w:r>
    </w:p>
    <w:tbl>
      <w:tblPr>
        <w:tblStyle w:val="TableGrid"/>
        <w:tblW w:type="auto" w:w="0"/>
        <w:tblLook w:firstColumn="1" w:firstRow="1" w:lastColumn="0" w:lastRow="0" w:noHBand="0" w:noVBand="1" w:val="04A0"/>
      </w:tblPr>
      <w:tblGrid>
        <w:gridCol w:w="2168"/>
        <w:gridCol w:w="2168"/>
        <w:gridCol w:w="2168"/>
        <w:gridCol w:w="2168"/>
      </w:tblGrid>
      <w:tr>
        <w:tc>
          <w:tcPr>
            <w:tcW w:type="dxa" w:w="2168"/>
          </w:tcPr>
          <w:p>
            <w:r/>
            <w:r>
              <w:rPr>
                <w:b/>
                <w:sz w:val="18"/>
              </w:rPr>
              <w:t>Category</w:t>
            </w:r>
          </w:p>
        </w:tc>
        <w:tc>
          <w:tcPr>
            <w:tcW w:type="dxa" w:w="2168"/>
          </w:tcPr>
          <w:p>
            <w:r/>
            <w:r>
              <w:rPr>
                <w:b/>
                <w:sz w:val="18"/>
              </w:rPr>
              <w:t>SubCategory</w:t>
            </w:r>
          </w:p>
        </w:tc>
        <w:tc>
          <w:tcPr>
            <w:tcW w:type="dxa" w:w="2168"/>
          </w:tcPr>
          <w:p>
            <w:r/>
            <w:r>
              <w:rPr>
                <w:b/>
                <w:sz w:val="18"/>
              </w:rPr>
              <w:t>Metric</w:t>
            </w:r>
          </w:p>
        </w:tc>
        <w:tc>
          <w:tcPr>
            <w:tcW w:type="dxa" w:w="2168"/>
          </w:tcPr>
          <w:p>
            <w:r/>
            <w:r>
              <w:rPr>
                <w:b/>
                <w:sz w:val="18"/>
              </w:rPr>
              <w:t>Tips</w:t>
            </w:r>
          </w:p>
        </w:tc>
      </w:tr>
      <w:tr>
        <w:tc>
          <w:tcPr>
            <w:tcW w:type="dxa" w:w="2168"/>
          </w:tcPr>
          <w:p>
            <w:r/>
            <w:r>
              <w:rPr>
                <w:b w:val="0"/>
                <w:sz w:val="16"/>
              </w:rPr>
              <w:t>NRCellDU</w:t>
            </w:r>
          </w:p>
        </w:tc>
        <w:tc>
          <w:tcPr>
            <w:tcW w:type="dxa" w:w="2168"/>
          </w:tcPr>
          <w:p>
            <w:r/>
            <w:r>
              <w:rPr>
                <w:b w:val="0"/>
                <w:sz w:val="16"/>
              </w:rPr>
              <w:t>NR Frequency Audit</w:t>
            </w:r>
          </w:p>
        </w:tc>
        <w:tc>
          <w:tcPr>
            <w:tcW w:type="dxa" w:w="2168"/>
          </w:tcPr>
          <w:p>
            <w:r/>
            <w:r>
              <w:rPr>
                <w:b w:val="0"/>
                <w:sz w:val="16"/>
              </w:rPr>
              <w:t>NR Nodes with ssbFrequency</w:t>
            </w:r>
          </w:p>
        </w:tc>
        <w:tc>
          <w:tcPr>
            <w:tcW w:type="dxa" w:w="2168"/>
          </w:tcPr>
          <w:p>
            <w:r/>
          </w:p>
        </w:tc>
      </w:tr>
      <w:tr>
        <w:tc>
          <w:tcPr>
            <w:tcW w:type="dxa" w:w="2168"/>
          </w:tcPr>
          <w:p>
            <w:r/>
            <w:r>
              <w:rPr>
                <w:b w:val="0"/>
                <w:sz w:val="16"/>
              </w:rPr>
              <w:t>NRCellDU</w:t>
            </w:r>
          </w:p>
        </w:tc>
        <w:tc>
          <w:tcPr>
            <w:tcW w:type="dxa" w:w="2168"/>
          </w:tcPr>
          <w:p>
            <w:r/>
            <w:r>
              <w:rPr>
                <w:b w:val="0"/>
                <w:sz w:val="16"/>
              </w:rPr>
              <w:t>NR Frequency Audit</w:t>
            </w:r>
          </w:p>
        </w:tc>
        <w:tc>
          <w:tcPr>
            <w:tcW w:type="dxa" w:w="2168"/>
          </w:tcPr>
          <w:p>
            <w:r/>
            <w:r>
              <w:rPr>
                <w:b w:val="0"/>
                <w:sz w:val="16"/>
              </w:rPr>
              <w:t>NR LowMidBand Nodes</w:t>
            </w:r>
          </w:p>
        </w:tc>
        <w:tc>
          <w:tcPr>
            <w:tcW w:type="dxa" w:w="2168"/>
          </w:tcPr>
          <w:p>
            <w:r/>
          </w:p>
        </w:tc>
      </w:tr>
      <w:tr>
        <w:tc>
          <w:tcPr>
            <w:tcW w:type="dxa" w:w="2168"/>
          </w:tcPr>
          <w:p>
            <w:r/>
            <w:r>
              <w:rPr>
                <w:b w:val="0"/>
                <w:sz w:val="16"/>
              </w:rPr>
              <w:t>NRCellDU</w:t>
            </w:r>
          </w:p>
        </w:tc>
        <w:tc>
          <w:tcPr>
            <w:tcW w:type="dxa" w:w="2168"/>
          </w:tcPr>
          <w:p>
            <w:r/>
            <w:r>
              <w:rPr>
                <w:b w:val="0"/>
                <w:sz w:val="16"/>
              </w:rPr>
              <w:t>NR Frequency Audit</w:t>
            </w:r>
          </w:p>
        </w:tc>
        <w:tc>
          <w:tcPr>
            <w:tcW w:type="dxa" w:w="2168"/>
          </w:tcPr>
          <w:p>
            <w:r/>
            <w:r>
              <w:rPr>
                <w:b w:val="0"/>
                <w:sz w:val="16"/>
              </w:rPr>
              <w:t>NR mmWave Nodes</w:t>
            </w:r>
          </w:p>
        </w:tc>
        <w:tc>
          <w:tcPr>
            <w:tcW w:type="dxa" w:w="2168"/>
          </w:tcPr>
          <w:p>
            <w:r/>
          </w:p>
        </w:tc>
      </w:tr>
      <w:tr>
        <w:tc>
          <w:tcPr>
            <w:tcW w:type="dxa" w:w="2168"/>
          </w:tcPr>
          <w:p>
            <w:r/>
            <w:r>
              <w:rPr>
                <w:b w:val="0"/>
                <w:sz w:val="16"/>
              </w:rPr>
              <w:t>NRCellDU</w:t>
            </w:r>
          </w:p>
        </w:tc>
        <w:tc>
          <w:tcPr>
            <w:tcW w:type="dxa" w:w="2168"/>
          </w:tcPr>
          <w:p>
            <w:r/>
            <w:r>
              <w:rPr>
                <w:b w:val="0"/>
                <w:sz w:val="16"/>
              </w:rPr>
              <w:t>NR Frequency Audit</w:t>
            </w:r>
          </w:p>
        </w:tc>
        <w:tc>
          <w:tcPr>
            <w:tcW w:type="dxa" w:w="2168"/>
          </w:tcPr>
          <w:p>
            <w:r/>
            <w:r>
              <w:rPr>
                <w:b w:val="0"/>
                <w:sz w:val="16"/>
              </w:rPr>
              <w:t>NR nodes with N77 SSB in band (646600-660000)</w:t>
            </w:r>
          </w:p>
        </w:tc>
        <w:tc>
          <w:tcPr>
            <w:tcW w:type="dxa" w:w="2168"/>
          </w:tcPr>
          <w:p>
            <w:r/>
          </w:p>
        </w:tc>
      </w:tr>
      <w:tr>
        <w:tc>
          <w:tcPr>
            <w:tcW w:type="dxa" w:w="2168"/>
          </w:tcPr>
          <w:p>
            <w:r/>
            <w:r>
              <w:rPr>
                <w:b w:val="0"/>
                <w:sz w:val="16"/>
              </w:rPr>
              <w:t>NRCellDU</w:t>
            </w:r>
          </w:p>
        </w:tc>
        <w:tc>
          <w:tcPr>
            <w:tcW w:type="dxa" w:w="2168"/>
          </w:tcPr>
          <w:p>
            <w:r/>
            <w:r>
              <w:rPr>
                <w:b w:val="0"/>
                <w:sz w:val="16"/>
              </w:rPr>
              <w:t>NR Frequency Audit</w:t>
            </w:r>
          </w:p>
        </w:tc>
        <w:tc>
          <w:tcPr>
            <w:tcW w:type="dxa" w:w="2168"/>
          </w:tcPr>
          <w:p>
            <w:r/>
            <w:r>
              <w:rPr>
                <w:b w:val="0"/>
                <w:sz w:val="16"/>
              </w:rPr>
              <w:t>NR nodes with N77 SSB in Pre-Retune allowed list (648672, 653952)</w:t>
            </w:r>
          </w:p>
        </w:tc>
        <w:tc>
          <w:tcPr>
            <w:tcW w:type="dxa" w:w="2168"/>
          </w:tcPr>
          <w:p>
            <w:r/>
            <w:r>
              <w:rPr>
                <w:b w:val="0"/>
                <w:sz w:val="16"/>
              </w:rPr>
              <w:t>Nodes with N77A Step2b pending</w:t>
            </w:r>
          </w:p>
        </w:tc>
      </w:tr>
      <w:tr>
        <w:tc>
          <w:tcPr>
            <w:tcW w:type="dxa" w:w="2168"/>
          </w:tcPr>
          <w:p>
            <w:r/>
            <w:r>
              <w:rPr>
                <w:b w:val="0"/>
                <w:sz w:val="16"/>
              </w:rPr>
              <w:t>NRCellDU</w:t>
            </w:r>
          </w:p>
        </w:tc>
        <w:tc>
          <w:tcPr>
            <w:tcW w:type="dxa" w:w="2168"/>
          </w:tcPr>
          <w:p>
            <w:r/>
            <w:r>
              <w:rPr>
                <w:b w:val="0"/>
                <w:sz w:val="16"/>
              </w:rPr>
              <w:t>NR Frequency Audit</w:t>
            </w:r>
          </w:p>
        </w:tc>
        <w:tc>
          <w:tcPr>
            <w:tcW w:type="dxa" w:w="2168"/>
          </w:tcPr>
          <w:p>
            <w:r/>
            <w:r>
              <w:rPr>
                <w:b w:val="0"/>
                <w:sz w:val="16"/>
              </w:rPr>
              <w:t>NR nodes with N77 SSB in Post-Retune allowed list (647328, 653952)</w:t>
            </w:r>
          </w:p>
        </w:tc>
        <w:tc>
          <w:tcPr>
            <w:tcW w:type="dxa" w:w="2168"/>
          </w:tcPr>
          <w:p>
            <w:r/>
            <w:r>
              <w:rPr>
                <w:b w:val="0"/>
                <w:sz w:val="16"/>
              </w:rPr>
              <w:t>Nodes with N77A Step2b completed</w:t>
            </w:r>
          </w:p>
        </w:tc>
      </w:tr>
      <w:tr>
        <w:tc>
          <w:tcPr>
            <w:tcW w:type="dxa" w:w="2168"/>
          </w:tcPr>
          <w:p>
            <w:r/>
            <w:r>
              <w:rPr>
                <w:b w:val="0"/>
                <w:sz w:val="16"/>
              </w:rPr>
              <w:t>NRCellDU</w:t>
            </w:r>
          </w:p>
        </w:tc>
        <w:tc>
          <w:tcPr>
            <w:tcW w:type="dxa" w:w="2168"/>
          </w:tcPr>
          <w:p>
            <w:r/>
            <w:r>
              <w:rPr>
                <w:b w:val="0"/>
                <w:sz w:val="16"/>
              </w:rPr>
              <w:t>NR Frequency Inconsistencies</w:t>
            </w:r>
          </w:p>
        </w:tc>
        <w:tc>
          <w:tcPr>
            <w:tcW w:type="dxa" w:w="2168"/>
          </w:tcPr>
          <w:p>
            <w:r/>
            <w:r>
              <w:rPr>
                <w:b w:val="0"/>
                <w:sz w:val="16"/>
              </w:rPr>
              <w:t>NR nodes with N77 SSB not in Pre/Post Retune allowed lists</w:t>
            </w:r>
          </w:p>
        </w:tc>
        <w:tc>
          <w:tcPr>
            <w:tcW w:type="dxa" w:w="2168"/>
          </w:tcPr>
          <w:p>
            <w:r/>
            <w:r>
              <w:rPr>
                <w:b w:val="0"/>
                <w:sz w:val="16"/>
              </w:rPr>
              <w:t>These nodes must be checked in preparation phase and confirm if any special action needed</w:t>
            </w:r>
          </w:p>
        </w:tc>
      </w:tr>
      <w:tr>
        <w:tc>
          <w:tcPr>
            <w:tcW w:type="dxa" w:w="2168"/>
          </w:tcPr>
          <w:p>
            <w:r/>
            <w:r>
              <w:rPr>
                <w:b w:val="0"/>
                <w:sz w:val="16"/>
              </w:rPr>
              <w:t>NRSectorCarrier</w:t>
            </w:r>
          </w:p>
        </w:tc>
        <w:tc>
          <w:tcPr>
            <w:tcW w:type="dxa" w:w="2168"/>
          </w:tcPr>
          <w:p>
            <w:r/>
            <w:r>
              <w:rPr>
                <w:b w:val="0"/>
                <w:sz w:val="16"/>
              </w:rPr>
              <w:t>NR Frequency Audit</w:t>
            </w:r>
          </w:p>
        </w:tc>
        <w:tc>
          <w:tcPr>
            <w:tcW w:type="dxa" w:w="2168"/>
          </w:tcPr>
          <w:p>
            <w:r/>
            <w:r>
              <w:rPr>
                <w:b w:val="0"/>
                <w:sz w:val="16"/>
              </w:rPr>
              <w:t>NR nodes with N77 ARCFN in band (646600-660000)</w:t>
            </w:r>
          </w:p>
        </w:tc>
        <w:tc>
          <w:tcPr>
            <w:tcW w:type="dxa" w:w="2168"/>
          </w:tcPr>
          <w:p>
            <w:r/>
          </w:p>
        </w:tc>
      </w:tr>
      <w:tr>
        <w:tc>
          <w:tcPr>
            <w:tcW w:type="dxa" w:w="2168"/>
          </w:tcPr>
          <w:p>
            <w:r/>
            <w:r>
              <w:rPr>
                <w:b w:val="0"/>
                <w:sz w:val="16"/>
              </w:rPr>
              <w:t>NRSectorCarrier</w:t>
            </w:r>
          </w:p>
        </w:tc>
        <w:tc>
          <w:tcPr>
            <w:tcW w:type="dxa" w:w="2168"/>
          </w:tcPr>
          <w:p>
            <w:r/>
            <w:r>
              <w:rPr>
                <w:b w:val="0"/>
                <w:sz w:val="16"/>
              </w:rPr>
              <w:t>NR Frequency Audit</w:t>
            </w:r>
          </w:p>
        </w:tc>
        <w:tc>
          <w:tcPr>
            <w:tcW w:type="dxa" w:w="2168"/>
          </w:tcPr>
          <w:p>
            <w:r/>
            <w:r>
              <w:rPr>
                <w:b w:val="0"/>
                <w:sz w:val="16"/>
              </w:rPr>
              <w:t>NR nodes with N77 ARCFN in Pre-Retune allowed list (650006, 654652, 655324, 655984, 656656)</w:t>
            </w:r>
          </w:p>
        </w:tc>
        <w:tc>
          <w:tcPr>
            <w:tcW w:type="dxa" w:w="2168"/>
          </w:tcPr>
          <w:p>
            <w:r/>
            <w:r>
              <w:rPr>
                <w:b w:val="0"/>
                <w:sz w:val="16"/>
              </w:rPr>
              <w:t>Nodes with N77B Step2b pending</w:t>
            </w:r>
          </w:p>
        </w:tc>
      </w:tr>
      <w:tr>
        <w:tc>
          <w:tcPr>
            <w:tcW w:type="dxa" w:w="2168"/>
          </w:tcPr>
          <w:p>
            <w:r/>
            <w:r>
              <w:rPr>
                <w:b w:val="0"/>
                <w:sz w:val="16"/>
              </w:rPr>
              <w:t>NRSectorCarrier</w:t>
            </w:r>
          </w:p>
        </w:tc>
        <w:tc>
          <w:tcPr>
            <w:tcW w:type="dxa" w:w="2168"/>
          </w:tcPr>
          <w:p>
            <w:r/>
            <w:r>
              <w:rPr>
                <w:b w:val="0"/>
                <w:sz w:val="16"/>
              </w:rPr>
              <w:t>NR Frequency Audit</w:t>
            </w:r>
          </w:p>
        </w:tc>
        <w:tc>
          <w:tcPr>
            <w:tcW w:type="dxa" w:w="2168"/>
          </w:tcPr>
          <w:p>
            <w:r/>
            <w:r>
              <w:rPr>
                <w:b w:val="0"/>
                <w:sz w:val="16"/>
              </w:rPr>
              <w:t>NR nodes with N77 ARCFN in Post-Retune allowed list (650006, 654648, 655320, 655980, 656652)</w:t>
            </w:r>
          </w:p>
        </w:tc>
        <w:tc>
          <w:tcPr>
            <w:tcW w:type="dxa" w:w="2168"/>
          </w:tcPr>
          <w:p>
            <w:r/>
            <w:r>
              <w:rPr>
                <w:b w:val="0"/>
                <w:sz w:val="16"/>
              </w:rPr>
              <w:t>Nodes with NttB Step2b completed</w:t>
            </w:r>
          </w:p>
        </w:tc>
      </w:tr>
      <w:tr>
        <w:tc>
          <w:tcPr>
            <w:tcW w:type="dxa" w:w="2168"/>
          </w:tcPr>
          <w:p>
            <w:r/>
            <w:r>
              <w:rPr>
                <w:b w:val="0"/>
                <w:sz w:val="16"/>
              </w:rPr>
              <w:t>NRSectorCarrier</w:t>
            </w:r>
          </w:p>
        </w:tc>
        <w:tc>
          <w:tcPr>
            <w:tcW w:type="dxa" w:w="2168"/>
          </w:tcPr>
          <w:p>
            <w:r/>
            <w:r>
              <w:rPr>
                <w:b w:val="0"/>
                <w:sz w:val="16"/>
              </w:rPr>
              <w:t>NR Frequency Inconsistencies</w:t>
            </w:r>
          </w:p>
        </w:tc>
        <w:tc>
          <w:tcPr>
            <w:tcW w:type="dxa" w:w="2168"/>
          </w:tcPr>
          <w:p>
            <w:r/>
            <w:r>
              <w:rPr>
                <w:b w:val="0"/>
                <w:sz w:val="16"/>
              </w:rPr>
              <w:t>NR nodes with N77 ARCFN not in Pre/Post Retune allowed lists</w:t>
            </w:r>
          </w:p>
        </w:tc>
        <w:tc>
          <w:tcPr>
            <w:tcW w:type="dxa" w:w="2168"/>
          </w:tcPr>
          <w:p>
            <w:r/>
            <w:r>
              <w:rPr>
                <w:b w:val="0"/>
                <w:sz w:val="16"/>
              </w:rPr>
              <w:t>These nodes must be checked in preparation phase and confirm if any special action needed</w:t>
            </w:r>
          </w:p>
        </w:tc>
      </w:tr>
      <w:tr>
        <w:tc>
          <w:tcPr>
            <w:tcW w:type="dxa" w:w="2168"/>
          </w:tcPr>
          <w:p>
            <w:r/>
            <w:r>
              <w:rPr>
                <w:b w:val="0"/>
                <w:sz w:val="16"/>
              </w:rPr>
              <w:t>NRFreqRelation</w:t>
            </w:r>
          </w:p>
        </w:tc>
        <w:tc>
          <w:tcPr>
            <w:tcW w:type="dxa" w:w="2168"/>
          </w:tcPr>
          <w:p>
            <w:r/>
            <w:r>
              <w:rPr>
                <w:b w:val="0"/>
                <w:sz w:val="16"/>
              </w:rPr>
              <w:t>NR Frequency Audit</w:t>
            </w:r>
          </w:p>
        </w:tc>
        <w:tc>
          <w:tcPr>
            <w:tcW w:type="dxa" w:w="2168"/>
          </w:tcPr>
          <w:p>
            <w:r/>
            <w:r>
              <w:rPr>
                <w:b w:val="0"/>
                <w:sz w:val="16"/>
              </w:rPr>
              <w:t>NR nodes with the old N77 SSB (648672)</w:t>
            </w:r>
          </w:p>
        </w:tc>
        <w:tc>
          <w:tcPr>
            <w:tcW w:type="dxa" w:w="2168"/>
          </w:tcPr>
          <w:p>
            <w:r/>
          </w:p>
        </w:tc>
      </w:tr>
      <w:tr>
        <w:tc>
          <w:tcPr>
            <w:tcW w:type="dxa" w:w="2168"/>
          </w:tcPr>
          <w:p>
            <w:r/>
            <w:r>
              <w:rPr>
                <w:b w:val="0"/>
                <w:sz w:val="16"/>
              </w:rPr>
              <w:t>NRFreqRelation</w:t>
            </w:r>
          </w:p>
        </w:tc>
        <w:tc>
          <w:tcPr>
            <w:tcW w:type="dxa" w:w="2168"/>
          </w:tcPr>
          <w:p>
            <w:r/>
            <w:r>
              <w:rPr>
                <w:b w:val="0"/>
                <w:sz w:val="16"/>
              </w:rPr>
              <w:t>NR Frequency Audit</w:t>
            </w:r>
          </w:p>
        </w:tc>
        <w:tc>
          <w:tcPr>
            <w:tcW w:type="dxa" w:w="2168"/>
          </w:tcPr>
          <w:p>
            <w:r/>
            <w:r>
              <w:rPr>
                <w:b w:val="0"/>
                <w:sz w:val="16"/>
              </w:rPr>
              <w:t>NR nodes with the new N77 SSB (647328)</w:t>
            </w:r>
          </w:p>
        </w:tc>
        <w:tc>
          <w:tcPr>
            <w:tcW w:type="dxa" w:w="2168"/>
          </w:tcPr>
          <w:p>
            <w:r/>
          </w:p>
        </w:tc>
      </w:tr>
      <w:tr>
        <w:tc>
          <w:tcPr>
            <w:tcW w:type="dxa" w:w="2168"/>
          </w:tcPr>
          <w:p>
            <w:r/>
            <w:r>
              <w:rPr>
                <w:b w:val="0"/>
                <w:sz w:val="16"/>
              </w:rPr>
              <w:t>NRFreqRelation</w:t>
            </w:r>
          </w:p>
        </w:tc>
        <w:tc>
          <w:tcPr>
            <w:tcW w:type="dxa" w:w="2168"/>
          </w:tcPr>
          <w:p>
            <w:r/>
            <w:r>
              <w:rPr>
                <w:b w:val="0"/>
                <w:sz w:val="16"/>
              </w:rPr>
              <w:t>NR Frequency Audit</w:t>
            </w:r>
          </w:p>
        </w:tc>
        <w:tc>
          <w:tcPr>
            <w:tcW w:type="dxa" w:w="2168"/>
          </w:tcPr>
          <w:p>
            <w:r/>
            <w:r>
              <w:rPr>
                <w:b w:val="0"/>
                <w:sz w:val="16"/>
              </w:rPr>
              <w:t>NR nodes with both, the old N77 SSB (648672) and the new N77 SSB (647328)</w:t>
            </w:r>
          </w:p>
        </w:tc>
        <w:tc>
          <w:tcPr>
            <w:tcW w:type="dxa" w:w="2168"/>
          </w:tcPr>
          <w:p>
            <w:r/>
            <w:r>
              <w:rPr>
                <w:b w:val="0"/>
                <w:sz w:val="16"/>
              </w:rPr>
              <w:t>Need to run Step1 on these nodes</w:t>
            </w:r>
          </w:p>
        </w:tc>
      </w:tr>
      <w:tr>
        <w:tc>
          <w:tcPr>
            <w:tcW w:type="dxa" w:w="2168"/>
          </w:tcPr>
          <w:p>
            <w:r/>
            <w:r>
              <w:rPr>
                <w:b w:val="0"/>
                <w:sz w:val="16"/>
              </w:rPr>
              <w:t>NRFreqRelation</w:t>
            </w:r>
          </w:p>
        </w:tc>
        <w:tc>
          <w:tcPr>
            <w:tcW w:type="dxa" w:w="2168"/>
          </w:tcPr>
          <w:p>
            <w:r/>
            <w:r>
              <w:rPr>
                <w:b w:val="0"/>
                <w:sz w:val="16"/>
              </w:rPr>
              <w:t>NR Frequency Audit</w:t>
            </w:r>
          </w:p>
        </w:tc>
        <w:tc>
          <w:tcPr>
            <w:tcW w:type="dxa" w:w="2168"/>
          </w:tcPr>
          <w:p>
            <w:r/>
            <w:r>
              <w:rPr>
                <w:b w:val="0"/>
                <w:sz w:val="16"/>
              </w:rPr>
              <w:t>NR nodes with the old N77 SSB (648672) but without the new N77 SSB (647328)</w:t>
            </w:r>
          </w:p>
        </w:tc>
        <w:tc>
          <w:tcPr>
            <w:tcW w:type="dxa" w:w="2168"/>
          </w:tcPr>
          <w:p>
            <w:r/>
            <w:r>
              <w:rPr>
                <w:b w:val="0"/>
                <w:sz w:val="16"/>
              </w:rPr>
              <w:t>Need to run Step1 on these nodes</w:t>
            </w:r>
          </w:p>
        </w:tc>
      </w:tr>
      <w:tr>
        <w:tc>
          <w:tcPr>
            <w:tcW w:type="dxa" w:w="2168"/>
          </w:tcPr>
          <w:p>
            <w:r/>
            <w:r>
              <w:rPr>
                <w:b w:val="0"/>
                <w:sz w:val="16"/>
              </w:rPr>
              <w:t>NRFreqRelation</w:t>
            </w:r>
          </w:p>
        </w:tc>
        <w:tc>
          <w:tcPr>
            <w:tcW w:type="dxa" w:w="2168"/>
          </w:tcPr>
          <w:p>
            <w:r/>
            <w:r>
              <w:rPr>
                <w:b w:val="0"/>
                <w:sz w:val="16"/>
              </w:rPr>
              <w:t>NR Frequency Audit</w:t>
            </w:r>
          </w:p>
        </w:tc>
        <w:tc>
          <w:tcPr>
            <w:tcW w:type="dxa" w:w="2168"/>
          </w:tcPr>
          <w:p>
            <w:r/>
            <w:r>
              <w:rPr>
                <w:b w:val="0"/>
                <w:sz w:val="16"/>
              </w:rPr>
              <w:t>NR nodes with some cells missing relations to new SSB (647328)</w:t>
            </w:r>
          </w:p>
        </w:tc>
        <w:tc>
          <w:tcPr>
            <w:tcW w:type="dxa" w:w="2168"/>
          </w:tcPr>
          <w:p>
            <w:r/>
            <w:r>
              <w:rPr>
                <w:b w:val="0"/>
                <w:sz w:val="16"/>
              </w:rPr>
              <w:t>Nodes with any relations Step1 pending</w:t>
            </w:r>
          </w:p>
        </w:tc>
      </w:tr>
      <w:tr>
        <w:tc>
          <w:tcPr>
            <w:tcW w:type="dxa" w:w="2168"/>
          </w:tcPr>
          <w:p>
            <w:r/>
            <w:r>
              <w:rPr>
                <w:b w:val="0"/>
                <w:sz w:val="16"/>
              </w:rPr>
              <w:t>NRFreqRelation</w:t>
            </w:r>
          </w:p>
        </w:tc>
        <w:tc>
          <w:tcPr>
            <w:tcW w:type="dxa" w:w="2168"/>
          </w:tcPr>
          <w:p>
            <w:r/>
            <w:r>
              <w:rPr>
                <w:b w:val="0"/>
                <w:sz w:val="16"/>
              </w:rPr>
              <w:t>NR Frequency Audit</w:t>
            </w:r>
          </w:p>
        </w:tc>
        <w:tc>
          <w:tcPr>
            <w:tcW w:type="dxa" w:w="2168"/>
          </w:tcPr>
          <w:p>
            <w:r/>
            <w:r>
              <w:rPr>
                <w:b w:val="0"/>
                <w:sz w:val="16"/>
              </w:rPr>
              <w:t>NR nodes with the new N77 SSB (647328) NRFreqRelation pointing to mcpcPCellNrFreqRelProfileRef containing new SSB name (cloned) or Other</w:t>
            </w:r>
          </w:p>
        </w:tc>
        <w:tc>
          <w:tcPr>
            <w:tcW w:type="dxa" w:w="2168"/>
          </w:tcPr>
          <w:p>
            <w:r/>
            <w:r>
              <w:rPr>
                <w:b w:val="0"/>
                <w:sz w:val="16"/>
              </w:rPr>
              <w:t>Nodes with Step1 completed</w:t>
            </w:r>
          </w:p>
        </w:tc>
      </w:tr>
      <w:tr>
        <w:tc>
          <w:tcPr>
            <w:tcW w:type="dxa" w:w="2168"/>
          </w:tcPr>
          <w:p>
            <w:r/>
            <w:r>
              <w:rPr>
                <w:b w:val="0"/>
                <w:sz w:val="16"/>
              </w:rPr>
              <w:t>NRFreqRelation</w:t>
            </w:r>
          </w:p>
        </w:tc>
        <w:tc>
          <w:tcPr>
            <w:tcW w:type="dxa" w:w="2168"/>
          </w:tcPr>
          <w:p>
            <w:r/>
            <w:r>
              <w:rPr>
                <w:b w:val="0"/>
                <w:sz w:val="16"/>
              </w:rPr>
              <w:t>NR Frequency Inconsistencies</w:t>
            </w:r>
          </w:p>
        </w:tc>
        <w:tc>
          <w:tcPr>
            <w:tcW w:type="dxa" w:w="2168"/>
          </w:tcPr>
          <w:p>
            <w:r/>
            <w:r>
              <w:rPr>
                <w:b w:val="0"/>
                <w:sz w:val="16"/>
              </w:rPr>
              <w:t>NR nodes with the N77 SSB not in (648672, 647328)</w:t>
            </w:r>
          </w:p>
        </w:tc>
        <w:tc>
          <w:tcPr>
            <w:tcW w:type="dxa" w:w="2168"/>
          </w:tcPr>
          <w:p>
            <w:r/>
          </w:p>
        </w:tc>
      </w:tr>
      <w:tr>
        <w:tc>
          <w:tcPr>
            <w:tcW w:type="dxa" w:w="2168"/>
          </w:tcPr>
          <w:p>
            <w:r/>
            <w:r>
              <w:rPr>
                <w:b w:val="0"/>
                <w:sz w:val="16"/>
              </w:rPr>
              <w:t>NRFreqRelation</w:t>
            </w:r>
          </w:p>
        </w:tc>
        <w:tc>
          <w:tcPr>
            <w:tcW w:type="dxa" w:w="2168"/>
          </w:tcPr>
          <w:p>
            <w:r/>
            <w:r>
              <w:rPr>
                <w:b w:val="0"/>
                <w:sz w:val="16"/>
              </w:rPr>
              <w:t>NR Frequency Inconsistencies</w:t>
            </w:r>
          </w:p>
        </w:tc>
        <w:tc>
          <w:tcPr>
            <w:tcW w:type="dxa" w:w="2168"/>
          </w:tcPr>
          <w:p>
            <w:r/>
            <w:r>
              <w:rPr>
                <w:b w:val="0"/>
                <w:sz w:val="16"/>
              </w:rPr>
              <w:t>NR nodes with Auto-created NRFreqRelationId to new N77 SSB (647328) but not following VZ naming convention (e.g. with extra characters: "auto_647328")</w:t>
            </w:r>
          </w:p>
        </w:tc>
        <w:tc>
          <w:tcPr>
            <w:tcW w:type="dxa" w:w="2168"/>
          </w:tcPr>
          <w:p>
            <w:r/>
          </w:p>
        </w:tc>
      </w:tr>
      <w:tr>
        <w:tc>
          <w:tcPr>
            <w:tcW w:type="dxa" w:w="2168"/>
          </w:tcPr>
          <w:p>
            <w:r/>
            <w:r>
              <w:rPr>
                <w:b w:val="0"/>
                <w:sz w:val="16"/>
              </w:rPr>
              <w:t>NRFreqRelation</w:t>
            </w:r>
          </w:p>
        </w:tc>
        <w:tc>
          <w:tcPr>
            <w:tcW w:type="dxa" w:w="2168"/>
          </w:tcPr>
          <w:p>
            <w:r/>
            <w:r>
              <w:rPr>
                <w:b w:val="0"/>
                <w:sz w:val="16"/>
              </w:rPr>
              <w:t>NR Frequency Inconsistencies</w:t>
            </w:r>
          </w:p>
        </w:tc>
        <w:tc>
          <w:tcPr>
            <w:tcW w:type="dxa" w:w="2168"/>
          </w:tcPr>
          <w:p>
            <w:r/>
            <w:r>
              <w:rPr>
                <w:b w:val="0"/>
                <w:sz w:val="16"/>
              </w:rPr>
              <w:t>NR Nodes with the new N77 SSB (647328) and NRFreqRelation reference to McpcPCellNrFreqRelProfile with old SSB before "_" (648672_xxxx)</w:t>
            </w:r>
          </w:p>
        </w:tc>
        <w:tc>
          <w:tcPr>
            <w:tcW w:type="dxa" w:w="2168"/>
          </w:tcPr>
          <w:p>
            <w:r/>
            <w:r>
              <w:rPr>
                <w:b w:val="0"/>
                <w:sz w:val="16"/>
              </w:rPr>
              <w:t>Need to review Step2b execution</w:t>
            </w:r>
          </w:p>
        </w:tc>
      </w:tr>
      <w:tr>
        <w:tc>
          <w:tcPr>
            <w:tcW w:type="dxa" w:w="2168"/>
          </w:tcPr>
          <w:p>
            <w:r/>
            <w:r>
              <w:rPr>
                <w:b w:val="0"/>
                <w:sz w:val="16"/>
              </w:rPr>
              <w:t>NRFreqRelation</w:t>
            </w:r>
          </w:p>
        </w:tc>
        <w:tc>
          <w:tcPr>
            <w:tcW w:type="dxa" w:w="2168"/>
          </w:tcPr>
          <w:p>
            <w:r/>
            <w:r>
              <w:rPr>
                <w:b w:val="0"/>
                <w:sz w:val="16"/>
              </w:rPr>
              <w:t>NR Frequency Inconsistencies</w:t>
            </w:r>
          </w:p>
        </w:tc>
        <w:tc>
          <w:tcPr>
            <w:tcW w:type="dxa" w:w="2168"/>
          </w:tcPr>
          <w:p>
            <w:r/>
            <w:r>
              <w:rPr>
                <w:b w:val="0"/>
                <w:sz w:val="16"/>
              </w:rPr>
              <w:t>NR nodes with the old N77 SSB (648672) and the new SSB (647328) NRFreqRelation pointing to same mcpcPCellNrFreqRelProfileRef containing old SSB name</w:t>
            </w:r>
          </w:p>
        </w:tc>
        <w:tc>
          <w:tcPr>
            <w:tcW w:type="dxa" w:w="2168"/>
          </w:tcPr>
          <w:p>
            <w:r/>
            <w:r>
              <w:rPr>
                <w:b w:val="0"/>
                <w:sz w:val="16"/>
              </w:rPr>
              <w:t>Need to run Step1 on these nodes</w:t>
            </w:r>
          </w:p>
        </w:tc>
      </w:tr>
      <w:tr>
        <w:tc>
          <w:tcPr>
            <w:tcW w:type="dxa" w:w="2168"/>
          </w:tcPr>
          <w:p>
            <w:r/>
            <w:r>
              <w:rPr>
                <w:b w:val="0"/>
                <w:sz w:val="16"/>
              </w:rPr>
              <w:t>NRFreqRelation</w:t>
            </w:r>
          </w:p>
        </w:tc>
        <w:tc>
          <w:tcPr>
            <w:tcW w:type="dxa" w:w="2168"/>
          </w:tcPr>
          <w:p>
            <w:r/>
            <w:r>
              <w:rPr>
                <w:b w:val="0"/>
                <w:sz w:val="16"/>
              </w:rPr>
              <w:t>NR Frequency Inconsistencies</w:t>
            </w:r>
          </w:p>
        </w:tc>
        <w:tc>
          <w:tcPr>
            <w:tcW w:type="dxa" w:w="2168"/>
          </w:tcPr>
          <w:p>
            <w:r/>
            <w:r>
              <w:rPr>
                <w:b w:val="0"/>
                <w:sz w:val="16"/>
              </w:rPr>
              <w:t>NR nodes with mismatching params (cell-level) between old N77 SSB (648672) and the new N77 SSB (647328)</w:t>
            </w:r>
          </w:p>
        </w:tc>
        <w:tc>
          <w:tcPr>
            <w:tcW w:type="dxa" w:w="2168"/>
          </w:tcPr>
          <w:p>
            <w:r/>
            <w:r>
              <w:rPr>
                <w:b w:val="0"/>
                <w:sz w:val="16"/>
              </w:rPr>
              <w:t>Need to review. Step1 run could solve most cases</w:t>
            </w:r>
          </w:p>
        </w:tc>
      </w:tr>
      <w:tr>
        <w:tc>
          <w:tcPr>
            <w:tcW w:type="dxa" w:w="2168"/>
          </w:tcPr>
          <w:p>
            <w:r/>
            <w:r>
              <w:rPr>
                <w:b w:val="0"/>
                <w:sz w:val="16"/>
              </w:rPr>
              <w:t>NRCellRelation</w:t>
            </w:r>
          </w:p>
        </w:tc>
        <w:tc>
          <w:tcPr>
            <w:tcW w:type="dxa" w:w="2168"/>
          </w:tcPr>
          <w:p>
            <w:r/>
            <w:r>
              <w:rPr>
                <w:b w:val="0"/>
                <w:sz w:val="16"/>
              </w:rPr>
              <w:t>NR Frequency Audit</w:t>
            </w:r>
          </w:p>
        </w:tc>
        <w:tc>
          <w:tcPr>
            <w:tcW w:type="dxa" w:w="2168"/>
          </w:tcPr>
          <w:p>
            <w:r/>
            <w:r>
              <w:rPr>
                <w:b w:val="0"/>
                <w:sz w:val="16"/>
              </w:rPr>
              <w:t>NR cellRelations to old N77 SSB (648672)</w:t>
            </w:r>
          </w:p>
        </w:tc>
        <w:tc>
          <w:tcPr>
            <w:tcW w:type="dxa" w:w="2168"/>
          </w:tcPr>
          <w:p>
            <w:r/>
            <w:r>
              <w:rPr>
                <w:b w:val="0"/>
                <w:sz w:val="16"/>
              </w:rPr>
              <w:t>Post Step2 some relations pointing to other Mkts could be on old SSB. See details in table</w:t>
            </w:r>
          </w:p>
        </w:tc>
      </w:tr>
      <w:tr>
        <w:tc>
          <w:tcPr>
            <w:tcW w:type="dxa" w:w="2168"/>
          </w:tcPr>
          <w:p>
            <w:r/>
            <w:r>
              <w:rPr>
                <w:b w:val="0"/>
                <w:sz w:val="16"/>
              </w:rPr>
              <w:t>NRCellRelation</w:t>
            </w:r>
          </w:p>
        </w:tc>
        <w:tc>
          <w:tcPr>
            <w:tcW w:type="dxa" w:w="2168"/>
          </w:tcPr>
          <w:p>
            <w:r/>
            <w:r>
              <w:rPr>
                <w:b w:val="0"/>
                <w:sz w:val="16"/>
              </w:rPr>
              <w:t>NR Frequency Audit</w:t>
            </w:r>
          </w:p>
        </w:tc>
        <w:tc>
          <w:tcPr>
            <w:tcW w:type="dxa" w:w="2168"/>
          </w:tcPr>
          <w:p>
            <w:r/>
            <w:r>
              <w:rPr>
                <w:b w:val="0"/>
                <w:sz w:val="16"/>
              </w:rPr>
              <w:t>NR cellRelations to new N77 SSB (647328)</w:t>
            </w:r>
          </w:p>
        </w:tc>
        <w:tc>
          <w:tcPr>
            <w:tcW w:type="dxa" w:w="2168"/>
          </w:tcPr>
          <w:p>
            <w:r/>
          </w:p>
        </w:tc>
      </w:tr>
      <w:tr>
        <w:tc>
          <w:tcPr>
            <w:tcW w:type="dxa" w:w="2168"/>
          </w:tcPr>
          <w:p>
            <w:r/>
            <w:r>
              <w:rPr>
                <w:b w:val="0"/>
                <w:sz w:val="16"/>
              </w:rPr>
              <w:t>ExternalNRCellCU</w:t>
            </w:r>
          </w:p>
        </w:tc>
        <w:tc>
          <w:tcPr>
            <w:tcW w:type="dxa" w:w="2168"/>
          </w:tcPr>
          <w:p>
            <w:r/>
            <w:r>
              <w:rPr>
                <w:b w:val="0"/>
                <w:sz w:val="16"/>
              </w:rPr>
              <w:t>NR Frequency Audit</w:t>
            </w:r>
          </w:p>
        </w:tc>
        <w:tc>
          <w:tcPr>
            <w:tcW w:type="dxa" w:w="2168"/>
          </w:tcPr>
          <w:p>
            <w:r/>
            <w:r>
              <w:rPr>
                <w:b w:val="0"/>
                <w:sz w:val="16"/>
              </w:rPr>
              <w:t>External cells to old N77 SSB (648672)</w:t>
            </w:r>
          </w:p>
        </w:tc>
        <w:tc>
          <w:tcPr>
            <w:tcW w:type="dxa" w:w="2168"/>
          </w:tcPr>
          <w:p>
            <w:r/>
            <w:r>
              <w:rPr>
                <w:b w:val="0"/>
                <w:sz w:val="16"/>
              </w:rPr>
              <w:t>PN and DAS might have no External relations defined</w:t>
            </w:r>
          </w:p>
        </w:tc>
      </w:tr>
      <w:tr>
        <w:tc>
          <w:tcPr>
            <w:tcW w:type="dxa" w:w="2168"/>
          </w:tcPr>
          <w:p>
            <w:r/>
            <w:r>
              <w:rPr>
                <w:b w:val="0"/>
                <w:sz w:val="16"/>
              </w:rPr>
              <w:t>ExternalNRCellCU</w:t>
            </w:r>
          </w:p>
        </w:tc>
        <w:tc>
          <w:tcPr>
            <w:tcW w:type="dxa" w:w="2168"/>
          </w:tcPr>
          <w:p>
            <w:r/>
            <w:r>
              <w:rPr>
                <w:b w:val="0"/>
                <w:sz w:val="16"/>
              </w:rPr>
              <w:t>NR Frequency Audit</w:t>
            </w:r>
          </w:p>
        </w:tc>
        <w:tc>
          <w:tcPr>
            <w:tcW w:type="dxa" w:w="2168"/>
          </w:tcPr>
          <w:p>
            <w:r/>
            <w:r>
              <w:rPr>
                <w:b w:val="0"/>
                <w:sz w:val="16"/>
              </w:rPr>
              <w:t>External cells to new N77 SSB (647328)</w:t>
            </w:r>
          </w:p>
        </w:tc>
        <w:tc>
          <w:tcPr>
            <w:tcW w:type="dxa" w:w="2168"/>
          </w:tcPr>
          <w:p>
            <w:r/>
            <w:r>
              <w:rPr>
                <w:b w:val="0"/>
                <w:sz w:val="16"/>
              </w:rPr>
              <w:t>PN and DAS might have no External relations defined</w:t>
            </w:r>
          </w:p>
        </w:tc>
      </w:tr>
    </w:tbl>
    <w:p>
      <w:pPr>
        <w:pStyle w:val="Heading2"/>
      </w:pPr>
      <w:r>
        <w:t>LTE Frequency Audit / LTE Frequency Inconsistencies</w:t>
      </w:r>
    </w:p>
    <w:p>
      <w:r>
        <w:rPr>
          <w:b/>
        </w:rPr>
        <w:t>Source tables</w:t>
      </w:r>
      <w:r>
        <w:rPr>
          <w:b w:val="0"/>
        </w:rPr>
        <w:t>: "GUtranSyncSignalFrequency", "GUtranFreqRelation", "GUtranCellRelation", "ExternalGUtranCell", "TermPointToENodeB".</w:t>
      </w:r>
    </w:p>
    <w:p>
      <w:r>
        <w:rPr>
          <w:b w:val="0"/>
        </w:rPr>
        <w:t>Main checks:</w:t>
      </w:r>
    </w:p>
    <w:p>
      <w:pPr>
        <w:pStyle w:val="ListParagraph"/>
        <w:numPr>
          <w:ilvl w:val="0"/>
          <w:numId w:val="28"/>
        </w:numPr>
      </w:pPr>
      <w:r>
        <w:rPr>
          <w:b w:val="0"/>
        </w:rPr>
        <w:t>LTE nodes with old/new SSB.</w:t>
      </w:r>
    </w:p>
    <w:p>
      <w:pPr>
        <w:pStyle w:val="ListParagraph"/>
        <w:numPr>
          <w:ilvl w:val="0"/>
          <w:numId w:val="28"/>
        </w:numPr>
      </w:pPr>
      <w:r>
        <w:rPr>
          <w:b w:val="0"/>
        </w:rPr>
        <w:t>Nodes with both old/new or old without new.</w:t>
      </w:r>
    </w:p>
    <w:p>
      <w:pPr>
        <w:pStyle w:val="ListParagraph"/>
        <w:numPr>
          <w:ilvl w:val="0"/>
          <w:numId w:val="28"/>
        </w:numPr>
      </w:pPr>
      <w:r>
        <w:rPr>
          <w:b w:val="0"/>
        </w:rPr>
        <w:t>SSB outside the expected pre/post set.</w:t>
      </w:r>
    </w:p>
    <w:p>
      <w:pPr>
        <w:pStyle w:val="ListParagraph"/>
        <w:numPr>
          <w:ilvl w:val="0"/>
          <w:numId w:val="28"/>
        </w:numPr>
      </w:pPr>
      <w:r>
        <w:rPr>
          <w:b w:val="0"/>
        </w:rPr>
        <w:t>LTE relations to old/new and parameter discrepancies per cell relation.</w:t>
      </w:r>
    </w:p>
    <w:p>
      <w:pPr>
        <w:pStyle w:val="ListParagraph"/>
        <w:numPr>
          <w:ilvl w:val="0"/>
          <w:numId w:val="28"/>
        </w:numPr>
      </w:pPr>
      <w:r>
        <w:rPr>
          <w:b w:val="0"/>
        </w:rPr>
        <w:t>LTE externals OUT_OF_SERVICE for old/new.</w:t>
      </w:r>
    </w:p>
    <w:p>
      <w:r>
        <w:rPr>
          <w:b/>
        </w:rPr>
        <w:t>Complete Checks List</w:t>
      </w:r>
      <w:r>
        <w:rPr>
          <w:b w:val="0"/>
        </w:rPr>
        <w:t>:</w:t>
      </w:r>
    </w:p>
    <w:tbl>
      <w:tblPr>
        <w:tblStyle w:val="TableGrid"/>
        <w:tblW w:type="auto" w:w="0"/>
        <w:tblLook w:firstColumn="1" w:firstRow="1" w:lastColumn="0" w:lastRow="0" w:noHBand="0" w:noVBand="1" w:val="04A0"/>
      </w:tblPr>
      <w:tblGrid>
        <w:gridCol w:w="2168"/>
        <w:gridCol w:w="2168"/>
        <w:gridCol w:w="2168"/>
        <w:gridCol w:w="2168"/>
      </w:tblGrid>
      <w:tr>
        <w:tc>
          <w:tcPr>
            <w:tcW w:type="dxa" w:w="2168"/>
          </w:tcPr>
          <w:p>
            <w:r/>
            <w:r>
              <w:rPr>
                <w:b/>
                <w:sz w:val="18"/>
              </w:rPr>
              <w:t>Category</w:t>
            </w:r>
          </w:p>
        </w:tc>
        <w:tc>
          <w:tcPr>
            <w:tcW w:type="dxa" w:w="2168"/>
          </w:tcPr>
          <w:p>
            <w:r/>
            <w:r>
              <w:rPr>
                <w:b/>
                <w:sz w:val="18"/>
              </w:rPr>
              <w:t>SubCategory</w:t>
            </w:r>
          </w:p>
        </w:tc>
        <w:tc>
          <w:tcPr>
            <w:tcW w:type="dxa" w:w="2168"/>
          </w:tcPr>
          <w:p>
            <w:r/>
            <w:r>
              <w:rPr>
                <w:b/>
                <w:sz w:val="18"/>
              </w:rPr>
              <w:t>Metric</w:t>
            </w:r>
          </w:p>
        </w:tc>
        <w:tc>
          <w:tcPr>
            <w:tcW w:type="dxa" w:w="2168"/>
          </w:tcPr>
          <w:p>
            <w:r/>
            <w:r>
              <w:rPr>
                <w:b/>
                <w:sz w:val="18"/>
              </w:rPr>
              <w:t>Tips</w:t>
            </w:r>
          </w:p>
        </w:tc>
      </w:tr>
      <w:tr>
        <w:tc>
          <w:tcPr>
            <w:tcW w:type="dxa" w:w="2168"/>
          </w:tcPr>
          <w:p>
            <w:r/>
            <w:r>
              <w:rPr>
                <w:b w:val="0"/>
                <w:sz w:val="16"/>
              </w:rPr>
              <w:t>GUtranFreqRelation</w:t>
            </w:r>
          </w:p>
        </w:tc>
        <w:tc>
          <w:tcPr>
            <w:tcW w:type="dxa" w:w="2168"/>
          </w:tcPr>
          <w:p>
            <w:r/>
            <w:r>
              <w:rPr>
                <w:b w:val="0"/>
                <w:sz w:val="16"/>
              </w:rPr>
              <w:t>LTE Frequency Audit</w:t>
            </w:r>
          </w:p>
        </w:tc>
        <w:tc>
          <w:tcPr>
            <w:tcW w:type="dxa" w:w="2168"/>
          </w:tcPr>
          <w:p>
            <w:r/>
            <w:r>
              <w:rPr>
                <w:b w:val="0"/>
                <w:sz w:val="16"/>
              </w:rPr>
              <w:t>LTE nodes with the old N77 SSB (648672)</w:t>
            </w:r>
          </w:p>
        </w:tc>
        <w:tc>
          <w:tcPr>
            <w:tcW w:type="dxa" w:w="2168"/>
          </w:tcPr>
          <w:p>
            <w:r/>
          </w:p>
        </w:tc>
      </w:tr>
      <w:tr>
        <w:tc>
          <w:tcPr>
            <w:tcW w:type="dxa" w:w="2168"/>
          </w:tcPr>
          <w:p>
            <w:r/>
            <w:r>
              <w:rPr>
                <w:b w:val="0"/>
                <w:sz w:val="16"/>
              </w:rPr>
              <w:t>GUtranFreqRelation</w:t>
            </w:r>
          </w:p>
        </w:tc>
        <w:tc>
          <w:tcPr>
            <w:tcW w:type="dxa" w:w="2168"/>
          </w:tcPr>
          <w:p>
            <w:r/>
            <w:r>
              <w:rPr>
                <w:b w:val="0"/>
                <w:sz w:val="16"/>
              </w:rPr>
              <w:t>LTE Frequency Audit</w:t>
            </w:r>
          </w:p>
        </w:tc>
        <w:tc>
          <w:tcPr>
            <w:tcW w:type="dxa" w:w="2168"/>
          </w:tcPr>
          <w:p>
            <w:r/>
            <w:r>
              <w:rPr>
                <w:b w:val="0"/>
                <w:sz w:val="16"/>
              </w:rPr>
              <w:t>LTE nodes with the new N77 SSB (647328)</w:t>
            </w:r>
          </w:p>
        </w:tc>
        <w:tc>
          <w:tcPr>
            <w:tcW w:type="dxa" w:w="2168"/>
          </w:tcPr>
          <w:p>
            <w:r/>
          </w:p>
        </w:tc>
      </w:tr>
      <w:tr>
        <w:tc>
          <w:tcPr>
            <w:tcW w:type="dxa" w:w="2168"/>
          </w:tcPr>
          <w:p>
            <w:r/>
            <w:r>
              <w:rPr>
                <w:b w:val="0"/>
                <w:sz w:val="16"/>
              </w:rPr>
              <w:t>GUtranFreqRelation</w:t>
            </w:r>
          </w:p>
        </w:tc>
        <w:tc>
          <w:tcPr>
            <w:tcW w:type="dxa" w:w="2168"/>
          </w:tcPr>
          <w:p>
            <w:r/>
            <w:r>
              <w:rPr>
                <w:b w:val="0"/>
                <w:sz w:val="16"/>
              </w:rPr>
              <w:t>LTE Frequency Audit</w:t>
            </w:r>
          </w:p>
        </w:tc>
        <w:tc>
          <w:tcPr>
            <w:tcW w:type="dxa" w:w="2168"/>
          </w:tcPr>
          <w:p>
            <w:r/>
            <w:r>
              <w:rPr>
                <w:b w:val="0"/>
                <w:sz w:val="16"/>
              </w:rPr>
              <w:t>LTE nodes with both, the old N77 SSB (648672) and the new N77 SSB (647328)</w:t>
            </w:r>
          </w:p>
        </w:tc>
        <w:tc>
          <w:tcPr>
            <w:tcW w:type="dxa" w:w="2168"/>
          </w:tcPr>
          <w:p>
            <w:r/>
            <w:r>
              <w:rPr>
                <w:b w:val="0"/>
                <w:sz w:val="16"/>
              </w:rPr>
              <w:t>Nodes with Step1 completed</w:t>
            </w:r>
          </w:p>
        </w:tc>
      </w:tr>
      <w:tr>
        <w:tc>
          <w:tcPr>
            <w:tcW w:type="dxa" w:w="2168"/>
          </w:tcPr>
          <w:p>
            <w:r/>
            <w:r>
              <w:rPr>
                <w:b w:val="0"/>
                <w:sz w:val="16"/>
              </w:rPr>
              <w:t>GUtranFreqRelation</w:t>
            </w:r>
          </w:p>
        </w:tc>
        <w:tc>
          <w:tcPr>
            <w:tcW w:type="dxa" w:w="2168"/>
          </w:tcPr>
          <w:p>
            <w:r/>
            <w:r>
              <w:rPr>
                <w:b w:val="0"/>
                <w:sz w:val="16"/>
              </w:rPr>
              <w:t>LTE Frequency Audit</w:t>
            </w:r>
          </w:p>
        </w:tc>
        <w:tc>
          <w:tcPr>
            <w:tcW w:type="dxa" w:w="2168"/>
          </w:tcPr>
          <w:p>
            <w:r/>
            <w:r>
              <w:rPr>
                <w:b w:val="0"/>
                <w:sz w:val="16"/>
              </w:rPr>
              <w:t>LTE nodes with the old N77 SSB (648672) but without the new SSB (647328)</w:t>
            </w:r>
          </w:p>
        </w:tc>
        <w:tc>
          <w:tcPr>
            <w:tcW w:type="dxa" w:w="2168"/>
          </w:tcPr>
          <w:p>
            <w:r/>
            <w:r>
              <w:rPr>
                <w:b w:val="0"/>
                <w:sz w:val="16"/>
              </w:rPr>
              <w:t>Need to run Step1 on these nodes</w:t>
            </w:r>
          </w:p>
        </w:tc>
      </w:tr>
      <w:tr>
        <w:tc>
          <w:tcPr>
            <w:tcW w:type="dxa" w:w="2168"/>
          </w:tcPr>
          <w:p>
            <w:r/>
            <w:r>
              <w:rPr>
                <w:b w:val="0"/>
                <w:sz w:val="16"/>
              </w:rPr>
              <w:t>GUtranFreqRelation</w:t>
            </w:r>
          </w:p>
        </w:tc>
        <w:tc>
          <w:tcPr>
            <w:tcW w:type="dxa" w:w="2168"/>
          </w:tcPr>
          <w:p>
            <w:r/>
            <w:r>
              <w:rPr>
                <w:b w:val="0"/>
                <w:sz w:val="16"/>
              </w:rPr>
              <w:t>LTE Frequency Audit</w:t>
            </w:r>
          </w:p>
        </w:tc>
        <w:tc>
          <w:tcPr>
            <w:tcW w:type="dxa" w:w="2168"/>
          </w:tcPr>
          <w:p>
            <w:r/>
            <w:r>
              <w:rPr>
                <w:b w:val="0"/>
                <w:sz w:val="16"/>
              </w:rPr>
              <w:t>LTE nodes with some cells missing relations to new SSB (647328)</w:t>
            </w:r>
          </w:p>
        </w:tc>
        <w:tc>
          <w:tcPr>
            <w:tcW w:type="dxa" w:w="2168"/>
          </w:tcPr>
          <w:p>
            <w:r/>
            <w:r>
              <w:rPr>
                <w:b w:val="0"/>
                <w:sz w:val="16"/>
              </w:rPr>
              <w:t>Need to run Step1 on these nodes</w:t>
            </w:r>
          </w:p>
        </w:tc>
      </w:tr>
      <w:tr>
        <w:tc>
          <w:tcPr>
            <w:tcW w:type="dxa" w:w="2168"/>
          </w:tcPr>
          <w:p>
            <w:r/>
            <w:r>
              <w:rPr>
                <w:b w:val="0"/>
                <w:sz w:val="16"/>
              </w:rPr>
              <w:t>GUtranFreqRelation</w:t>
            </w:r>
          </w:p>
        </w:tc>
        <w:tc>
          <w:tcPr>
            <w:tcW w:type="dxa" w:w="2168"/>
          </w:tcPr>
          <w:p>
            <w:r/>
            <w:r>
              <w:rPr>
                <w:b w:val="0"/>
                <w:sz w:val="16"/>
              </w:rPr>
              <w:t>LTE Frequency Inconsistencies</w:t>
            </w:r>
          </w:p>
        </w:tc>
        <w:tc>
          <w:tcPr>
            <w:tcW w:type="dxa" w:w="2168"/>
          </w:tcPr>
          <w:p>
            <w:r/>
            <w:r>
              <w:rPr>
                <w:b w:val="0"/>
                <w:sz w:val="16"/>
              </w:rPr>
              <w:t>LTE nodes with the N77 SSB not in (648672, 647328)</w:t>
            </w:r>
          </w:p>
        </w:tc>
        <w:tc>
          <w:tcPr>
            <w:tcW w:type="dxa" w:w="2168"/>
          </w:tcPr>
          <w:p>
            <w:r/>
          </w:p>
        </w:tc>
      </w:tr>
      <w:tr>
        <w:tc>
          <w:tcPr>
            <w:tcW w:type="dxa" w:w="2168"/>
          </w:tcPr>
          <w:p>
            <w:r/>
            <w:r>
              <w:rPr>
                <w:b w:val="0"/>
                <w:sz w:val="16"/>
              </w:rPr>
              <w:t>GUtranFreqRelation</w:t>
            </w:r>
          </w:p>
        </w:tc>
        <w:tc>
          <w:tcPr>
            <w:tcW w:type="dxa" w:w="2168"/>
          </w:tcPr>
          <w:p>
            <w:r/>
            <w:r>
              <w:rPr>
                <w:b w:val="0"/>
                <w:sz w:val="16"/>
              </w:rPr>
              <w:t>LTE Frequency Inconsistencies</w:t>
            </w:r>
          </w:p>
        </w:tc>
        <w:tc>
          <w:tcPr>
            <w:tcW w:type="dxa" w:w="2168"/>
          </w:tcPr>
          <w:p>
            <w:r/>
            <w:r>
              <w:rPr>
                <w:b w:val="0"/>
                <w:sz w:val="16"/>
              </w:rPr>
              <w:t>LTE nodes with Auto-created GUtranFreqRelationId to new N77 SSB (647328) but not following VZ naming convention (647328-30-20-0-1)</w:t>
            </w:r>
          </w:p>
        </w:tc>
        <w:tc>
          <w:tcPr>
            <w:tcW w:type="dxa" w:w="2168"/>
          </w:tcPr>
          <w:p>
            <w:r/>
            <w:r>
              <w:rPr>
                <w:b w:val="0"/>
                <w:sz w:val="16"/>
              </w:rPr>
              <w:t>Not an issue, unless other inconsistencies raised</w:t>
            </w:r>
          </w:p>
        </w:tc>
      </w:tr>
      <w:tr>
        <w:tc>
          <w:tcPr>
            <w:tcW w:type="dxa" w:w="2168"/>
          </w:tcPr>
          <w:p>
            <w:r/>
            <w:r>
              <w:rPr>
                <w:b w:val="0"/>
                <w:sz w:val="16"/>
              </w:rPr>
              <w:t>GUtranFreqRelation</w:t>
            </w:r>
          </w:p>
        </w:tc>
        <w:tc>
          <w:tcPr>
            <w:tcW w:type="dxa" w:w="2168"/>
          </w:tcPr>
          <w:p>
            <w:r/>
            <w:r>
              <w:rPr>
                <w:b w:val="0"/>
                <w:sz w:val="16"/>
              </w:rPr>
              <w:t>LTE Frequency Inconsistencies</w:t>
            </w:r>
          </w:p>
        </w:tc>
        <w:tc>
          <w:tcPr>
            <w:tcW w:type="dxa" w:w="2168"/>
          </w:tcPr>
          <w:p>
            <w:r/>
            <w:r>
              <w:rPr>
                <w:b w:val="0"/>
                <w:sz w:val="16"/>
              </w:rPr>
              <w:t>LTE nodes with same endcB1MeasPriority in old N77 SSB (648672) and new N77 SSB (647328)</w:t>
            </w:r>
          </w:p>
        </w:tc>
        <w:tc>
          <w:tcPr>
            <w:tcW w:type="dxa" w:w="2168"/>
          </w:tcPr>
          <w:p>
            <w:r/>
            <w:r>
              <w:rPr>
                <w:b w:val="0"/>
                <w:sz w:val="16"/>
              </w:rPr>
              <w:t>Need to review and fix with Step1 or Step2c</w:t>
            </w:r>
          </w:p>
        </w:tc>
      </w:tr>
      <w:tr>
        <w:tc>
          <w:tcPr>
            <w:tcW w:type="dxa" w:w="2168"/>
          </w:tcPr>
          <w:p>
            <w:r/>
            <w:r>
              <w:rPr>
                <w:b w:val="0"/>
                <w:sz w:val="16"/>
              </w:rPr>
              <w:t>GUtranFreqRelation</w:t>
            </w:r>
          </w:p>
        </w:tc>
        <w:tc>
          <w:tcPr>
            <w:tcW w:type="dxa" w:w="2168"/>
          </w:tcPr>
          <w:p>
            <w:r/>
            <w:r>
              <w:rPr>
                <w:b w:val="0"/>
                <w:sz w:val="16"/>
              </w:rPr>
              <w:t>LTE Frequency Inconsistencies</w:t>
            </w:r>
          </w:p>
        </w:tc>
        <w:tc>
          <w:tcPr>
            <w:tcW w:type="dxa" w:w="2168"/>
          </w:tcPr>
          <w:p>
            <w:r/>
            <w:r>
              <w:rPr>
                <w:b w:val="0"/>
                <w:sz w:val="16"/>
              </w:rPr>
              <w:t>LTE nodes with mismatching params between GUtranFreqRelationId 648672 and 647328</w:t>
            </w:r>
          </w:p>
        </w:tc>
        <w:tc>
          <w:tcPr>
            <w:tcW w:type="dxa" w:w="2168"/>
          </w:tcPr>
          <w:p>
            <w:r/>
            <w:r>
              <w:rPr>
                <w:b w:val="0"/>
                <w:sz w:val="16"/>
              </w:rPr>
              <w:t>Parameters qQualMin, qRxLevMin, threshXHigh agreed to set to fixed values on new freqs and inconsistencies should be reported to VZ. Other inconsistent parameters would require review for further actions.</w:t>
            </w:r>
          </w:p>
        </w:tc>
      </w:tr>
      <w:tr>
        <w:tc>
          <w:tcPr>
            <w:tcW w:type="dxa" w:w="2168"/>
          </w:tcPr>
          <w:p>
            <w:r/>
            <w:r>
              <w:rPr>
                <w:b w:val="0"/>
                <w:sz w:val="16"/>
              </w:rPr>
              <w:t>GUtranCellRelation</w:t>
            </w:r>
          </w:p>
        </w:tc>
        <w:tc>
          <w:tcPr>
            <w:tcW w:type="dxa" w:w="2168"/>
          </w:tcPr>
          <w:p>
            <w:r/>
            <w:r>
              <w:rPr>
                <w:b w:val="0"/>
                <w:sz w:val="16"/>
              </w:rPr>
              <w:t>LTE Frequency Audit</w:t>
            </w:r>
          </w:p>
        </w:tc>
        <w:tc>
          <w:tcPr>
            <w:tcW w:type="dxa" w:w="2168"/>
          </w:tcPr>
          <w:p>
            <w:r/>
            <w:r>
              <w:rPr>
                <w:b w:val="0"/>
                <w:sz w:val="16"/>
              </w:rPr>
              <w:t>LTE cellRelations to old N77 SSB (648672)</w:t>
            </w:r>
          </w:p>
        </w:tc>
        <w:tc>
          <w:tcPr>
            <w:tcW w:type="dxa" w:w="2168"/>
          </w:tcPr>
          <w:p>
            <w:r/>
            <w:r>
              <w:rPr>
                <w:b w:val="0"/>
                <w:sz w:val="16"/>
              </w:rPr>
              <w:t>Post Step2 some relations pointing to other Mkts could be on old SSB. See details in table</w:t>
            </w:r>
          </w:p>
        </w:tc>
      </w:tr>
      <w:tr>
        <w:tc>
          <w:tcPr>
            <w:tcW w:type="dxa" w:w="2168"/>
          </w:tcPr>
          <w:p>
            <w:r/>
            <w:r>
              <w:rPr>
                <w:b w:val="0"/>
                <w:sz w:val="16"/>
              </w:rPr>
              <w:t>GUtranCellRelation</w:t>
            </w:r>
          </w:p>
        </w:tc>
        <w:tc>
          <w:tcPr>
            <w:tcW w:type="dxa" w:w="2168"/>
          </w:tcPr>
          <w:p>
            <w:r/>
            <w:r>
              <w:rPr>
                <w:b w:val="0"/>
                <w:sz w:val="16"/>
              </w:rPr>
              <w:t>LTE Frequency Audit</w:t>
            </w:r>
          </w:p>
        </w:tc>
        <w:tc>
          <w:tcPr>
            <w:tcW w:type="dxa" w:w="2168"/>
          </w:tcPr>
          <w:p>
            <w:r/>
            <w:r>
              <w:rPr>
                <w:b w:val="0"/>
                <w:sz w:val="16"/>
              </w:rPr>
              <w:t>LTE cellRelations to new N77 SSB (647328)</w:t>
            </w:r>
          </w:p>
        </w:tc>
        <w:tc>
          <w:tcPr>
            <w:tcW w:type="dxa" w:w="2168"/>
          </w:tcPr>
          <w:p>
            <w:r/>
          </w:p>
        </w:tc>
      </w:tr>
      <w:tr>
        <w:tc>
          <w:tcPr>
            <w:tcW w:type="dxa" w:w="2168"/>
          </w:tcPr>
          <w:p>
            <w:r/>
            <w:r>
              <w:rPr>
                <w:b w:val="0"/>
                <w:sz w:val="16"/>
              </w:rPr>
              <w:t>ExternalGUtranCell</w:t>
            </w:r>
          </w:p>
        </w:tc>
        <w:tc>
          <w:tcPr>
            <w:tcW w:type="dxa" w:w="2168"/>
          </w:tcPr>
          <w:p>
            <w:r/>
            <w:r>
              <w:rPr>
                <w:b w:val="0"/>
                <w:sz w:val="16"/>
              </w:rPr>
              <w:t>LTE Frequency Audit</w:t>
            </w:r>
          </w:p>
        </w:tc>
        <w:tc>
          <w:tcPr>
            <w:tcW w:type="dxa" w:w="2168"/>
          </w:tcPr>
          <w:p>
            <w:r/>
            <w:r>
              <w:rPr>
                <w:b w:val="0"/>
                <w:sz w:val="16"/>
              </w:rPr>
              <w:t>External cells to old N77 SSB (648672)</w:t>
            </w:r>
          </w:p>
        </w:tc>
        <w:tc>
          <w:tcPr>
            <w:tcW w:type="dxa" w:w="2168"/>
          </w:tcPr>
          <w:p>
            <w:r/>
            <w:r>
              <w:rPr>
                <w:b w:val="0"/>
                <w:sz w:val="16"/>
              </w:rPr>
              <w:t>Post Step2 some relations pointing to other Mkts could be on old SSB. See details in table</w:t>
            </w:r>
          </w:p>
        </w:tc>
      </w:tr>
      <w:tr>
        <w:tc>
          <w:tcPr>
            <w:tcW w:type="dxa" w:w="2168"/>
          </w:tcPr>
          <w:p>
            <w:r/>
            <w:r>
              <w:rPr>
                <w:b w:val="0"/>
                <w:sz w:val="16"/>
              </w:rPr>
              <w:t>ExternalGUtranCell</w:t>
            </w:r>
          </w:p>
        </w:tc>
        <w:tc>
          <w:tcPr>
            <w:tcW w:type="dxa" w:w="2168"/>
          </w:tcPr>
          <w:p>
            <w:r/>
            <w:r>
              <w:rPr>
                <w:b w:val="0"/>
                <w:sz w:val="16"/>
              </w:rPr>
              <w:t>LTE Frequency Audit</w:t>
            </w:r>
          </w:p>
        </w:tc>
        <w:tc>
          <w:tcPr>
            <w:tcW w:type="dxa" w:w="2168"/>
          </w:tcPr>
          <w:p>
            <w:r/>
            <w:r>
              <w:rPr>
                <w:b w:val="0"/>
                <w:sz w:val="16"/>
              </w:rPr>
              <w:t>External cells to new N77 SSB (647328)</w:t>
            </w:r>
          </w:p>
        </w:tc>
        <w:tc>
          <w:tcPr>
            <w:tcW w:type="dxa" w:w="2168"/>
          </w:tcPr>
          <w:p>
            <w:r/>
          </w:p>
        </w:tc>
      </w:tr>
      <w:tr>
        <w:tc>
          <w:tcPr>
            <w:tcW w:type="dxa" w:w="2168"/>
          </w:tcPr>
          <w:p>
            <w:r/>
            <w:r>
              <w:rPr>
                <w:b w:val="0"/>
                <w:sz w:val="16"/>
              </w:rPr>
              <w:t>ExternalGUtranCell</w:t>
            </w:r>
          </w:p>
        </w:tc>
        <w:tc>
          <w:tcPr>
            <w:tcW w:type="dxa" w:w="2168"/>
          </w:tcPr>
          <w:p>
            <w:r/>
            <w:r>
              <w:rPr>
                <w:b w:val="0"/>
                <w:sz w:val="16"/>
              </w:rPr>
              <w:t>LTE Frequency Audit</w:t>
            </w:r>
          </w:p>
        </w:tc>
        <w:tc>
          <w:tcPr>
            <w:tcW w:type="dxa" w:w="2168"/>
          </w:tcPr>
          <w:p>
            <w:r/>
            <w:r>
              <w:rPr>
                <w:b w:val="0"/>
                <w:sz w:val="16"/>
              </w:rPr>
              <w:t>External cells to old N77 SSB (648672) with serviceStatus=OUT_OF_SERVICE</w:t>
            </w:r>
          </w:p>
        </w:tc>
        <w:tc>
          <w:tcPr>
            <w:tcW w:type="dxa" w:w="2168"/>
          </w:tcPr>
          <w:p>
            <w:r/>
            <w:r>
              <w:rPr>
                <w:b w:val="0"/>
                <w:sz w:val="16"/>
              </w:rPr>
              <w:t>Externals with unavailable TermPoints are not operational for ENDC and might not be updated immediately after Step2</w:t>
            </w:r>
          </w:p>
        </w:tc>
      </w:tr>
      <w:tr>
        <w:tc>
          <w:tcPr>
            <w:tcW w:type="dxa" w:w="2168"/>
          </w:tcPr>
          <w:p>
            <w:r/>
            <w:r>
              <w:rPr>
                <w:b w:val="0"/>
                <w:sz w:val="16"/>
              </w:rPr>
              <w:t>ExternalGUtranCell</w:t>
            </w:r>
          </w:p>
        </w:tc>
        <w:tc>
          <w:tcPr>
            <w:tcW w:type="dxa" w:w="2168"/>
          </w:tcPr>
          <w:p>
            <w:r/>
            <w:r>
              <w:rPr>
                <w:b w:val="0"/>
                <w:sz w:val="16"/>
              </w:rPr>
              <w:t>LTE Frequency Audit</w:t>
            </w:r>
          </w:p>
        </w:tc>
        <w:tc>
          <w:tcPr>
            <w:tcW w:type="dxa" w:w="2168"/>
          </w:tcPr>
          <w:p>
            <w:r/>
            <w:r>
              <w:rPr>
                <w:b w:val="0"/>
                <w:sz w:val="16"/>
              </w:rPr>
              <w:t>External cells to new N77 SSB (647328) with serviceStatus=OUT_OF_SERVICE</w:t>
            </w:r>
          </w:p>
        </w:tc>
        <w:tc>
          <w:tcPr>
            <w:tcW w:type="dxa" w:w="2168"/>
          </w:tcPr>
          <w:p>
            <w:r/>
          </w:p>
        </w:tc>
      </w:tr>
    </w:tbl>
    <w:p>
      <w:pPr>
        <w:pStyle w:val="Heading2"/>
      </w:pPr>
      <w:r>
        <w:t>Termpoint Audit / Termpoint Inconsistencies</w:t>
      </w:r>
    </w:p>
    <w:p>
      <w:r>
        <w:rPr>
          <w:b/>
        </w:rPr>
        <w:t>Source tables</w:t>
      </w:r>
      <w:r>
        <w:rPr>
          <w:b w:val="0"/>
        </w:rPr>
        <w:t>: "TermPointToGNodeB", "TermPointToENodeB", "TermPointToGNB".</w:t>
      </w:r>
    </w:p>
    <w:p>
      <w:r>
        <w:rPr>
          <w:b/>
        </w:rPr>
        <w:t>Complete Checks List</w:t>
      </w:r>
      <w:r>
        <w:rPr>
          <w:b w:val="0"/>
        </w:rPr>
        <w:t>:</w:t>
      </w:r>
    </w:p>
    <w:tbl>
      <w:tblPr>
        <w:tblStyle w:val="TableGrid"/>
        <w:tblW w:type="auto" w:w="0"/>
        <w:tblLook w:firstColumn="1" w:firstRow="1" w:lastColumn="0" w:lastRow="0" w:noHBand="0" w:noVBand="1" w:val="04A0"/>
      </w:tblPr>
      <w:tblGrid>
        <w:gridCol w:w="2168"/>
        <w:gridCol w:w="2168"/>
        <w:gridCol w:w="2168"/>
        <w:gridCol w:w="2168"/>
      </w:tblGrid>
      <w:tr>
        <w:tc>
          <w:tcPr>
            <w:tcW w:type="dxa" w:w="2168"/>
          </w:tcPr>
          <w:p>
            <w:r/>
            <w:r>
              <w:rPr>
                <w:b/>
                <w:sz w:val="18"/>
              </w:rPr>
              <w:t>Category</w:t>
            </w:r>
          </w:p>
        </w:tc>
        <w:tc>
          <w:tcPr>
            <w:tcW w:type="dxa" w:w="2168"/>
          </w:tcPr>
          <w:p>
            <w:r/>
            <w:r>
              <w:rPr>
                <w:b/>
                <w:sz w:val="18"/>
              </w:rPr>
              <w:t>SubCategory</w:t>
            </w:r>
          </w:p>
        </w:tc>
        <w:tc>
          <w:tcPr>
            <w:tcW w:type="dxa" w:w="2168"/>
          </w:tcPr>
          <w:p>
            <w:r/>
            <w:r>
              <w:rPr>
                <w:b/>
                <w:sz w:val="18"/>
              </w:rPr>
              <w:t>Metric</w:t>
            </w:r>
          </w:p>
        </w:tc>
        <w:tc>
          <w:tcPr>
            <w:tcW w:type="dxa" w:w="2168"/>
          </w:tcPr>
          <w:p>
            <w:r/>
            <w:r>
              <w:rPr>
                <w:b/>
                <w:sz w:val="18"/>
              </w:rPr>
              <w:t>Tips</w:t>
            </w:r>
          </w:p>
        </w:tc>
      </w:tr>
      <w:tr>
        <w:tc>
          <w:tcPr>
            <w:tcW w:type="dxa" w:w="2168"/>
          </w:tcPr>
          <w:p>
            <w:r/>
            <w:r>
              <w:rPr>
                <w:b w:val="0"/>
                <w:sz w:val="16"/>
              </w:rPr>
              <w:t>TermPointToGNodeB</w:t>
            </w:r>
          </w:p>
        </w:tc>
        <w:tc>
          <w:tcPr>
            <w:tcW w:type="dxa" w:w="2168"/>
          </w:tcPr>
          <w:p>
            <w:r/>
            <w:r>
              <w:rPr>
                <w:b w:val="0"/>
                <w:sz w:val="16"/>
              </w:rPr>
              <w:t>NR Termpoint Audit</w:t>
            </w:r>
          </w:p>
        </w:tc>
        <w:tc>
          <w:tcPr>
            <w:tcW w:type="dxa" w:w="2168"/>
          </w:tcPr>
          <w:p>
            <w:r/>
            <w:r>
              <w:rPr>
                <w:b w:val="0"/>
                <w:sz w:val="16"/>
              </w:rPr>
              <w:t>NR to NR TermPoints with administrativeState=LOCKED</w:t>
            </w:r>
          </w:p>
        </w:tc>
        <w:tc>
          <w:tcPr>
            <w:tcW w:type="dxa" w:w="2168"/>
          </w:tcPr>
          <w:p>
            <w:r/>
          </w:p>
        </w:tc>
      </w:tr>
      <w:tr>
        <w:tc>
          <w:tcPr>
            <w:tcW w:type="dxa" w:w="2168"/>
          </w:tcPr>
          <w:p>
            <w:r/>
            <w:r>
              <w:rPr>
                <w:b w:val="0"/>
                <w:sz w:val="16"/>
              </w:rPr>
              <w:t>TermPointToGNodeB</w:t>
            </w:r>
          </w:p>
        </w:tc>
        <w:tc>
          <w:tcPr>
            <w:tcW w:type="dxa" w:w="2168"/>
          </w:tcPr>
          <w:p>
            <w:r/>
            <w:r>
              <w:rPr>
                <w:b w:val="0"/>
                <w:sz w:val="16"/>
              </w:rPr>
              <w:t>NR Termpoint Audit</w:t>
            </w:r>
          </w:p>
        </w:tc>
        <w:tc>
          <w:tcPr>
            <w:tcW w:type="dxa" w:w="2168"/>
          </w:tcPr>
          <w:p>
            <w:r/>
            <w:r>
              <w:rPr>
                <w:b w:val="0"/>
                <w:sz w:val="16"/>
              </w:rPr>
              <w:t>NR to NR TermPoints with operationalState=DISABLED</w:t>
            </w:r>
          </w:p>
        </w:tc>
        <w:tc>
          <w:tcPr>
            <w:tcW w:type="dxa" w:w="2168"/>
          </w:tcPr>
          <w:p>
            <w:r/>
          </w:p>
        </w:tc>
      </w:tr>
      <w:tr>
        <w:tc>
          <w:tcPr>
            <w:tcW w:type="dxa" w:w="2168"/>
          </w:tcPr>
          <w:p>
            <w:r/>
            <w:r>
              <w:rPr>
                <w:b w:val="0"/>
                <w:sz w:val="16"/>
              </w:rPr>
              <w:t>TermPointToENodeB</w:t>
            </w:r>
          </w:p>
        </w:tc>
        <w:tc>
          <w:tcPr>
            <w:tcW w:type="dxa" w:w="2168"/>
          </w:tcPr>
          <w:p>
            <w:r/>
            <w:r>
              <w:rPr>
                <w:b w:val="0"/>
                <w:sz w:val="16"/>
              </w:rPr>
              <w:t>X2 Termpoint Audit</w:t>
            </w:r>
          </w:p>
        </w:tc>
        <w:tc>
          <w:tcPr>
            <w:tcW w:type="dxa" w:w="2168"/>
          </w:tcPr>
          <w:p>
            <w:r/>
            <w:r>
              <w:rPr>
                <w:b w:val="0"/>
                <w:sz w:val="16"/>
              </w:rPr>
              <w:t>NR to LTE TermPoints with administrativeState=LOCKED</w:t>
            </w:r>
          </w:p>
        </w:tc>
        <w:tc>
          <w:tcPr>
            <w:tcW w:type="dxa" w:w="2168"/>
          </w:tcPr>
          <w:p>
            <w:r/>
            <w:r>
              <w:rPr>
                <w:b w:val="0"/>
                <w:sz w:val="16"/>
              </w:rPr>
              <w:t>Helpful to troubleshoot External updates</w:t>
            </w:r>
          </w:p>
        </w:tc>
      </w:tr>
      <w:tr>
        <w:tc>
          <w:tcPr>
            <w:tcW w:type="dxa" w:w="2168"/>
          </w:tcPr>
          <w:p>
            <w:r/>
            <w:r>
              <w:rPr>
                <w:b w:val="0"/>
                <w:sz w:val="16"/>
              </w:rPr>
              <w:t>TermPointToENodeB</w:t>
            </w:r>
          </w:p>
        </w:tc>
        <w:tc>
          <w:tcPr>
            <w:tcW w:type="dxa" w:w="2168"/>
          </w:tcPr>
          <w:p>
            <w:r/>
            <w:r>
              <w:rPr>
                <w:b w:val="0"/>
                <w:sz w:val="16"/>
              </w:rPr>
              <w:t>X2 Termpoint Audit</w:t>
            </w:r>
          </w:p>
        </w:tc>
        <w:tc>
          <w:tcPr>
            <w:tcW w:type="dxa" w:w="2168"/>
          </w:tcPr>
          <w:p>
            <w:r/>
            <w:r>
              <w:rPr>
                <w:b w:val="0"/>
                <w:sz w:val="16"/>
              </w:rPr>
              <w:t>NR to LTE TermPoints with operationalState=DISABLED</w:t>
            </w:r>
          </w:p>
        </w:tc>
        <w:tc>
          <w:tcPr>
            <w:tcW w:type="dxa" w:w="2168"/>
          </w:tcPr>
          <w:p>
            <w:r/>
            <w:r>
              <w:rPr>
                <w:b w:val="0"/>
                <w:sz w:val="16"/>
              </w:rPr>
              <w:t>Helpful to troubleshoot External updates</w:t>
            </w:r>
          </w:p>
        </w:tc>
      </w:tr>
      <w:tr>
        <w:tc>
          <w:tcPr>
            <w:tcW w:type="dxa" w:w="2168"/>
          </w:tcPr>
          <w:p>
            <w:r/>
            <w:r>
              <w:rPr>
                <w:b w:val="0"/>
                <w:sz w:val="16"/>
              </w:rPr>
              <w:t>TermPointToGNB</w:t>
            </w:r>
          </w:p>
        </w:tc>
        <w:tc>
          <w:tcPr>
            <w:tcW w:type="dxa" w:w="2168"/>
          </w:tcPr>
          <w:p>
            <w:r/>
            <w:r>
              <w:rPr>
                <w:b w:val="0"/>
                <w:sz w:val="16"/>
              </w:rPr>
              <w:t>X2 Termpoint Audit</w:t>
            </w:r>
          </w:p>
        </w:tc>
        <w:tc>
          <w:tcPr>
            <w:tcW w:type="dxa" w:w="2168"/>
          </w:tcPr>
          <w:p>
            <w:r/>
            <w:r>
              <w:rPr>
                <w:b w:val="0"/>
                <w:sz w:val="16"/>
              </w:rPr>
              <w:t>LTE to NR TermPoints with administrativeState=LOCKED</w:t>
            </w:r>
          </w:p>
        </w:tc>
        <w:tc>
          <w:tcPr>
            <w:tcW w:type="dxa" w:w="2168"/>
          </w:tcPr>
          <w:p>
            <w:r/>
            <w:r>
              <w:rPr>
                <w:b w:val="0"/>
                <w:sz w:val="16"/>
              </w:rPr>
              <w:t>Helpful to troubleshoot External updates</w:t>
            </w:r>
          </w:p>
        </w:tc>
      </w:tr>
      <w:tr>
        <w:tc>
          <w:tcPr>
            <w:tcW w:type="dxa" w:w="2168"/>
          </w:tcPr>
          <w:p>
            <w:r/>
            <w:r>
              <w:rPr>
                <w:b w:val="0"/>
                <w:sz w:val="16"/>
              </w:rPr>
              <w:t>TermPointToGNB</w:t>
            </w:r>
          </w:p>
        </w:tc>
        <w:tc>
          <w:tcPr>
            <w:tcW w:type="dxa" w:w="2168"/>
          </w:tcPr>
          <w:p>
            <w:r/>
            <w:r>
              <w:rPr>
                <w:b w:val="0"/>
                <w:sz w:val="16"/>
              </w:rPr>
              <w:t>X2 Termpoint Audit</w:t>
            </w:r>
          </w:p>
        </w:tc>
        <w:tc>
          <w:tcPr>
            <w:tcW w:type="dxa" w:w="2168"/>
          </w:tcPr>
          <w:p>
            <w:r/>
            <w:r>
              <w:rPr>
                <w:b w:val="0"/>
                <w:sz w:val="16"/>
              </w:rPr>
              <w:t>LTE to NR TermPoints with operationalState=DISABLED</w:t>
            </w:r>
          </w:p>
        </w:tc>
        <w:tc>
          <w:tcPr>
            <w:tcW w:type="dxa" w:w="2168"/>
          </w:tcPr>
          <w:p>
            <w:r/>
            <w:r>
              <w:rPr>
                <w:b w:val="0"/>
                <w:sz w:val="16"/>
              </w:rPr>
              <w:t>Helpful to troubleshoot External updates</w:t>
            </w:r>
          </w:p>
        </w:tc>
      </w:tr>
      <w:tr>
        <w:tc>
          <w:tcPr>
            <w:tcW w:type="dxa" w:w="2168"/>
          </w:tcPr>
          <w:p>
            <w:r/>
            <w:r>
              <w:rPr>
                <w:b w:val="0"/>
                <w:sz w:val="16"/>
              </w:rPr>
              <w:t>TermPointToGNB</w:t>
            </w:r>
          </w:p>
        </w:tc>
        <w:tc>
          <w:tcPr>
            <w:tcW w:type="dxa" w:w="2168"/>
          </w:tcPr>
          <w:p>
            <w:r/>
            <w:r>
              <w:rPr>
                <w:b w:val="0"/>
                <w:sz w:val="16"/>
              </w:rPr>
              <w:t>X2 Termpoint Audit</w:t>
            </w:r>
          </w:p>
        </w:tc>
        <w:tc>
          <w:tcPr>
            <w:tcW w:type="dxa" w:w="2168"/>
          </w:tcPr>
          <w:p>
            <w:r/>
            <w:r>
              <w:rPr>
                <w:b w:val="0"/>
                <w:sz w:val="16"/>
              </w:rPr>
              <w:t>LTE to NR TermPoints with usedIpAddress=0.0.0.0/::</w:t>
            </w:r>
          </w:p>
        </w:tc>
        <w:tc>
          <w:tcPr>
            <w:tcW w:type="dxa" w:w="2168"/>
          </w:tcPr>
          <w:p>
            <w:r/>
            <w:r>
              <w:rPr>
                <w:b w:val="0"/>
                <w:sz w:val="16"/>
              </w:rPr>
              <w:t>Helpful to troubleshoot External updates</w:t>
            </w:r>
          </w:p>
        </w:tc>
      </w:tr>
    </w:tbl>
    <w:p>
      <w:pPr>
        <w:pStyle w:val="Heading2"/>
      </w:pPr>
      <w:r>
        <w:t>ENDC Audit / ENDC Inconsistencies</w:t>
      </w:r>
    </w:p>
    <w:p>
      <w:r>
        <w:rPr>
          <w:b/>
        </w:rPr>
        <w:t>Source tables</w:t>
      </w:r>
      <w:r>
        <w:rPr>
          <w:b w:val="0"/>
        </w:rPr>
        <w:t>: "EndcDistrProfile", "FreqPrioNR".</w:t>
      </w:r>
    </w:p>
    <w:p>
      <w:r>
        <w:rPr>
          <w:b w:val="0"/>
        </w:rPr>
        <w:t>Main checks:</w:t>
      </w:r>
    </w:p>
    <w:p>
      <w:pPr>
        <w:pStyle w:val="ListParagraph"/>
        <w:numPr>
          <w:ilvl w:val="0"/>
          <w:numId w:val="28"/>
        </w:numPr>
      </w:pPr>
      <w:r>
        <w:rPr>
          <w:b w:val="0"/>
        </w:rPr>
        <w:t>"gUtranFreqRef" and "mandatoryGUtranFreqRef" with old/new + N77B combinations.</w:t>
      </w:r>
    </w:p>
    <w:p>
      <w:pPr>
        <w:pStyle w:val="ListParagraph"/>
        <w:numPr>
          <w:ilvl w:val="0"/>
          <w:numId w:val="28"/>
        </w:numPr>
      </w:pPr>
      <w:r>
        <w:rPr>
          <w:b w:val="0"/>
        </w:rPr>
        <w:t>Nodes that do not contain the expected frequency combination.</w:t>
      </w:r>
    </w:p>
    <w:p>
      <w:pPr>
        <w:pStyle w:val="ListParagraph"/>
        <w:numPr>
          <w:ilvl w:val="0"/>
          <w:numId w:val="28"/>
        </w:numPr>
      </w:pPr>
      <w:r>
        <w:rPr>
          <w:b w:val="0"/>
        </w:rPr>
        <w:t>In "FreqPrioNR": old without new, both present, and parameter mismatch per cell.</w:t>
      </w:r>
    </w:p>
    <w:p>
      <w:r>
        <w:rPr>
          <w:b/>
        </w:rPr>
        <w:t>Complete Checks List</w:t>
      </w:r>
      <w:r>
        <w:rPr>
          <w:b w:val="0"/>
        </w:rPr>
        <w:t>:</w:t>
      </w:r>
    </w:p>
    <w:tbl>
      <w:tblPr>
        <w:tblStyle w:val="TableGrid"/>
        <w:tblW w:type="auto" w:w="0"/>
        <w:tblLook w:firstColumn="1" w:firstRow="1" w:lastColumn="0" w:lastRow="0" w:noHBand="0" w:noVBand="1" w:val="04A0"/>
      </w:tblPr>
      <w:tblGrid>
        <w:gridCol w:w="2168"/>
        <w:gridCol w:w="2168"/>
        <w:gridCol w:w="2168"/>
        <w:gridCol w:w="2168"/>
      </w:tblGrid>
      <w:tr>
        <w:tc>
          <w:tcPr>
            <w:tcW w:type="dxa" w:w="2168"/>
          </w:tcPr>
          <w:p>
            <w:r/>
            <w:r>
              <w:rPr>
                <w:b/>
                <w:sz w:val="18"/>
              </w:rPr>
              <w:t>Category</w:t>
            </w:r>
          </w:p>
        </w:tc>
        <w:tc>
          <w:tcPr>
            <w:tcW w:type="dxa" w:w="2168"/>
          </w:tcPr>
          <w:p>
            <w:r/>
            <w:r>
              <w:rPr>
                <w:b/>
                <w:sz w:val="18"/>
              </w:rPr>
              <w:t>SubCategory</w:t>
            </w:r>
          </w:p>
        </w:tc>
        <w:tc>
          <w:tcPr>
            <w:tcW w:type="dxa" w:w="2168"/>
          </w:tcPr>
          <w:p>
            <w:r/>
            <w:r>
              <w:rPr>
                <w:b/>
                <w:sz w:val="18"/>
              </w:rPr>
              <w:t>Metric</w:t>
            </w:r>
          </w:p>
        </w:tc>
        <w:tc>
          <w:tcPr>
            <w:tcW w:type="dxa" w:w="2168"/>
          </w:tcPr>
          <w:p>
            <w:r/>
            <w:r>
              <w:rPr>
                <w:b/>
                <w:sz w:val="18"/>
              </w:rPr>
              <w:t>Tips</w:t>
            </w:r>
          </w:p>
        </w:tc>
      </w:tr>
      <w:tr>
        <w:tc>
          <w:tcPr>
            <w:tcW w:type="dxa" w:w="2168"/>
          </w:tcPr>
          <w:p>
            <w:r/>
            <w:r>
              <w:rPr>
                <w:b w:val="0"/>
                <w:sz w:val="16"/>
              </w:rPr>
              <w:t>EndcDistrProfile</w:t>
            </w:r>
          </w:p>
        </w:tc>
        <w:tc>
          <w:tcPr>
            <w:tcW w:type="dxa" w:w="2168"/>
          </w:tcPr>
          <w:p>
            <w:r/>
            <w:r>
              <w:rPr>
                <w:b w:val="0"/>
                <w:sz w:val="16"/>
              </w:rPr>
              <w:t>ENDC Audit</w:t>
            </w:r>
          </w:p>
        </w:tc>
        <w:tc>
          <w:tcPr>
            <w:tcW w:type="dxa" w:w="2168"/>
          </w:tcPr>
          <w:p>
            <w:r/>
            <w:r>
              <w:rPr>
                <w:b w:val="0"/>
                <w:sz w:val="16"/>
              </w:rPr>
              <w:t>Nodes with gUtranFreqRef containing the old N77 SSB (648672) and the N77B SSB (653952)</w:t>
            </w:r>
          </w:p>
        </w:tc>
        <w:tc>
          <w:tcPr>
            <w:tcW w:type="dxa" w:w="2168"/>
          </w:tcPr>
          <w:p>
            <w:r/>
            <w:r>
              <w:rPr>
                <w:b w:val="0"/>
                <w:sz w:val="16"/>
              </w:rPr>
              <w:t>Need to run Step2c on this nodes</w:t>
            </w:r>
          </w:p>
        </w:tc>
      </w:tr>
      <w:tr>
        <w:tc>
          <w:tcPr>
            <w:tcW w:type="dxa" w:w="2168"/>
          </w:tcPr>
          <w:p>
            <w:r/>
            <w:r>
              <w:rPr>
                <w:b w:val="0"/>
                <w:sz w:val="16"/>
              </w:rPr>
              <w:t>EndcDistrProfile</w:t>
            </w:r>
          </w:p>
        </w:tc>
        <w:tc>
          <w:tcPr>
            <w:tcW w:type="dxa" w:w="2168"/>
          </w:tcPr>
          <w:p>
            <w:r/>
            <w:r>
              <w:rPr>
                <w:b w:val="0"/>
                <w:sz w:val="16"/>
              </w:rPr>
              <w:t>ENDC Audit</w:t>
            </w:r>
          </w:p>
        </w:tc>
        <w:tc>
          <w:tcPr>
            <w:tcW w:type="dxa" w:w="2168"/>
          </w:tcPr>
          <w:p>
            <w:r/>
            <w:r>
              <w:rPr>
                <w:b w:val="0"/>
                <w:sz w:val="16"/>
              </w:rPr>
              <w:t>Nodes with gUtranFreqRef containing the new N77 SSB (647328) and the N77B SSB (653952)</w:t>
            </w:r>
          </w:p>
        </w:tc>
        <w:tc>
          <w:tcPr>
            <w:tcW w:type="dxa" w:w="2168"/>
          </w:tcPr>
          <w:p>
            <w:r/>
            <w:r>
              <w:rPr>
                <w:b w:val="0"/>
                <w:sz w:val="16"/>
              </w:rPr>
              <w:t>Nodes with Step2c completed</w:t>
            </w:r>
          </w:p>
        </w:tc>
      </w:tr>
      <w:tr>
        <w:tc>
          <w:tcPr>
            <w:tcW w:type="dxa" w:w="2168"/>
          </w:tcPr>
          <w:p>
            <w:r/>
            <w:r>
              <w:rPr>
                <w:b w:val="0"/>
                <w:sz w:val="16"/>
              </w:rPr>
              <w:t>EndcDistrProfile</w:t>
            </w:r>
          </w:p>
        </w:tc>
        <w:tc>
          <w:tcPr>
            <w:tcW w:type="dxa" w:w="2168"/>
          </w:tcPr>
          <w:p>
            <w:r/>
            <w:r>
              <w:rPr>
                <w:b w:val="0"/>
                <w:sz w:val="16"/>
              </w:rPr>
              <w:t>ENDC Audit</w:t>
            </w:r>
          </w:p>
        </w:tc>
        <w:tc>
          <w:tcPr>
            <w:tcW w:type="dxa" w:w="2168"/>
          </w:tcPr>
          <w:p>
            <w:r/>
            <w:r>
              <w:rPr>
                <w:b w:val="0"/>
                <w:sz w:val="16"/>
              </w:rPr>
              <w:t>Nodes with mandatoryGUtranFreqRef containing the old N77 SSB (648672) and the N77B SSB (653952)</w:t>
            </w:r>
          </w:p>
        </w:tc>
        <w:tc>
          <w:tcPr>
            <w:tcW w:type="dxa" w:w="2168"/>
          </w:tcPr>
          <w:p>
            <w:r/>
            <w:r>
              <w:rPr>
                <w:b w:val="0"/>
                <w:sz w:val="16"/>
              </w:rPr>
              <w:t>Need to run Step2c on this nodes</w:t>
            </w:r>
          </w:p>
        </w:tc>
      </w:tr>
      <w:tr>
        <w:tc>
          <w:tcPr>
            <w:tcW w:type="dxa" w:w="2168"/>
          </w:tcPr>
          <w:p>
            <w:r/>
            <w:r>
              <w:rPr>
                <w:b w:val="0"/>
                <w:sz w:val="16"/>
              </w:rPr>
              <w:t>EndcDistrProfile</w:t>
            </w:r>
          </w:p>
        </w:tc>
        <w:tc>
          <w:tcPr>
            <w:tcW w:type="dxa" w:w="2168"/>
          </w:tcPr>
          <w:p>
            <w:r/>
            <w:r>
              <w:rPr>
                <w:b w:val="0"/>
                <w:sz w:val="16"/>
              </w:rPr>
              <w:t>ENDC Audit</w:t>
            </w:r>
          </w:p>
        </w:tc>
        <w:tc>
          <w:tcPr>
            <w:tcW w:type="dxa" w:w="2168"/>
          </w:tcPr>
          <w:p>
            <w:r/>
            <w:r>
              <w:rPr>
                <w:b w:val="0"/>
                <w:sz w:val="16"/>
              </w:rPr>
              <w:t>Nodes with mandatoryGUtranFreqRef containing the new N77 SSB (647328) and the N77B SSB (653952)</w:t>
            </w:r>
          </w:p>
        </w:tc>
        <w:tc>
          <w:tcPr>
            <w:tcW w:type="dxa" w:w="2168"/>
          </w:tcPr>
          <w:p>
            <w:r/>
            <w:r>
              <w:rPr>
                <w:b w:val="0"/>
                <w:sz w:val="16"/>
              </w:rPr>
              <w:t>Nodes with Step2c completed</w:t>
            </w:r>
          </w:p>
        </w:tc>
      </w:tr>
      <w:tr>
        <w:tc>
          <w:tcPr>
            <w:tcW w:type="dxa" w:w="2168"/>
          </w:tcPr>
          <w:p>
            <w:r/>
            <w:r>
              <w:rPr>
                <w:b w:val="0"/>
                <w:sz w:val="16"/>
              </w:rPr>
              <w:t>EndcDistrProfile</w:t>
            </w:r>
          </w:p>
        </w:tc>
        <w:tc>
          <w:tcPr>
            <w:tcW w:type="dxa" w:w="2168"/>
          </w:tcPr>
          <w:p>
            <w:r/>
            <w:r>
              <w:rPr>
                <w:b w:val="0"/>
                <w:sz w:val="16"/>
              </w:rPr>
              <w:t>ENDC Inconsistencies</w:t>
            </w:r>
          </w:p>
        </w:tc>
        <w:tc>
          <w:tcPr>
            <w:tcW w:type="dxa" w:w="2168"/>
          </w:tcPr>
          <w:p>
            <w:r/>
            <w:r>
              <w:rPr>
                <w:b w:val="0"/>
                <w:sz w:val="16"/>
              </w:rPr>
              <w:t>Nodes with gUtranFreqRef not containing N77 SSBs (648672 or 647328) together with N77B SSB (653952)</w:t>
            </w:r>
          </w:p>
        </w:tc>
        <w:tc>
          <w:tcPr>
            <w:tcW w:type="dxa" w:w="2168"/>
          </w:tcPr>
          <w:p>
            <w:r/>
            <w:r>
              <w:rPr>
                <w:b w:val="0"/>
                <w:sz w:val="16"/>
              </w:rPr>
              <w:t>Need to run Step1 on this nodes</w:t>
            </w:r>
          </w:p>
        </w:tc>
      </w:tr>
      <w:tr>
        <w:tc>
          <w:tcPr>
            <w:tcW w:type="dxa" w:w="2168"/>
          </w:tcPr>
          <w:p>
            <w:r/>
            <w:r>
              <w:rPr>
                <w:b w:val="0"/>
                <w:sz w:val="16"/>
              </w:rPr>
              <w:t>EndcDistrProfile</w:t>
            </w:r>
          </w:p>
        </w:tc>
        <w:tc>
          <w:tcPr>
            <w:tcW w:type="dxa" w:w="2168"/>
          </w:tcPr>
          <w:p>
            <w:r/>
            <w:r>
              <w:rPr>
                <w:b w:val="0"/>
                <w:sz w:val="16"/>
              </w:rPr>
              <w:t>ENDC Inconsistencies</w:t>
            </w:r>
          </w:p>
        </w:tc>
        <w:tc>
          <w:tcPr>
            <w:tcW w:type="dxa" w:w="2168"/>
          </w:tcPr>
          <w:p>
            <w:r/>
            <w:r>
              <w:rPr>
                <w:b w:val="0"/>
                <w:sz w:val="16"/>
              </w:rPr>
              <w:t>Nodes with mandatoryGUtranFreqRef not empty and not containing N77 SSBs (648672 or 647328) together with N77B SSB (653952)</w:t>
            </w:r>
          </w:p>
        </w:tc>
        <w:tc>
          <w:tcPr>
            <w:tcW w:type="dxa" w:w="2168"/>
          </w:tcPr>
          <w:p>
            <w:r/>
            <w:r>
              <w:rPr>
                <w:b w:val="0"/>
                <w:sz w:val="16"/>
              </w:rPr>
              <w:t>These nodes must be checked in preparation phase and confirm if any special action needed</w:t>
            </w:r>
          </w:p>
        </w:tc>
      </w:tr>
      <w:tr>
        <w:tc>
          <w:tcPr>
            <w:tcW w:type="dxa" w:w="2168"/>
          </w:tcPr>
          <w:p>
            <w:r/>
            <w:r>
              <w:rPr>
                <w:b w:val="0"/>
                <w:sz w:val="16"/>
              </w:rPr>
              <w:t>FreqPrioNR</w:t>
            </w:r>
          </w:p>
        </w:tc>
        <w:tc>
          <w:tcPr>
            <w:tcW w:type="dxa" w:w="2168"/>
          </w:tcPr>
          <w:p>
            <w:r/>
            <w:r>
              <w:rPr>
                <w:b w:val="0"/>
                <w:sz w:val="16"/>
              </w:rPr>
              <w:t>ENDC Audit</w:t>
            </w:r>
          </w:p>
        </w:tc>
        <w:tc>
          <w:tcPr>
            <w:tcW w:type="dxa" w:w="2168"/>
          </w:tcPr>
          <w:p>
            <w:r/>
            <w:r>
              <w:rPr>
                <w:b w:val="0"/>
                <w:sz w:val="16"/>
              </w:rPr>
              <w:t>LTE nodes with the old N77 SSB (648672) but without the new N77 SSB (647328)</w:t>
            </w:r>
          </w:p>
        </w:tc>
        <w:tc>
          <w:tcPr>
            <w:tcW w:type="dxa" w:w="2168"/>
          </w:tcPr>
          <w:p>
            <w:r/>
            <w:r>
              <w:rPr>
                <w:b w:val="0"/>
                <w:sz w:val="16"/>
              </w:rPr>
              <w:t>Need to run Step1 on this nodes if existing GUtranFreqRelation</w:t>
            </w:r>
          </w:p>
        </w:tc>
      </w:tr>
      <w:tr>
        <w:tc>
          <w:tcPr>
            <w:tcW w:type="dxa" w:w="2168"/>
          </w:tcPr>
          <w:p>
            <w:r/>
            <w:r>
              <w:rPr>
                <w:b w:val="0"/>
                <w:sz w:val="16"/>
              </w:rPr>
              <w:t>FreqPrioNR</w:t>
            </w:r>
          </w:p>
        </w:tc>
        <w:tc>
          <w:tcPr>
            <w:tcW w:type="dxa" w:w="2168"/>
          </w:tcPr>
          <w:p>
            <w:r/>
            <w:r>
              <w:rPr>
                <w:b w:val="0"/>
                <w:sz w:val="16"/>
              </w:rPr>
              <w:t>ENDC Audit</w:t>
            </w:r>
          </w:p>
        </w:tc>
        <w:tc>
          <w:tcPr>
            <w:tcW w:type="dxa" w:w="2168"/>
          </w:tcPr>
          <w:p>
            <w:r/>
            <w:r>
              <w:rPr>
                <w:b w:val="0"/>
                <w:sz w:val="16"/>
              </w:rPr>
              <w:t>LTE nodes with both, the old N77 SSB (648672) and the new N77 SSB (647328)</w:t>
            </w:r>
          </w:p>
        </w:tc>
        <w:tc>
          <w:tcPr>
            <w:tcW w:type="dxa" w:w="2168"/>
          </w:tcPr>
          <w:p>
            <w:r/>
            <w:r>
              <w:rPr>
                <w:b w:val="0"/>
                <w:sz w:val="16"/>
              </w:rPr>
              <w:t>Nodes with Step1 completed</w:t>
            </w:r>
          </w:p>
        </w:tc>
      </w:tr>
      <w:tr>
        <w:tc>
          <w:tcPr>
            <w:tcW w:type="dxa" w:w="2168"/>
          </w:tcPr>
          <w:p>
            <w:r/>
            <w:r>
              <w:rPr>
                <w:b w:val="0"/>
                <w:sz w:val="16"/>
              </w:rPr>
              <w:t>FreqPrioNR</w:t>
            </w:r>
          </w:p>
        </w:tc>
        <w:tc>
          <w:tcPr>
            <w:tcW w:type="dxa" w:w="2168"/>
          </w:tcPr>
          <w:p>
            <w:r/>
            <w:r>
              <w:rPr>
                <w:b w:val="0"/>
                <w:sz w:val="16"/>
              </w:rPr>
              <w:t>ENDC Audit</w:t>
            </w:r>
          </w:p>
        </w:tc>
        <w:tc>
          <w:tcPr>
            <w:tcW w:type="dxa" w:w="2168"/>
          </w:tcPr>
          <w:p>
            <w:r/>
            <w:r>
              <w:rPr>
                <w:b w:val="0"/>
                <w:sz w:val="16"/>
              </w:rPr>
              <w:t>NR nodes with RATFreqPrioId = "fwa" in N77 band</w:t>
            </w:r>
          </w:p>
        </w:tc>
        <w:tc>
          <w:tcPr>
            <w:tcW w:type="dxa" w:w="2168"/>
          </w:tcPr>
          <w:p>
            <w:r/>
          </w:p>
        </w:tc>
      </w:tr>
      <w:tr>
        <w:tc>
          <w:tcPr>
            <w:tcW w:type="dxa" w:w="2168"/>
          </w:tcPr>
          <w:p>
            <w:r/>
            <w:r>
              <w:rPr>
                <w:b w:val="0"/>
                <w:sz w:val="16"/>
              </w:rPr>
              <w:t>FreqPrioNR</w:t>
            </w:r>
          </w:p>
        </w:tc>
        <w:tc>
          <w:tcPr>
            <w:tcW w:type="dxa" w:w="2168"/>
          </w:tcPr>
          <w:p>
            <w:r/>
            <w:r>
              <w:rPr>
                <w:b w:val="0"/>
                <w:sz w:val="16"/>
              </w:rPr>
              <w:t>ENDC Audit</w:t>
            </w:r>
          </w:p>
        </w:tc>
        <w:tc>
          <w:tcPr>
            <w:tcW w:type="dxa" w:w="2168"/>
          </w:tcPr>
          <w:p>
            <w:r/>
            <w:r>
              <w:rPr>
                <w:b w:val="0"/>
                <w:sz w:val="16"/>
              </w:rPr>
              <w:t>NR nodes with RATFreqPrioId = "publicsafety" in N77 band</w:t>
            </w:r>
          </w:p>
        </w:tc>
        <w:tc>
          <w:tcPr>
            <w:tcW w:type="dxa" w:w="2168"/>
          </w:tcPr>
          <w:p>
            <w:r/>
          </w:p>
        </w:tc>
      </w:tr>
      <w:tr>
        <w:tc>
          <w:tcPr>
            <w:tcW w:type="dxa" w:w="2168"/>
          </w:tcPr>
          <w:p>
            <w:r/>
            <w:r>
              <w:rPr>
                <w:b w:val="0"/>
                <w:sz w:val="16"/>
              </w:rPr>
              <w:t>FreqPrioNR</w:t>
            </w:r>
          </w:p>
        </w:tc>
        <w:tc>
          <w:tcPr>
            <w:tcW w:type="dxa" w:w="2168"/>
          </w:tcPr>
          <w:p>
            <w:r/>
            <w:r>
              <w:rPr>
                <w:b w:val="0"/>
                <w:sz w:val="16"/>
              </w:rPr>
              <w:t>ENDC Inconsistencies</w:t>
            </w:r>
          </w:p>
        </w:tc>
        <w:tc>
          <w:tcPr>
            <w:tcW w:type="dxa" w:w="2168"/>
          </w:tcPr>
          <w:p>
            <w:r/>
            <w:r>
              <w:rPr>
                <w:b w:val="0"/>
                <w:sz w:val="16"/>
              </w:rPr>
              <w:t>LTE nodes with mismatching params (cell-level) between FreqPrioNR 648672 and 647328</w:t>
            </w:r>
          </w:p>
        </w:tc>
        <w:tc>
          <w:tcPr>
            <w:tcW w:type="dxa" w:w="2168"/>
          </w:tcPr>
          <w:p>
            <w:r/>
          </w:p>
        </w:tc>
      </w:tr>
      <w:tr>
        <w:tc>
          <w:tcPr>
            <w:tcW w:type="dxa" w:w="2168"/>
          </w:tcPr>
          <w:p>
            <w:r/>
            <w:r>
              <w:rPr>
                <w:b w:val="0"/>
                <w:sz w:val="16"/>
              </w:rPr>
              <w:t>FreqPrioNR</w:t>
            </w:r>
          </w:p>
        </w:tc>
        <w:tc>
          <w:tcPr>
            <w:tcW w:type="dxa" w:w="2168"/>
          </w:tcPr>
          <w:p>
            <w:r/>
            <w:r>
              <w:rPr>
                <w:b w:val="0"/>
                <w:sz w:val="16"/>
              </w:rPr>
              <w:t>ENDC Inconsistencies</w:t>
            </w:r>
          </w:p>
        </w:tc>
        <w:tc>
          <w:tcPr>
            <w:tcW w:type="dxa" w:w="2168"/>
          </w:tcPr>
          <w:p>
            <w:r/>
            <w:r>
              <w:rPr>
                <w:b w:val="0"/>
                <w:sz w:val="16"/>
              </w:rPr>
              <w:t>NR nodes with RATFreqPrioId different from "fwa"/"publicsafety" in N77 band</w:t>
            </w:r>
          </w:p>
        </w:tc>
        <w:tc>
          <w:tcPr>
            <w:tcW w:type="dxa" w:w="2168"/>
          </w:tcPr>
          <w:p>
            <w:r/>
            <w:r>
              <w:rPr>
                <w:b w:val="0"/>
                <w:sz w:val="16"/>
              </w:rPr>
              <w:t>These nodes must be checked in preparation phase and confirm if any special action needed</w:t>
            </w:r>
          </w:p>
        </w:tc>
      </w:tr>
    </w:tbl>
    <w:p>
      <w:pPr>
        <w:pStyle w:val="Heading2"/>
      </w:pPr>
      <w:r>
        <w:t>Cardinalities Audit / Inconsistencies</w:t>
      </w:r>
    </w:p>
    <w:p>
      <w:r>
        <w:rPr>
          <w:b w:val="0"/>
        </w:rPr>
        <w:t>Cardinality checks per relation table (per node and/or per cell) to detect overprovisioning or gaps versus expected limits.</w:t>
      </w:r>
    </w:p>
    <w:p>
      <w:r>
        <w:rPr>
          <w:b/>
        </w:rPr>
        <w:t>Complete Checks List</w:t>
      </w:r>
      <w:r>
        <w:rPr>
          <w:b w:val="0"/>
        </w:rPr>
        <w:t>:</w:t>
      </w:r>
    </w:p>
    <w:tbl>
      <w:tblPr>
        <w:tblStyle w:val="TableGrid"/>
        <w:tblW w:type="auto" w:w="0"/>
        <w:tblLook w:firstColumn="1" w:firstRow="1" w:lastColumn="0" w:lastRow="0" w:noHBand="0" w:noVBand="1" w:val="04A0"/>
      </w:tblPr>
      <w:tblGrid>
        <w:gridCol w:w="2168"/>
        <w:gridCol w:w="2168"/>
        <w:gridCol w:w="2168"/>
        <w:gridCol w:w="2168"/>
      </w:tblGrid>
      <w:tr>
        <w:tc>
          <w:tcPr>
            <w:tcW w:type="dxa" w:w="2168"/>
          </w:tcPr>
          <w:p>
            <w:r/>
            <w:r>
              <w:rPr>
                <w:b/>
                <w:sz w:val="18"/>
              </w:rPr>
              <w:t>Category</w:t>
            </w:r>
          </w:p>
        </w:tc>
        <w:tc>
          <w:tcPr>
            <w:tcW w:type="dxa" w:w="2168"/>
          </w:tcPr>
          <w:p>
            <w:r/>
            <w:r>
              <w:rPr>
                <w:b/>
                <w:sz w:val="18"/>
              </w:rPr>
              <w:t>SubCategory</w:t>
            </w:r>
          </w:p>
        </w:tc>
        <w:tc>
          <w:tcPr>
            <w:tcW w:type="dxa" w:w="2168"/>
          </w:tcPr>
          <w:p>
            <w:r/>
            <w:r>
              <w:rPr>
                <w:b/>
                <w:sz w:val="18"/>
              </w:rPr>
              <w:t>Metric</w:t>
            </w:r>
          </w:p>
        </w:tc>
        <w:tc>
          <w:tcPr>
            <w:tcW w:type="dxa" w:w="2168"/>
          </w:tcPr>
          <w:p>
            <w:r/>
            <w:r>
              <w:rPr>
                <w:b/>
                <w:sz w:val="18"/>
              </w:rPr>
              <w:t>Tips</w:t>
            </w:r>
          </w:p>
        </w:tc>
      </w:tr>
      <w:tr>
        <w:tc>
          <w:tcPr>
            <w:tcW w:type="dxa" w:w="2168"/>
          </w:tcPr>
          <w:p>
            <w:r/>
            <w:r>
              <w:rPr>
                <w:b w:val="0"/>
                <w:sz w:val="16"/>
              </w:rPr>
              <w:t>Cardinality NRFrequency</w:t>
            </w:r>
          </w:p>
        </w:tc>
        <w:tc>
          <w:tcPr>
            <w:tcW w:type="dxa" w:w="2168"/>
          </w:tcPr>
          <w:p>
            <w:r/>
            <w:r>
              <w:rPr>
                <w:b w:val="0"/>
                <w:sz w:val="16"/>
              </w:rPr>
              <w:t>Cardinality Audit</w:t>
            </w:r>
          </w:p>
        </w:tc>
        <w:tc>
          <w:tcPr>
            <w:tcW w:type="dxa" w:w="2168"/>
          </w:tcPr>
          <w:p>
            <w:r/>
            <w:r>
              <w:rPr>
                <w:b w:val="0"/>
                <w:sz w:val="16"/>
              </w:rPr>
              <w:t>Max NRFrequency definitions per node (limit 64)</w:t>
            </w:r>
          </w:p>
        </w:tc>
        <w:tc>
          <w:tcPr>
            <w:tcW w:type="dxa" w:w="2168"/>
          </w:tcPr>
          <w:p>
            <w:r/>
            <w:r>
              <w:rPr>
                <w:b w:val="0"/>
                <w:sz w:val="16"/>
              </w:rPr>
              <w:t>These nodes must be checked in preparation phase and confirm if any special action needed</w:t>
            </w:r>
          </w:p>
        </w:tc>
      </w:tr>
      <w:tr>
        <w:tc>
          <w:tcPr>
            <w:tcW w:type="dxa" w:w="2168"/>
          </w:tcPr>
          <w:p>
            <w:r/>
            <w:r>
              <w:rPr>
                <w:b w:val="0"/>
                <w:sz w:val="16"/>
              </w:rPr>
              <w:t>Cardinality NRFrequency</w:t>
            </w:r>
          </w:p>
        </w:tc>
        <w:tc>
          <w:tcPr>
            <w:tcW w:type="dxa" w:w="2168"/>
          </w:tcPr>
          <w:p>
            <w:r/>
            <w:r>
              <w:rPr>
                <w:b w:val="0"/>
                <w:sz w:val="16"/>
              </w:rPr>
              <w:t>Cardinality Inconsistencies</w:t>
            </w:r>
          </w:p>
        </w:tc>
        <w:tc>
          <w:tcPr>
            <w:tcW w:type="dxa" w:w="2168"/>
          </w:tcPr>
          <w:p>
            <w:r/>
            <w:r>
              <w:rPr>
                <w:b w:val="0"/>
                <w:sz w:val="16"/>
              </w:rPr>
              <w:t>NR nodes with NRFrequency definitions at limit 64</w:t>
            </w:r>
          </w:p>
        </w:tc>
        <w:tc>
          <w:tcPr>
            <w:tcW w:type="dxa" w:w="2168"/>
          </w:tcPr>
          <w:p>
            <w:r/>
            <w:r>
              <w:rPr>
                <w:b w:val="0"/>
                <w:sz w:val="16"/>
              </w:rPr>
              <w:t>These nodes must be checked in preparation phase and confirm if any special action needed</w:t>
            </w:r>
          </w:p>
        </w:tc>
      </w:tr>
      <w:tr>
        <w:tc>
          <w:tcPr>
            <w:tcW w:type="dxa" w:w="2168"/>
          </w:tcPr>
          <w:p>
            <w:r/>
            <w:r>
              <w:rPr>
                <w:b w:val="0"/>
                <w:sz w:val="16"/>
              </w:rPr>
              <w:t>Cardinality NRFreqRelation</w:t>
            </w:r>
          </w:p>
        </w:tc>
        <w:tc>
          <w:tcPr>
            <w:tcW w:type="dxa" w:w="2168"/>
          </w:tcPr>
          <w:p>
            <w:r/>
            <w:r>
              <w:rPr>
                <w:b w:val="0"/>
                <w:sz w:val="16"/>
              </w:rPr>
              <w:t>Cardinality Audit</w:t>
            </w:r>
          </w:p>
        </w:tc>
        <w:tc>
          <w:tcPr>
            <w:tcW w:type="dxa" w:w="2168"/>
          </w:tcPr>
          <w:p>
            <w:r/>
            <w:r>
              <w:rPr>
                <w:b w:val="0"/>
                <w:sz w:val="16"/>
              </w:rPr>
              <w:t>Max NRFreqRelation per NR cell (limit 16)</w:t>
            </w:r>
          </w:p>
        </w:tc>
        <w:tc>
          <w:tcPr>
            <w:tcW w:type="dxa" w:w="2168"/>
          </w:tcPr>
          <w:p>
            <w:r/>
            <w:r>
              <w:rPr>
                <w:b w:val="0"/>
                <w:sz w:val="16"/>
              </w:rPr>
              <w:t>These cells must be checked in preparation phase and confirm if any special action needed</w:t>
            </w:r>
          </w:p>
        </w:tc>
      </w:tr>
      <w:tr>
        <w:tc>
          <w:tcPr>
            <w:tcW w:type="dxa" w:w="2168"/>
          </w:tcPr>
          <w:p>
            <w:r/>
            <w:r>
              <w:rPr>
                <w:b w:val="0"/>
                <w:sz w:val="16"/>
              </w:rPr>
              <w:t>Cardinality NRFreqRelation</w:t>
            </w:r>
          </w:p>
        </w:tc>
        <w:tc>
          <w:tcPr>
            <w:tcW w:type="dxa" w:w="2168"/>
          </w:tcPr>
          <w:p>
            <w:r/>
            <w:r>
              <w:rPr>
                <w:b w:val="0"/>
                <w:sz w:val="16"/>
              </w:rPr>
              <w:t>Cardinality Inconsistencies</w:t>
            </w:r>
          </w:p>
        </w:tc>
        <w:tc>
          <w:tcPr>
            <w:tcW w:type="dxa" w:w="2168"/>
          </w:tcPr>
          <w:p>
            <w:r/>
            <w:r>
              <w:rPr>
                <w:b w:val="0"/>
                <w:sz w:val="16"/>
              </w:rPr>
              <w:t>NR cells with NRFreqRelation count at limit 16</w:t>
            </w:r>
          </w:p>
        </w:tc>
        <w:tc>
          <w:tcPr>
            <w:tcW w:type="dxa" w:w="2168"/>
          </w:tcPr>
          <w:p>
            <w:r/>
            <w:r>
              <w:rPr>
                <w:b w:val="0"/>
                <w:sz w:val="16"/>
              </w:rPr>
              <w:t>These cells must be checked in preparation phase and confirm if any special action needed</w:t>
            </w:r>
          </w:p>
        </w:tc>
      </w:tr>
      <w:tr>
        <w:tc>
          <w:tcPr>
            <w:tcW w:type="dxa" w:w="2168"/>
          </w:tcPr>
          <w:p>
            <w:r/>
            <w:r>
              <w:rPr>
                <w:b w:val="0"/>
                <w:sz w:val="16"/>
              </w:rPr>
              <w:t>Cardinality GUtranSyncSignalFrequency</w:t>
            </w:r>
          </w:p>
        </w:tc>
        <w:tc>
          <w:tcPr>
            <w:tcW w:type="dxa" w:w="2168"/>
          </w:tcPr>
          <w:p>
            <w:r/>
            <w:r>
              <w:rPr>
                <w:b w:val="0"/>
                <w:sz w:val="16"/>
              </w:rPr>
              <w:t>Cardinality Audit</w:t>
            </w:r>
          </w:p>
        </w:tc>
        <w:tc>
          <w:tcPr>
            <w:tcW w:type="dxa" w:w="2168"/>
          </w:tcPr>
          <w:p>
            <w:r/>
            <w:r>
              <w:rPr>
                <w:b w:val="0"/>
                <w:sz w:val="16"/>
              </w:rPr>
              <w:t>Max GUtranSyncSignalFrequency definitions per node (limit 24)</w:t>
            </w:r>
          </w:p>
        </w:tc>
        <w:tc>
          <w:tcPr>
            <w:tcW w:type="dxa" w:w="2168"/>
          </w:tcPr>
          <w:p>
            <w:r/>
            <w:r>
              <w:rPr>
                <w:b w:val="0"/>
                <w:sz w:val="16"/>
              </w:rPr>
              <w:t>These nodes must be checked in preparation phase and confirm if any special action needed</w:t>
            </w:r>
          </w:p>
        </w:tc>
      </w:tr>
      <w:tr>
        <w:tc>
          <w:tcPr>
            <w:tcW w:type="dxa" w:w="2168"/>
          </w:tcPr>
          <w:p>
            <w:r/>
            <w:r>
              <w:rPr>
                <w:b w:val="0"/>
                <w:sz w:val="16"/>
              </w:rPr>
              <w:t>Cardinality GUtranSyncSignalFrequency</w:t>
            </w:r>
          </w:p>
        </w:tc>
        <w:tc>
          <w:tcPr>
            <w:tcW w:type="dxa" w:w="2168"/>
          </w:tcPr>
          <w:p>
            <w:r/>
            <w:r>
              <w:rPr>
                <w:b w:val="0"/>
                <w:sz w:val="16"/>
              </w:rPr>
              <w:t>Cardinality Inconsistencies</w:t>
            </w:r>
          </w:p>
        </w:tc>
        <w:tc>
          <w:tcPr>
            <w:tcW w:type="dxa" w:w="2168"/>
          </w:tcPr>
          <w:p>
            <w:r/>
            <w:r>
              <w:rPr>
                <w:b w:val="0"/>
                <w:sz w:val="16"/>
              </w:rPr>
              <w:t>LTE nodes with GUtranSyncSignalFrequency definitions at limit 24</w:t>
            </w:r>
          </w:p>
        </w:tc>
        <w:tc>
          <w:tcPr>
            <w:tcW w:type="dxa" w:w="2168"/>
          </w:tcPr>
          <w:p>
            <w:r/>
            <w:r>
              <w:rPr>
                <w:b w:val="0"/>
                <w:sz w:val="16"/>
              </w:rPr>
              <w:t>These nodes must be checked in preparation phase and confirm if any special action needed</w:t>
            </w:r>
          </w:p>
        </w:tc>
      </w:tr>
      <w:tr>
        <w:tc>
          <w:tcPr>
            <w:tcW w:type="dxa" w:w="2168"/>
          </w:tcPr>
          <w:p>
            <w:r/>
            <w:r>
              <w:rPr>
                <w:b w:val="0"/>
                <w:sz w:val="16"/>
              </w:rPr>
              <w:t>Cardinality GUtranFreqRelation</w:t>
            </w:r>
          </w:p>
        </w:tc>
        <w:tc>
          <w:tcPr>
            <w:tcW w:type="dxa" w:w="2168"/>
          </w:tcPr>
          <w:p>
            <w:r/>
            <w:r>
              <w:rPr>
                <w:b w:val="0"/>
                <w:sz w:val="16"/>
              </w:rPr>
              <w:t>Cardinality Audit</w:t>
            </w:r>
          </w:p>
        </w:tc>
        <w:tc>
          <w:tcPr>
            <w:tcW w:type="dxa" w:w="2168"/>
          </w:tcPr>
          <w:p>
            <w:r/>
            <w:r>
              <w:rPr>
                <w:b w:val="0"/>
                <w:sz w:val="16"/>
              </w:rPr>
              <w:t>Max GUtranFreqRelation per LTE cell (limit 16)</w:t>
            </w:r>
          </w:p>
        </w:tc>
        <w:tc>
          <w:tcPr>
            <w:tcW w:type="dxa" w:w="2168"/>
          </w:tcPr>
          <w:p>
            <w:r/>
            <w:r>
              <w:rPr>
                <w:b w:val="0"/>
                <w:sz w:val="16"/>
              </w:rPr>
              <w:t>These cells must be checked in preparation phase and confirm if any special action needed</w:t>
            </w:r>
          </w:p>
        </w:tc>
      </w:tr>
      <w:tr>
        <w:tc>
          <w:tcPr>
            <w:tcW w:type="dxa" w:w="2168"/>
          </w:tcPr>
          <w:p>
            <w:r/>
            <w:r>
              <w:rPr>
                <w:b w:val="0"/>
                <w:sz w:val="16"/>
              </w:rPr>
              <w:t>Cardinality GUtranFreqRelation</w:t>
            </w:r>
          </w:p>
        </w:tc>
        <w:tc>
          <w:tcPr>
            <w:tcW w:type="dxa" w:w="2168"/>
          </w:tcPr>
          <w:p>
            <w:r/>
            <w:r>
              <w:rPr>
                <w:b w:val="0"/>
                <w:sz w:val="16"/>
              </w:rPr>
              <w:t>Cardinality Inconsistencies</w:t>
            </w:r>
          </w:p>
        </w:tc>
        <w:tc>
          <w:tcPr>
            <w:tcW w:type="dxa" w:w="2168"/>
          </w:tcPr>
          <w:p>
            <w:r/>
            <w:r>
              <w:rPr>
                <w:b w:val="0"/>
                <w:sz w:val="16"/>
              </w:rPr>
              <w:t>LTE cells with GUtranFreqRelation count at limit 16</w:t>
            </w:r>
          </w:p>
        </w:tc>
        <w:tc>
          <w:tcPr>
            <w:tcW w:type="dxa" w:w="2168"/>
          </w:tcPr>
          <w:p>
            <w:r/>
            <w:r>
              <w:rPr>
                <w:b w:val="0"/>
                <w:sz w:val="16"/>
              </w:rPr>
              <w:t>These cells must be checked in preparation phase and confirm if any special action needed</w:t>
            </w:r>
          </w:p>
        </w:tc>
      </w:tr>
    </w:tbl>
    <w:p>
      <w:pPr>
        <w:pStyle w:val="Heading2"/>
      </w:pPr>
      <w:r>
        <w:t>Profiles Audit (if enabled)</w:t>
      </w:r>
    </w:p>
    <w:p>
      <w:pPr>
        <w:pStyle w:val="ListParagraph"/>
        <w:numPr>
          <w:ilvl w:val="0"/>
          <w:numId w:val="28"/>
        </w:numPr>
      </w:pPr>
      <w:r>
        <w:rPr>
          <w:b w:val="0"/>
        </w:rPr>
        <w:t>Compares PRE/POST profiles by supported profile MO.</w:t>
      </w:r>
    </w:p>
    <w:p>
      <w:pPr>
        <w:pStyle w:val="ListParagraph"/>
        <w:numPr>
          <w:ilvl w:val="0"/>
          <w:numId w:val="28"/>
        </w:numPr>
      </w:pPr>
      <w:r>
        <w:rPr>
          <w:b w:val="0"/>
        </w:rPr>
        <w:t>Detects parameter discrepancies between old/new variants.</w:t>
      </w:r>
    </w:p>
    <w:p>
      <w:pPr>
        <w:pStyle w:val="ListParagraph"/>
        <w:numPr>
          <w:ilvl w:val="0"/>
          <w:numId w:val="28"/>
        </w:numPr>
      </w:pPr>
      <w:r>
        <w:rPr>
          <w:b w:val="0"/>
        </w:rPr>
        <w:t>Adds results to SummaryAudit and auxiliary detail sheets.</w:t>
      </w:r>
    </w:p>
    <w:p>
      <w:r>
        <w:rPr>
          <w:b/>
        </w:rPr>
        <w:t>Complete Checks List</w:t>
      </w:r>
      <w:r>
        <w:rPr>
          <w:b w:val="0"/>
        </w:rPr>
        <w:t>:</w:t>
      </w:r>
    </w:p>
    <w:tbl>
      <w:tblPr>
        <w:tblStyle w:val="TableGrid"/>
        <w:tblW w:type="auto" w:w="0"/>
        <w:tblLook w:firstColumn="1" w:firstRow="1" w:lastColumn="0" w:lastRow="0" w:noHBand="0" w:noVBand="1" w:val="04A0"/>
      </w:tblPr>
      <w:tblGrid>
        <w:gridCol w:w="2168"/>
        <w:gridCol w:w="2168"/>
        <w:gridCol w:w="2168"/>
        <w:gridCol w:w="2168"/>
      </w:tblGrid>
      <w:tr>
        <w:tc>
          <w:tcPr>
            <w:tcW w:type="dxa" w:w="2168"/>
          </w:tcPr>
          <w:p>
            <w:r/>
            <w:r>
              <w:rPr>
                <w:b/>
                <w:sz w:val="18"/>
              </w:rPr>
              <w:t>Category</w:t>
            </w:r>
          </w:p>
        </w:tc>
        <w:tc>
          <w:tcPr>
            <w:tcW w:type="dxa" w:w="2168"/>
          </w:tcPr>
          <w:p>
            <w:r/>
            <w:r>
              <w:rPr>
                <w:b/>
                <w:sz w:val="18"/>
              </w:rPr>
              <w:t>SubCategory</w:t>
            </w:r>
          </w:p>
        </w:tc>
        <w:tc>
          <w:tcPr>
            <w:tcW w:type="dxa" w:w="2168"/>
          </w:tcPr>
          <w:p>
            <w:r/>
            <w:r>
              <w:rPr>
                <w:b/>
                <w:sz w:val="18"/>
              </w:rPr>
              <w:t>Metric</w:t>
            </w:r>
          </w:p>
        </w:tc>
        <w:tc>
          <w:tcPr>
            <w:tcW w:type="dxa" w:w="2168"/>
          </w:tcPr>
          <w:p>
            <w:r/>
            <w:r>
              <w:rPr>
                <w:b/>
                <w:sz w:val="18"/>
              </w:rPr>
              <w:t>Tips</w:t>
            </w:r>
          </w:p>
        </w:tc>
      </w:tr>
      <w:tr>
        <w:tc>
          <w:tcPr>
            <w:tcW w:type="dxa" w:w="2168"/>
          </w:tcPr>
          <w:p>
            <w:r/>
            <w:r>
              <w:rPr>
                <w:b w:val="0"/>
                <w:sz w:val="16"/>
              </w:rPr>
              <w:t>McpcPCellNrFreqRelProfileUeCfg</w:t>
            </w:r>
          </w:p>
        </w:tc>
        <w:tc>
          <w:tcPr>
            <w:tcW w:type="dxa" w:w="2168"/>
          </w:tcPr>
          <w:p>
            <w:r/>
            <w:r>
              <w:rPr>
                <w:b w:val="0"/>
                <w:sz w:val="16"/>
              </w:rPr>
              <w:t>Profiles Inconsistencies</w:t>
            </w:r>
          </w:p>
        </w:tc>
        <w:tc>
          <w:tcPr>
            <w:tcW w:type="dxa" w:w="2168"/>
          </w:tcPr>
          <w:p>
            <w:r/>
            <w:r>
              <w:rPr>
                <w:b w:val="0"/>
                <w:sz w:val="16"/>
              </w:rPr>
              <w:t>Profiles with old N77 SSB (xxxx_648672) but not new N77 SSB (xxxx_647328)</w:t>
            </w:r>
          </w:p>
        </w:tc>
        <w:tc>
          <w:tcPr>
            <w:tcW w:type="dxa" w:w="2168"/>
          </w:tcPr>
          <w:p>
            <w:r/>
            <w:r>
              <w:rPr>
                <w:b w:val="0"/>
                <w:sz w:val="16"/>
              </w:rPr>
              <w:t>Need to review profile consistency before/after retune</w:t>
            </w:r>
          </w:p>
        </w:tc>
      </w:tr>
      <w:tr>
        <w:tc>
          <w:tcPr>
            <w:tcW w:type="dxa" w:w="2168"/>
          </w:tcPr>
          <w:p>
            <w:r/>
            <w:r>
              <w:rPr>
                <w:b w:val="0"/>
                <w:sz w:val="16"/>
              </w:rPr>
              <w:t>McpcPCellNrFreqRelProfileUeCfg</w:t>
            </w:r>
          </w:p>
        </w:tc>
        <w:tc>
          <w:tcPr>
            <w:tcW w:type="dxa" w:w="2168"/>
          </w:tcPr>
          <w:p>
            <w:r/>
            <w:r>
              <w:rPr>
                <w:b w:val="0"/>
                <w:sz w:val="16"/>
              </w:rPr>
              <w:t>Profiles Inconsistencies</w:t>
            </w:r>
          </w:p>
        </w:tc>
        <w:tc>
          <w:tcPr>
            <w:tcW w:type="dxa" w:w="2168"/>
          </w:tcPr>
          <w:p>
            <w:r/>
            <w:r>
              <w:rPr>
                <w:b w:val="0"/>
                <w:sz w:val="16"/>
              </w:rPr>
              <w:t>Retuned nodes and Profiles with old N77 SSB (648672_xxxx) but not new N77 SSB (647328_xxxx)</w:t>
            </w:r>
          </w:p>
        </w:tc>
        <w:tc>
          <w:tcPr>
            <w:tcW w:type="dxa" w:w="2168"/>
          </w:tcPr>
          <w:p>
            <w:r/>
            <w:r>
              <w:rPr>
                <w:b w:val="0"/>
                <w:sz w:val="16"/>
              </w:rPr>
              <w:t>Need to review profile consistency before/after retune</w:t>
            </w:r>
          </w:p>
        </w:tc>
      </w:tr>
      <w:tr>
        <w:tc>
          <w:tcPr>
            <w:tcW w:type="dxa" w:w="2168"/>
          </w:tcPr>
          <w:p>
            <w:r/>
            <w:r>
              <w:rPr>
                <w:b w:val="0"/>
                <w:sz w:val="16"/>
              </w:rPr>
              <w:t>McpcPCellNrFreqRelProfileUeCfg</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TrStSaNrFreqRelProfileUeCfg</w:t>
            </w:r>
          </w:p>
        </w:tc>
        <w:tc>
          <w:tcPr>
            <w:tcW w:type="dxa" w:w="2168"/>
          </w:tcPr>
          <w:p>
            <w:r/>
            <w:r>
              <w:rPr>
                <w:b w:val="0"/>
                <w:sz w:val="16"/>
              </w:rPr>
              <w:t>Profiles Inconsistencies</w:t>
            </w:r>
          </w:p>
        </w:tc>
        <w:tc>
          <w:tcPr>
            <w:tcW w:type="dxa" w:w="2168"/>
          </w:tcPr>
          <w:p>
            <w:r/>
            <w:r>
              <w:rPr>
                <w:b w:val="0"/>
                <w:sz w:val="16"/>
              </w:rPr>
              <w:t>Retuned nodes and Profiles with old N77 SSB (648672_xxxx) but not new N77 SSB (647328_xxxx)</w:t>
            </w:r>
          </w:p>
        </w:tc>
        <w:tc>
          <w:tcPr>
            <w:tcW w:type="dxa" w:w="2168"/>
          </w:tcPr>
          <w:p>
            <w:r/>
            <w:r>
              <w:rPr>
                <w:b w:val="0"/>
                <w:sz w:val="16"/>
              </w:rPr>
              <w:t>Need to review profile consistency before/after retune</w:t>
            </w:r>
          </w:p>
        </w:tc>
      </w:tr>
      <w:tr>
        <w:tc>
          <w:tcPr>
            <w:tcW w:type="dxa" w:w="2168"/>
          </w:tcPr>
          <w:p>
            <w:r/>
            <w:r>
              <w:rPr>
                <w:b w:val="0"/>
                <w:sz w:val="16"/>
              </w:rPr>
              <w:t>TrStSaNrFreqRelProfileUeCfg</w:t>
            </w:r>
          </w:p>
        </w:tc>
        <w:tc>
          <w:tcPr>
            <w:tcW w:type="dxa" w:w="2168"/>
          </w:tcPr>
          <w:p>
            <w:r/>
            <w:r>
              <w:rPr>
                <w:b w:val="0"/>
                <w:sz w:val="16"/>
              </w:rPr>
              <w:t>Profiles Inconsistencies</w:t>
            </w:r>
          </w:p>
        </w:tc>
        <w:tc>
          <w:tcPr>
            <w:tcW w:type="dxa" w:w="2168"/>
          </w:tcPr>
          <w:p>
            <w:r/>
            <w:r>
              <w:rPr>
                <w:b w:val="0"/>
                <w:sz w:val="16"/>
              </w:rPr>
              <w:t>Retuned nodes and Profiles with old N77 SSB (648672_xxxx) but not new N77 SSB (647328_xxxx)</w:t>
            </w:r>
          </w:p>
        </w:tc>
        <w:tc>
          <w:tcPr>
            <w:tcW w:type="dxa" w:w="2168"/>
          </w:tcPr>
          <w:p>
            <w:r/>
            <w:r>
              <w:rPr>
                <w:b w:val="0"/>
                <w:sz w:val="16"/>
              </w:rPr>
              <w:t>Need to review profile consistency before/after retune</w:t>
            </w:r>
          </w:p>
        </w:tc>
      </w:tr>
      <w:tr>
        <w:tc>
          <w:tcPr>
            <w:tcW w:type="dxa" w:w="2168"/>
          </w:tcPr>
          <w:p>
            <w:r/>
            <w:r>
              <w:rPr>
                <w:b w:val="0"/>
                <w:sz w:val="16"/>
              </w:rPr>
              <w:t>TrStSaNrFreqRelProfileUeCfg</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McpcPCellProfileUeCfg</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McpcPCellProfileUeCfg</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McpcPSCellProfileUeCfg</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McpcPSCellProfileUeCfg</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UlQualMcpcMeasCfg</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UlQualMcpcMeasCfg</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McfbCellProfile</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McfbCellProfile</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McfbCellProfileUeCfg</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McfbCellProfileUeCfg</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TrStSaCellProfile</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TrStSaCellProfile</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TrStSaCellProfileUeCfg</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TrStSaCellProfileUeCfg</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CaCellProfile</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CaCellProfile</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CaCellProfileUeCfg</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CaCellProfileUeCfg</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McpcPCellEUtranFreqRelProfile</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McpcPCellEUtranFreqRelProfile</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McpcPCellEUtranFreqRelProfileUeCfg</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McpcPCellEUtranFreqRelProfileUeCfg</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UeMCEUtranFreqRelProfile</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UeMCEUtranFreqRelProfile</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UeMCEUtranFreqRelProfileUeCfg</w:t>
            </w:r>
          </w:p>
        </w:tc>
        <w:tc>
          <w:tcPr>
            <w:tcW w:type="dxa" w:w="2168"/>
          </w:tcPr>
          <w:p>
            <w:r/>
            <w:r>
              <w:rPr>
                <w:b w:val="0"/>
                <w:sz w:val="16"/>
              </w:rPr>
              <w:t>Profiles Inconsistencies</w:t>
            </w:r>
          </w:p>
        </w:tc>
        <w:tc>
          <w:tcPr>
            <w:tcW w:type="dxa" w:w="2168"/>
          </w:tcPr>
          <w:p>
            <w:r/>
            <w:r>
              <w:rPr>
                <w:b w:val="0"/>
                <w:sz w:val="16"/>
              </w:rPr>
              <w:t>Retuned nodes and Profiles with old N77 SSB (648672) but not new N77 SSB (647328)</w:t>
            </w:r>
          </w:p>
        </w:tc>
        <w:tc>
          <w:tcPr>
            <w:tcW w:type="dxa" w:w="2168"/>
          </w:tcPr>
          <w:p>
            <w:r/>
            <w:r>
              <w:rPr>
                <w:b w:val="0"/>
                <w:sz w:val="16"/>
              </w:rPr>
              <w:t>Need to review profile consistency before/after retune</w:t>
            </w:r>
          </w:p>
        </w:tc>
      </w:tr>
      <w:tr>
        <w:tc>
          <w:tcPr>
            <w:tcW w:type="dxa" w:w="2168"/>
          </w:tcPr>
          <w:p>
            <w:r/>
            <w:r>
              <w:rPr>
                <w:b w:val="0"/>
                <w:sz w:val="16"/>
              </w:rPr>
              <w:t>UeMCEUtranFreqRelProfileUeCfg</w:t>
            </w:r>
          </w:p>
        </w:tc>
        <w:tc>
          <w:tcPr>
            <w:tcW w:type="dxa" w:w="2168"/>
          </w:tcPr>
          <w:p>
            <w:r/>
            <w:r>
              <w:rPr>
                <w:b w:val="0"/>
                <w:sz w:val="16"/>
              </w:rPr>
              <w:t>Profiles Discrepancies</w:t>
            </w:r>
          </w:p>
        </w:tc>
        <w:tc>
          <w:tcPr>
            <w:tcW w:type="dxa" w:w="2168"/>
          </w:tcPr>
          <w:p>
            <w:r/>
            <w:r>
              <w:rPr>
                <w:b w:val="0"/>
                <w:sz w:val="16"/>
              </w:rPr>
              <w:t>Retuned nodes and Profiles with old N77 SSB (648672) and new N77 SSB (647328) but with param discrepancies</w:t>
            </w:r>
          </w:p>
        </w:tc>
        <w:tc>
          <w:tcPr>
            <w:tcW w:type="dxa" w:w="2168"/>
          </w:tcPr>
          <w:p>
            <w:r/>
            <w:r>
              <w:rPr>
                <w:b w:val="0"/>
                <w:sz w:val="16"/>
              </w:rPr>
              <w:t>Need to review profile discrepancies before/after retune</w:t>
            </w:r>
          </w:p>
        </w:tc>
      </w:tr>
      <w:tr>
        <w:tc>
          <w:tcPr>
            <w:tcW w:type="dxa" w:w="2168"/>
          </w:tcPr>
          <w:p>
            <w:r/>
            <w:r>
              <w:rPr>
                <w:b w:val="0"/>
                <w:sz w:val="16"/>
              </w:rPr>
              <w:t>NRCellCU</w:t>
            </w:r>
          </w:p>
        </w:tc>
        <w:tc>
          <w:tcPr>
            <w:tcW w:type="dxa" w:w="2168"/>
          </w:tcPr>
          <w:p>
            <w:r/>
            <w:r>
              <w:rPr>
                <w:b w:val="0"/>
                <w:sz w:val="16"/>
              </w:rPr>
              <w:t>Profiles Inconsistencies</w:t>
            </w:r>
          </w:p>
        </w:tc>
        <w:tc>
          <w:tcPr>
            <w:tcW w:type="dxa" w:w="2168"/>
          </w:tcPr>
          <w:p>
            <w:r/>
            <w:r>
              <w:rPr>
                <w:b w:val="0"/>
                <w:sz w:val="16"/>
              </w:rPr>
              <w:t>Retuned nodes with NRCellCU Ref parameters to Profiles with the old SSB name</w:t>
            </w:r>
          </w:p>
        </w:tc>
        <w:tc>
          <w:tcPr>
            <w:tcW w:type="dxa" w:w="2168"/>
          </w:tcPr>
          <w:p>
            <w:r/>
            <w:r>
              <w:rPr>
                <w:b w:val="0"/>
                <w:sz w:val="16"/>
              </w:rPr>
              <w:t>Need to review profile consistency before/after retune</w:t>
            </w:r>
          </w:p>
        </w:tc>
      </w:tr>
      <w:tr>
        <w:tc>
          <w:tcPr>
            <w:tcW w:type="dxa" w:w="2168"/>
          </w:tcPr>
          <w:p>
            <w:r/>
            <w:r>
              <w:rPr>
                <w:b w:val="0"/>
                <w:sz w:val="16"/>
              </w:rPr>
              <w:t>EUtranFreqRelation</w:t>
            </w:r>
          </w:p>
        </w:tc>
        <w:tc>
          <w:tcPr>
            <w:tcW w:type="dxa" w:w="2168"/>
          </w:tcPr>
          <w:p>
            <w:r/>
            <w:r>
              <w:rPr>
                <w:b w:val="0"/>
                <w:sz w:val="16"/>
              </w:rPr>
              <w:t>Profiles Inconsistencies</w:t>
            </w:r>
          </w:p>
        </w:tc>
        <w:tc>
          <w:tcPr>
            <w:tcW w:type="dxa" w:w="2168"/>
          </w:tcPr>
          <w:p>
            <w:r/>
            <w:r>
              <w:rPr>
                <w:b w:val="0"/>
                <w:sz w:val="16"/>
              </w:rPr>
              <w:t>Retuned nodes with EUtranFreqRelation Ref parameters to Profiles with the old SSB name</w:t>
            </w:r>
          </w:p>
        </w:tc>
        <w:tc>
          <w:tcPr>
            <w:tcW w:type="dxa" w:w="2168"/>
          </w:tcPr>
          <w:p>
            <w:r/>
            <w:r>
              <w:rPr>
                <w:b w:val="0"/>
                <w:sz w:val="16"/>
              </w:rPr>
              <w:t>Need to review profile consistency before/after retune</w:t>
            </w:r>
          </w:p>
        </w:tc>
      </w:tr>
    </w:tbl>
    <w:p>
      <w:pPr>
        <w:pStyle w:val="Heading2"/>
      </w:pPr>
      <w:r>
        <w:t>Detailed check execution order and gating rules</w:t>
      </w:r>
    </w:p>
    <w:p>
      <w:pPr>
        <w:pStyle w:val="ListParagraph"/>
      </w:pPr>
      <w:r>
        <w:rPr>
          <w:b w:val="0"/>
        </w:rPr>
        <w:t xml:space="preserve">1. </w:t>
      </w:r>
      <w:r>
        <w:rPr>
          <w:b/>
        </w:rPr>
        <w:t>MeContext pre-processing</w:t>
      </w:r>
    </w:p>
    <w:p>
      <w:pPr>
        <w:pStyle w:val="ListParagraph"/>
        <w:numPr>
          <w:ilvl w:val="1"/>
          <w:numId w:val="28"/>
        </w:numPr>
      </w:pPr>
      <w:r>
        <w:rPr>
          <w:b w:val="0"/>
        </w:rPr>
        <w:t>Computes total nodes and "UNSYNCHRONIZED" nodes.</w:t>
      </w:r>
    </w:p>
    <w:p>
      <w:pPr>
        <w:pStyle w:val="ListParagraph"/>
        <w:numPr>
          <w:ilvl w:val="1"/>
          <w:numId w:val="28"/>
        </w:numPr>
      </w:pPr>
      <w:r>
        <w:rPr>
          <w:b w:val="0"/>
        </w:rPr>
        <w:t>Builds an exclusion list and filters all other MO dataframes by "NodeId" before running any other checks.</w:t>
      </w:r>
    </w:p>
    <w:p>
      <w:pPr>
        <w:pStyle w:val="ListParagraph"/>
      </w:pPr>
      <w:r>
        <w:rPr>
          <w:b w:val="0"/>
        </w:rPr>
        <w:t xml:space="preserve">2. </w:t>
      </w:r>
      <w:r>
        <w:rPr>
          <w:b/>
        </w:rPr>
        <w:t>Node scoping for Pre/Post interpretation</w:t>
      </w:r>
    </w:p>
    <w:p>
      <w:pPr>
        <w:pStyle w:val="ListParagraph"/>
        <w:numPr>
          <w:ilvl w:val="1"/>
          <w:numId w:val="28"/>
        </w:numPr>
      </w:pPr>
      <w:r>
        <w:rPr>
          <w:b w:val="0"/>
        </w:rPr>
        <w:t>"NRCellDU" checks run first because they generate the rows used to infer node scope (Pre-retune vs Post-retune).</w:t>
      </w:r>
    </w:p>
    <w:p>
      <w:pPr>
        <w:pStyle w:val="ListParagraph"/>
        <w:numPr>
          <w:ilvl w:val="1"/>
          <w:numId w:val="28"/>
        </w:numPr>
      </w:pPr>
      <w:r>
        <w:rPr>
          <w:b w:val="0"/>
        </w:rPr>
        <w:t>This scope is reused by relation/externals/termpoint checks to classify targets ("SSB-Pre", "SSB-Post", "Unknown").</w:t>
      </w:r>
    </w:p>
    <w:p>
      <w:pPr>
        <w:pStyle w:val="ListParagraph"/>
      </w:pPr>
      <w:r>
        <w:rPr>
          <w:b w:val="0"/>
        </w:rPr>
        <w:t xml:space="preserve">3. </w:t>
      </w:r>
      <w:r>
        <w:rPr>
          <w:b/>
        </w:rPr>
        <w:t>Per-table processors</w:t>
      </w:r>
    </w:p>
    <w:p>
      <w:pPr>
        <w:pStyle w:val="ListParagraph"/>
        <w:numPr>
          <w:ilvl w:val="1"/>
          <w:numId w:val="28"/>
        </w:numPr>
      </w:pPr>
      <w:r>
        <w:rPr>
          <w:b w:val="0"/>
        </w:rPr>
        <w:t>NR processors: "NRFrequency", "NRFreqRelation", "NRSectorCarrier", "NRCellRelation".</w:t>
      </w:r>
    </w:p>
    <w:p>
      <w:pPr>
        <w:pStyle w:val="ListParagraph"/>
        <w:numPr>
          <w:ilvl w:val="1"/>
          <w:numId w:val="28"/>
        </w:numPr>
      </w:pPr>
      <w:r>
        <w:rPr>
          <w:b w:val="0"/>
        </w:rPr>
        <w:t>LTE processors: "GUtranSyncSignalFrequency", "GUtranFreqRelation", "GUtranCellRelation".</w:t>
      </w:r>
    </w:p>
    <w:p>
      <w:pPr>
        <w:pStyle w:val="ListParagraph"/>
        <w:numPr>
          <w:ilvl w:val="1"/>
          <w:numId w:val="28"/>
        </w:numPr>
      </w:pPr>
      <w:r>
        <w:rPr>
          <w:b w:val="0"/>
        </w:rPr>
        <w:t>Externals/Termpoints: "ExternalNRCellCU", "ExternalGUtranCell", "TermPointToGNodeB", "TermPointToGNB", "TermPointToENodeB".</w:t>
      </w:r>
    </w:p>
    <w:p>
      <w:pPr>
        <w:pStyle w:val="ListParagraph"/>
        <w:numPr>
          <w:ilvl w:val="1"/>
          <w:numId w:val="28"/>
        </w:numPr>
      </w:pPr>
      <w:r>
        <w:rPr>
          <w:b w:val="0"/>
        </w:rPr>
        <w:t>ENDC/Cardinality/Profile processors follow and append their own rows.</w:t>
      </w:r>
    </w:p>
    <w:p>
      <w:pPr>
        <w:pStyle w:val="ListParagraph"/>
      </w:pPr>
      <w:r>
        <w:rPr>
          <w:b w:val="0"/>
        </w:rPr>
        <w:t xml:space="preserve">4. </w:t>
      </w:r>
      <w:r>
        <w:rPr>
          <w:b/>
        </w:rPr>
        <w:t>Resilience model</w:t>
      </w:r>
    </w:p>
    <w:p>
      <w:pPr>
        <w:pStyle w:val="ListParagraph"/>
        <w:numPr>
          <w:ilvl w:val="1"/>
          <w:numId w:val="28"/>
        </w:numPr>
      </w:pPr>
      <w:r>
        <w:rPr>
          <w:b w:val="0"/>
        </w:rPr>
        <w:t>If a table is missing/empty: emits "Table not found or empty" metric rows.</w:t>
      </w:r>
    </w:p>
    <w:p>
      <w:pPr>
        <w:pStyle w:val="ListParagraph"/>
        <w:numPr>
          <w:ilvl w:val="1"/>
          <w:numId w:val="28"/>
        </w:numPr>
      </w:pPr>
      <w:r>
        <w:rPr>
          <w:b w:val="0"/>
        </w:rPr>
        <w:t>If required columns are missing: emits "N/A" rows.</w:t>
      </w:r>
    </w:p>
    <w:p>
      <w:pPr>
        <w:pStyle w:val="ListParagraph"/>
        <w:numPr>
          <w:ilvl w:val="1"/>
          <w:numId w:val="28"/>
        </w:numPr>
      </w:pPr>
      <w:r>
        <w:rPr>
          <w:b w:val="0"/>
        </w:rPr>
        <w:t>If exceptions occur: emits "ERROR: ..." rows without aborting the full SummaryAudit generation.</w:t>
      </w:r>
    </w:p>
    <w:p>
      <w:pPr>
        <w:pStyle w:val="Heading2"/>
      </w:pPr>
      <w:r>
        <w:t>Additional columns injected into parsed MO sheets</w:t>
      </w:r>
    </w:p>
    <w:p>
      <w:r>
        <w:rPr>
          <w:b w:val="0"/>
        </w:rPr>
        <w:t>Besides SummaryAudit, Module 1 enriches several raw MO sheets with operational columns for execution/cleanup.</w:t>
      </w:r>
    </w:p>
    <w:p>
      <w:pPr>
        <w:pStyle w:val="Heading3"/>
      </w:pPr>
      <w:r>
        <w:t>"MeContext" enrichment (main planning helper)</w:t>
      </w:r>
    </w:p>
    <w:p>
      <w:r>
        <w:rPr>
          <w:b w:val="0"/>
        </w:rPr>
        <w:t>Additional columns are computed per "NodeId" by aggregating NR/LTE relation tables:</w:t>
      </w:r>
    </w:p>
    <w:p>
      <w:pPr>
        <w:pStyle w:val="ListParagraph"/>
        <w:numPr>
          <w:ilvl w:val="0"/>
          <w:numId w:val="28"/>
        </w:numPr>
      </w:pPr>
      <w:r>
        <w:rPr>
          <w:b w:val="0"/>
        </w:rPr>
        <w:t>Topology and inventory:</w:t>
      </w:r>
    </w:p>
    <w:p>
      <w:pPr>
        <w:pStyle w:val="ListParagraph"/>
        <w:numPr>
          <w:ilvl w:val="1"/>
          <w:numId w:val="28"/>
        </w:numPr>
      </w:pPr>
      <w:r>
        <w:rPr>
          <w:b w:val="0"/>
        </w:rPr>
        <w:t>"mmWave Cells", "LowMidBand Cells", "N77 Cells"</w:t>
      </w:r>
    </w:p>
    <w:p>
      <w:pPr>
        <w:pStyle w:val="ListParagraph"/>
        <w:numPr>
          <w:ilvl w:val="1"/>
          <w:numId w:val="28"/>
        </w:numPr>
      </w:pPr>
      <w:r>
        <w:rPr>
          <w:b w:val="0"/>
        </w:rPr>
        <w:t>"N77A old SSB cells", "N77A new SSB cells"</w:t>
      </w:r>
    </w:p>
    <w:p>
      <w:pPr>
        <w:pStyle w:val="ListParagraph"/>
        <w:numPr>
          <w:ilvl w:val="0"/>
          <w:numId w:val="28"/>
        </w:numPr>
      </w:pPr>
      <w:r>
        <w:rPr>
          <w:b w:val="0"/>
        </w:rPr>
        <w:t>Relation counters:</w:t>
      </w:r>
    </w:p>
    <w:p>
      <w:pPr>
        <w:pStyle w:val="ListParagraph"/>
        <w:numPr>
          <w:ilvl w:val="1"/>
          <w:numId w:val="28"/>
        </w:numPr>
      </w:pPr>
      <w:r>
        <w:rPr>
          <w:b w:val="0"/>
        </w:rPr>
        <w:t>"NRFreqRelation to old N77A SSB", "NRFreqRelation to new N77A SSB"</w:t>
      </w:r>
    </w:p>
    <w:p>
      <w:pPr>
        <w:pStyle w:val="ListParagraph"/>
        <w:numPr>
          <w:ilvl w:val="1"/>
          <w:numId w:val="28"/>
        </w:numPr>
      </w:pPr>
      <w:r>
        <w:rPr>
          <w:b w:val="0"/>
        </w:rPr>
        <w:t>"GUtranFreqRelation to old N77A SSB", "GUtranFreqRelation to new N77A SSB"</w:t>
      </w:r>
    </w:p>
    <w:p>
      <w:pPr>
        <w:pStyle w:val="ListParagraph"/>
        <w:numPr>
          <w:ilvl w:val="0"/>
          <w:numId w:val="28"/>
        </w:numPr>
      </w:pPr>
      <w:r>
        <w:rPr>
          <w:b w:val="0"/>
        </w:rPr>
        <w:t>Priority snapshots (unique consolidated values):</w:t>
      </w:r>
    </w:p>
    <w:p>
      <w:pPr>
        <w:pStyle w:val="ListParagraph"/>
        <w:numPr>
          <w:ilvl w:val="1"/>
          <w:numId w:val="28"/>
        </w:numPr>
      </w:pPr>
      <w:r>
        <w:rPr>
          <w:b w:val="0"/>
        </w:rPr>
        <w:t>"NRFreqRelation to old N77A SSB cellReselPrio"</w:t>
      </w:r>
    </w:p>
    <w:p>
      <w:pPr>
        <w:pStyle w:val="ListParagraph"/>
        <w:numPr>
          <w:ilvl w:val="1"/>
          <w:numId w:val="28"/>
        </w:numPr>
      </w:pPr>
      <w:r>
        <w:rPr>
          <w:b w:val="0"/>
        </w:rPr>
        <w:t>"NRFreqRelation to new N77A SSB cellReselPrio"</w:t>
      </w:r>
    </w:p>
    <w:p>
      <w:pPr>
        <w:pStyle w:val="ListParagraph"/>
        <w:numPr>
          <w:ilvl w:val="1"/>
          <w:numId w:val="28"/>
        </w:numPr>
      </w:pPr>
      <w:r>
        <w:rPr>
          <w:b w:val="0"/>
        </w:rPr>
        <w:t>"GUtranFreqRelation to old N77A SSB cellReselPrio"</w:t>
      </w:r>
    </w:p>
    <w:p>
      <w:pPr>
        <w:pStyle w:val="ListParagraph"/>
        <w:numPr>
          <w:ilvl w:val="1"/>
          <w:numId w:val="28"/>
        </w:numPr>
      </w:pPr>
      <w:r>
        <w:rPr>
          <w:b w:val="0"/>
        </w:rPr>
        <w:t>"GUtranFreqRelation to new N77A SSB cellReselPrio"</w:t>
      </w:r>
    </w:p>
    <w:p>
      <w:pPr>
        <w:pStyle w:val="ListParagraph"/>
        <w:numPr>
          <w:ilvl w:val="1"/>
          <w:numId w:val="28"/>
        </w:numPr>
      </w:pPr>
      <w:r>
        <w:rPr>
          <w:b w:val="0"/>
        </w:rPr>
        <w:t>"GUtranFreqRelation to old N77A SSB EndcPrio"</w:t>
      </w:r>
    </w:p>
    <w:p>
      <w:pPr>
        <w:pStyle w:val="ListParagraph"/>
        <w:numPr>
          <w:ilvl w:val="1"/>
          <w:numId w:val="28"/>
        </w:numPr>
      </w:pPr>
      <w:r>
        <w:rPr>
          <w:b w:val="0"/>
        </w:rPr>
        <w:t>"GUtranFreqRelation to new N77A SSB EndcPrio"</w:t>
      </w:r>
    </w:p>
    <w:p>
      <w:pPr>
        <w:pStyle w:val="ListParagraph"/>
        <w:numPr>
          <w:ilvl w:val="0"/>
          <w:numId w:val="28"/>
        </w:numPr>
      </w:pPr>
      <w:r>
        <w:rPr>
          <w:b w:val="0"/>
        </w:rPr>
        <w:t>Workflow recommendation fields:</w:t>
      </w:r>
    </w:p>
    <w:p>
      <w:pPr>
        <w:pStyle w:val="ListParagraph"/>
        <w:numPr>
          <w:ilvl w:val="1"/>
          <w:numId w:val="28"/>
        </w:numPr>
      </w:pPr>
      <w:r>
        <w:rPr>
          <w:b w:val="0"/>
        </w:rPr>
        <w:t>"Step1", "Step2b", "Step2ac", "Next Step", "EndcPrio Next Step"</w:t>
      </w:r>
    </w:p>
    <w:p>
      <w:r>
        <w:rPr>
          <w:b w:val="0"/>
        </w:rPr>
        <w:t>Operational interpretation:</w:t>
      </w:r>
    </w:p>
    <w:p>
      <w:pPr>
        <w:pStyle w:val="ListParagraph"/>
        <w:numPr>
          <w:ilvl w:val="0"/>
          <w:numId w:val="28"/>
        </w:numPr>
      </w:pPr>
      <w:r>
        <w:rPr>
          <w:b w:val="0"/>
        </w:rPr>
        <w:t>"Step1" focuses on old/new relation parity and reselection-priority convergence.</w:t>
      </w:r>
    </w:p>
    <w:p>
      <w:pPr>
        <w:pStyle w:val="ListParagraph"/>
        <w:numPr>
          <w:ilvl w:val="0"/>
          <w:numId w:val="28"/>
        </w:numPr>
      </w:pPr>
      <w:r>
        <w:rPr>
          <w:b w:val="0"/>
        </w:rPr>
        <w:t>"Step2b" focuses on old/new N77A cell presence.</w:t>
      </w:r>
    </w:p>
    <w:p>
      <w:pPr>
        <w:pStyle w:val="ListParagraph"/>
        <w:numPr>
          <w:ilvl w:val="0"/>
          <w:numId w:val="28"/>
        </w:numPr>
      </w:pPr>
      <w:r>
        <w:rPr>
          <w:b w:val="0"/>
        </w:rPr>
        <w:t>"Step2ac" focuses on ENDC priority transition validation.</w:t>
      </w:r>
    </w:p>
    <w:p>
      <w:pPr>
        <w:pStyle w:val="ListParagraph"/>
        <w:numPr>
          <w:ilvl w:val="0"/>
          <w:numId w:val="28"/>
        </w:numPr>
      </w:pPr>
      <w:r>
        <w:rPr>
          <w:b w:val="0"/>
        </w:rPr>
        <w:t>"Next Step" concatenates pending actions to provide a single execution hint per node.</w:t>
      </w:r>
    </w:p>
    <w:p>
      <w:pPr>
        <w:pStyle w:val="Heading3"/>
      </w:pPr>
      <w:r>
        <w:t>"NRCellRelation" and "GUtranCellRelation" enrichment</w:t>
      </w:r>
    </w:p>
    <w:p>
      <w:r>
        <w:rPr>
          <w:b w:val="0"/>
        </w:rPr>
        <w:t>Both relation tables are normalized with helper columns used for discrepancy targeting and command generation:</w:t>
      </w:r>
    </w:p>
    <w:p>
      <w:pPr>
        <w:pStyle w:val="ListParagraph"/>
        <w:numPr>
          <w:ilvl w:val="0"/>
          <w:numId w:val="28"/>
        </w:numPr>
      </w:pPr>
      <w:r>
        <w:rPr>
          <w:b w:val="0"/>
        </w:rPr>
        <w:t>"Frequency" extracted from relation references.</w:t>
      </w:r>
    </w:p>
    <w:p>
      <w:pPr>
        <w:pStyle w:val="ListParagraph"/>
        <w:numPr>
          <w:ilvl w:val="0"/>
          <w:numId w:val="28"/>
        </w:numPr>
      </w:pPr>
      <w:r>
        <w:rPr>
          <w:b w:val="0"/>
        </w:rPr>
        <w:t>External endpoint decomposition fields (function/cell identifiers parsed from references).</w:t>
      </w:r>
    </w:p>
    <w:p>
      <w:pPr>
        <w:pStyle w:val="ListParagraph"/>
        <w:numPr>
          <w:ilvl w:val="0"/>
          <w:numId w:val="28"/>
        </w:numPr>
      </w:pPr>
      <w:r>
        <w:rPr>
          <w:b w:val="0"/>
        </w:rPr>
        <w:t>"GNodeB_SSB_Target" classification ("SSB-Pre"/"SSB-Post"/"Unknown").</w:t>
      </w:r>
    </w:p>
    <w:p>
      <w:pPr>
        <w:pStyle w:val="ListParagraph"/>
        <w:numPr>
          <w:ilvl w:val="0"/>
          <w:numId w:val="28"/>
        </w:numPr>
      </w:pPr>
      <w:r>
        <w:rPr>
          <w:b w:val="0"/>
        </w:rPr>
        <w:t>"Correction_Cmd" prebuilt command text for the rows considered actionable.</w:t>
      </w:r>
    </w:p>
    <w:p>
      <w:pPr>
        <w:pStyle w:val="Heading3"/>
      </w:pPr>
      <w:r>
        <w:t>"ExternalNRCellCU" and "ExternalGUtranCell" enrichment</w:t>
      </w:r>
    </w:p>
    <w:p>
      <w:pPr>
        <w:pStyle w:val="ListParagraph"/>
        <w:numPr>
          <w:ilvl w:val="0"/>
          <w:numId w:val="28"/>
        </w:numPr>
      </w:pPr>
      <w:r>
        <w:rPr>
          <w:b w:val="0"/>
        </w:rPr>
        <w:t>Adds "Frequency", "Termpoint", "TermpointStatus", "TermpointConsolidatedStatus".</w:t>
      </w:r>
    </w:p>
    <w:p>
      <w:pPr>
        <w:pStyle w:val="ListParagraph"/>
        <w:numPr>
          <w:ilvl w:val="0"/>
          <w:numId w:val="28"/>
        </w:numPr>
      </w:pPr>
      <w:r>
        <w:rPr>
          <w:b w:val="0"/>
        </w:rPr>
        <w:t>Adds "GNodeB_SSB_Target" and "Correction_Cmd" for retune remediation flows.</w:t>
      </w:r>
    </w:p>
    <w:p>
      <w:pPr>
        <w:pStyle w:val="ListParagraph"/>
        <w:numPr>
          <w:ilvl w:val="0"/>
          <w:numId w:val="28"/>
        </w:numPr>
      </w:pPr>
      <w:r>
        <w:rPr>
          <w:b w:val="0"/>
        </w:rPr>
        <w:t>For LTE externals, service state ("OUT_OF_SERVICE") is also reflected in SummaryAudit checks.</w:t>
      </w:r>
    </w:p>
    <w:p>
      <w:pPr>
        <w:pStyle w:val="Heading3"/>
      </w:pPr>
      <w:r>
        <w:t>"TermPointToGNodeB" / "TermPointToGNB" enrichment</w:t>
      </w:r>
    </w:p>
    <w:p>
      <w:pPr>
        <w:pStyle w:val="ListParagraph"/>
        <w:numPr>
          <w:ilvl w:val="0"/>
          <w:numId w:val="28"/>
        </w:numPr>
      </w:pPr>
      <w:r>
        <w:rPr>
          <w:b w:val="0"/>
        </w:rPr>
        <w:t>Adds consolidated termpoint health/status fields and "SSB needs update" boolean.</w:t>
      </w:r>
    </w:p>
    <w:p>
      <w:pPr>
        <w:pStyle w:val="ListParagraph"/>
        <w:numPr>
          <w:ilvl w:val="0"/>
          <w:numId w:val="28"/>
        </w:numPr>
      </w:pPr>
      <w:r>
        <w:rPr>
          <w:b w:val="0"/>
        </w:rPr>
        <w:t>Adds "GNodeB_SSB_Target" and generated "Correction_Cmd" when target and frequency logic indicates migration to post-retune SSB.</w:t>
      </w:r>
    </w:p>
    <w:p>
      <w:pPr>
        <w:pStyle w:val="Heading2"/>
      </w:pPr>
      <w:r>
        <w:t>Key SummaryAudit checks by source table (implementation-level)</w:t>
      </w:r>
    </w:p>
    <w:p>
      <w:r>
        <w:rPr>
          <w:b w:val="0"/>
        </w:rPr>
        <w:t>Below is the practical checklist implemented by the processors:</w:t>
      </w:r>
    </w:p>
    <w:p>
      <w:pPr>
        <w:pStyle w:val="ListParagraph"/>
        <w:numPr>
          <w:ilvl w:val="0"/>
          <w:numId w:val="28"/>
        </w:numPr>
      </w:pPr>
      <w:r>
        <w:rPr>
          <w:b/>
        </w:rPr>
        <w:t>NRCellDU</w:t>
      </w:r>
      <w:r>
        <w:rPr>
          <w:b w:val="0"/>
        </w:rPr>
        <w:t>:</w:t>
      </w:r>
    </w:p>
    <w:p>
      <w:pPr>
        <w:pStyle w:val="ListParagraph"/>
        <w:numPr>
          <w:ilvl w:val="1"/>
          <w:numId w:val="28"/>
        </w:numPr>
      </w:pPr>
      <w:r>
        <w:rPr>
          <w:b w:val="0"/>
        </w:rPr>
        <w:t>Node classification LowMidBand/mmWave/mixed.</w:t>
      </w:r>
    </w:p>
    <w:p>
      <w:pPr>
        <w:pStyle w:val="ListParagraph"/>
        <w:numPr>
          <w:ilvl w:val="1"/>
          <w:numId w:val="28"/>
        </w:numPr>
      </w:pPr>
      <w:r>
        <w:rPr>
          <w:b w:val="0"/>
        </w:rPr>
        <w:t>N77-in-band detection.</w:t>
      </w:r>
    </w:p>
    <w:p>
      <w:pPr>
        <w:pStyle w:val="ListParagraph"/>
        <w:numPr>
          <w:ilvl w:val="1"/>
          <w:numId w:val="28"/>
        </w:numPr>
      </w:pPr>
      <w:r>
        <w:rPr>
          <w:b w:val="0"/>
        </w:rPr>
        <w:t>Allowed pre/post SSB-list compliance and out-of-list inconsistencies.</w:t>
      </w:r>
    </w:p>
    <w:p>
      <w:pPr>
        <w:pStyle w:val="ListParagraph"/>
        <w:numPr>
          <w:ilvl w:val="0"/>
          <w:numId w:val="28"/>
        </w:numPr>
      </w:pPr>
      <w:r>
        <w:rPr>
          <w:b/>
        </w:rPr>
        <w:t>NRFrequency</w:t>
      </w:r>
      <w:r>
        <w:rPr>
          <w:b w:val="0"/>
        </w:rPr>
        <w:t>:</w:t>
      </w:r>
    </w:p>
    <w:p>
      <w:pPr>
        <w:pStyle w:val="ListParagraph"/>
        <w:numPr>
          <w:ilvl w:val="1"/>
          <w:numId w:val="28"/>
        </w:numPr>
      </w:pPr>
      <w:r>
        <w:rPr>
          <w:b w:val="0"/>
        </w:rPr>
        <w:t>old/new/both/old-without-new presence by node.</w:t>
      </w:r>
    </w:p>
    <w:p>
      <w:pPr>
        <w:pStyle w:val="ListParagraph"/>
        <w:numPr>
          <w:ilvl w:val="1"/>
          <w:numId w:val="28"/>
        </w:numPr>
      </w:pPr>
      <w:r>
        <w:rPr>
          <w:b w:val="0"/>
        </w:rPr>
        <w:t>values outside expected old/new sets.</w:t>
      </w:r>
    </w:p>
    <w:p>
      <w:pPr>
        <w:pStyle w:val="ListParagraph"/>
        <w:numPr>
          <w:ilvl w:val="0"/>
          <w:numId w:val="28"/>
        </w:numPr>
      </w:pPr>
      <w:r>
        <w:rPr>
          <w:b/>
        </w:rPr>
        <w:t>NRFreqRelation</w:t>
      </w:r>
      <w:r>
        <w:rPr>
          <w:b w:val="0"/>
        </w:rPr>
        <w:t>:</w:t>
      </w:r>
    </w:p>
    <w:p>
      <w:pPr>
        <w:pStyle w:val="ListParagraph"/>
        <w:numPr>
          <w:ilvl w:val="1"/>
          <w:numId w:val="28"/>
        </w:numPr>
      </w:pPr>
      <w:r>
        <w:rPr>
          <w:b w:val="0"/>
        </w:rPr>
        <w:t>old/new/both/old-without-new relation presence.</w:t>
      </w:r>
    </w:p>
    <w:p>
      <w:pPr>
        <w:pStyle w:val="ListParagraph"/>
        <w:numPr>
          <w:ilvl w:val="1"/>
          <w:numId w:val="28"/>
        </w:numPr>
      </w:pPr>
      <w:r>
        <w:rPr>
          <w:b w:val="0"/>
        </w:rPr>
        <w:t>naming-convention checks for auto-created relation IDs.</w:t>
      </w:r>
    </w:p>
    <w:p>
      <w:pPr>
        <w:pStyle w:val="ListParagraph"/>
        <w:numPr>
          <w:ilvl w:val="1"/>
          <w:numId w:val="28"/>
        </w:numPr>
      </w:pPr>
      <w:r>
        <w:rPr>
          <w:b w:val="0"/>
        </w:rPr>
        <w:t>cell-level old-vs-new parameter mismatch detection.</w:t>
      </w:r>
    </w:p>
    <w:p>
      <w:pPr>
        <w:pStyle w:val="ListParagraph"/>
        <w:numPr>
          <w:ilvl w:val="1"/>
          <w:numId w:val="28"/>
        </w:numPr>
      </w:pPr>
      <w:r>
        <w:rPr>
          <w:b w:val="0"/>
        </w:rPr>
        <w:t>profile reference transition checks (old profile clones vs expected post clone).</w:t>
      </w:r>
    </w:p>
    <w:p>
      <w:pPr>
        <w:pStyle w:val="ListParagraph"/>
        <w:numPr>
          <w:ilvl w:val="0"/>
          <w:numId w:val="28"/>
        </w:numPr>
      </w:pPr>
      <w:r>
        <w:rPr>
          <w:b/>
        </w:rPr>
        <w:t>NRSectorCarrier</w:t>
      </w:r>
      <w:r>
        <w:rPr>
          <w:b w:val="0"/>
        </w:rPr>
        <w:t>:</w:t>
      </w:r>
    </w:p>
    <w:p>
      <w:pPr>
        <w:pStyle w:val="ListParagraph"/>
        <w:numPr>
          <w:ilvl w:val="1"/>
          <w:numId w:val="28"/>
        </w:numPr>
      </w:pPr>
      <w:r>
        <w:rPr>
          <w:b w:val="0"/>
        </w:rPr>
        <w:t>allowed ARFCN list compliance (pre/post).</w:t>
      </w:r>
    </w:p>
    <w:p>
      <w:pPr>
        <w:pStyle w:val="ListParagraph"/>
        <w:numPr>
          <w:ilvl w:val="1"/>
          <w:numId w:val="28"/>
        </w:numPr>
      </w:pPr>
      <w:r>
        <w:rPr>
          <w:b w:val="0"/>
        </w:rPr>
        <w:t>out-of-list inconsistencies.</w:t>
      </w:r>
    </w:p>
    <w:p>
      <w:pPr>
        <w:pStyle w:val="ListParagraph"/>
        <w:numPr>
          <w:ilvl w:val="0"/>
          <w:numId w:val="28"/>
        </w:numPr>
      </w:pPr>
      <w:r>
        <w:rPr>
          <w:b/>
        </w:rPr>
        <w:t>NRCellRelation</w:t>
      </w:r>
      <w:r>
        <w:rPr>
          <w:b w:val="0"/>
        </w:rPr>
        <w:t>:</w:t>
      </w:r>
    </w:p>
    <w:p>
      <w:pPr>
        <w:pStyle w:val="ListParagraph"/>
        <w:numPr>
          <w:ilvl w:val="1"/>
          <w:numId w:val="28"/>
        </w:numPr>
      </w:pPr>
      <w:r>
        <w:rPr>
          <w:b w:val="0"/>
        </w:rPr>
        <w:t>relation counts to old/new targets.</w:t>
      </w:r>
    </w:p>
    <w:p>
      <w:pPr>
        <w:pStyle w:val="ListParagraph"/>
        <w:numPr>
          <w:ilvl w:val="1"/>
          <w:numId w:val="28"/>
        </w:numPr>
      </w:pPr>
      <w:r>
        <w:rPr>
          <w:b w:val="0"/>
        </w:rPr>
        <w:t>extraction/parsing consistency from "nRFreqRelationRef".</w:t>
      </w:r>
    </w:p>
    <w:p>
      <w:pPr>
        <w:pStyle w:val="ListParagraph"/>
        <w:numPr>
          <w:ilvl w:val="0"/>
          <w:numId w:val="28"/>
        </w:numPr>
      </w:pPr>
      <w:r>
        <w:rPr>
          <w:b/>
        </w:rPr>
        <w:t>GUtranSyncSignalFrequency</w:t>
      </w:r>
      <w:r>
        <w:rPr>
          <w:b w:val="0"/>
        </w:rPr>
        <w:t>:</w:t>
      </w:r>
    </w:p>
    <w:p>
      <w:pPr>
        <w:pStyle w:val="ListParagraph"/>
        <w:numPr>
          <w:ilvl w:val="1"/>
          <w:numId w:val="28"/>
        </w:numPr>
      </w:pPr>
      <w:r>
        <w:rPr>
          <w:b w:val="0"/>
        </w:rPr>
        <w:t>old/new/both/old-without-new LTE presence by node.</w:t>
      </w:r>
    </w:p>
    <w:p>
      <w:pPr>
        <w:pStyle w:val="ListParagraph"/>
        <w:numPr>
          <w:ilvl w:val="1"/>
          <w:numId w:val="28"/>
        </w:numPr>
      </w:pPr>
      <w:r>
        <w:rPr>
          <w:b w:val="0"/>
        </w:rPr>
        <w:t>out-of-set inconsistencies.</w:t>
      </w:r>
    </w:p>
    <w:p>
      <w:pPr>
        <w:pStyle w:val="ListParagraph"/>
        <w:numPr>
          <w:ilvl w:val="0"/>
          <w:numId w:val="28"/>
        </w:numPr>
      </w:pPr>
      <w:r>
        <w:rPr>
          <w:b/>
        </w:rPr>
        <w:t>GUtranFreqRelation</w:t>
      </w:r>
      <w:r>
        <w:rPr>
          <w:b w:val="0"/>
        </w:rPr>
        <w:t>:</w:t>
      </w:r>
    </w:p>
    <w:p>
      <w:pPr>
        <w:pStyle w:val="ListParagraph"/>
        <w:numPr>
          <w:ilvl w:val="1"/>
          <w:numId w:val="28"/>
        </w:numPr>
      </w:pPr>
      <w:r>
        <w:rPr>
          <w:b w:val="0"/>
        </w:rPr>
        <w:t>old/new/both/old-without-new checks.</w:t>
      </w:r>
    </w:p>
    <w:p>
      <w:pPr>
        <w:pStyle w:val="ListParagraph"/>
        <w:numPr>
          <w:ilvl w:val="1"/>
          <w:numId w:val="28"/>
        </w:numPr>
      </w:pPr>
      <w:r>
        <w:rPr>
          <w:b w:val="0"/>
        </w:rPr>
        <w:t>naming convention validation ("&lt;ssb&gt;-30-20-0-1" style).</w:t>
      </w:r>
    </w:p>
    <w:p>
      <w:pPr>
        <w:pStyle w:val="ListParagraph"/>
        <w:numPr>
          <w:ilvl w:val="1"/>
          <w:numId w:val="28"/>
        </w:numPr>
      </w:pPr>
      <w:r>
        <w:rPr>
          <w:b w:val="0"/>
        </w:rPr>
        <w:t>old/new cell-level parameter and ENDC priority checks.</w:t>
      </w:r>
    </w:p>
    <w:p>
      <w:pPr>
        <w:pStyle w:val="ListParagraph"/>
        <w:numPr>
          <w:ilvl w:val="0"/>
          <w:numId w:val="28"/>
        </w:numPr>
      </w:pPr>
      <w:r>
        <w:rPr>
          <w:b/>
        </w:rPr>
        <w:t>GUtranCellRelation</w:t>
      </w:r>
      <w:r>
        <w:rPr>
          <w:b w:val="0"/>
        </w:rPr>
        <w:t>:</w:t>
      </w:r>
    </w:p>
    <w:p>
      <w:pPr>
        <w:pStyle w:val="ListParagraph"/>
        <w:numPr>
          <w:ilvl w:val="1"/>
          <w:numId w:val="28"/>
        </w:numPr>
      </w:pPr>
      <w:r>
        <w:rPr>
          <w:b w:val="0"/>
        </w:rPr>
        <w:t>relation counts to old/new LTE targets.</w:t>
      </w:r>
    </w:p>
    <w:p>
      <w:pPr>
        <w:pStyle w:val="ListParagraph"/>
        <w:numPr>
          <w:ilvl w:val="0"/>
          <w:numId w:val="28"/>
        </w:numPr>
      </w:pPr>
      <w:r>
        <w:rPr>
          <w:b/>
        </w:rPr>
        <w:t>ExternalNRCellCU / ExternalGUtranCell</w:t>
      </w:r>
      <w:r>
        <w:rPr>
          <w:b w:val="0"/>
        </w:rPr>
        <w:t>:</w:t>
      </w:r>
    </w:p>
    <w:p>
      <w:pPr>
        <w:pStyle w:val="ListParagraph"/>
        <w:numPr>
          <w:ilvl w:val="1"/>
          <w:numId w:val="28"/>
        </w:numPr>
      </w:pPr>
      <w:r>
        <w:rPr>
          <w:b w:val="0"/>
        </w:rPr>
        <w:t>old/new external references counts.</w:t>
      </w:r>
    </w:p>
    <w:p>
      <w:pPr>
        <w:pStyle w:val="ListParagraph"/>
        <w:numPr>
          <w:ilvl w:val="1"/>
          <w:numId w:val="28"/>
        </w:numPr>
      </w:pPr>
      <w:r>
        <w:rPr>
          <w:b w:val="0"/>
        </w:rPr>
        <w:t>target classification and termpoint correlation.</w:t>
      </w:r>
    </w:p>
    <w:p>
      <w:pPr>
        <w:pStyle w:val="ListParagraph"/>
        <w:numPr>
          <w:ilvl w:val="0"/>
          <w:numId w:val="28"/>
        </w:numPr>
      </w:pPr>
      <w:r>
        <w:rPr>
          <w:b/>
        </w:rPr>
        <w:t>TermPoint tables</w:t>
      </w:r>
      <w:r>
        <w:rPr>
          <w:b w:val="0"/>
        </w:rPr>
        <w:t>:</w:t>
      </w:r>
    </w:p>
    <w:p>
      <w:pPr>
        <w:pStyle w:val="ListParagraph"/>
        <w:numPr>
          <w:ilvl w:val="1"/>
          <w:numId w:val="28"/>
        </w:numPr>
      </w:pPr>
      <w:r>
        <w:rPr>
          <w:b w:val="0"/>
        </w:rPr>
        <w:t>locked/disabled/unhealthy transport endpoint detection.</w:t>
      </w:r>
    </w:p>
    <w:p>
      <w:pPr>
        <w:pStyle w:val="ListParagraph"/>
        <w:numPr>
          <w:ilvl w:val="1"/>
          <w:numId w:val="28"/>
        </w:numPr>
      </w:pPr>
      <w:r>
        <w:rPr>
          <w:b w:val="0"/>
        </w:rPr>
        <w:t>alignment with external-cell update needs.</w:t>
      </w:r>
    </w:p>
    <w:p>
      <w:pPr>
        <w:pStyle w:val="ListParagraph"/>
        <w:numPr>
          <w:ilvl w:val="0"/>
          <w:numId w:val="28"/>
        </w:numPr>
      </w:pPr>
      <w:r>
        <w:rPr>
          <w:b/>
        </w:rPr>
        <w:t>EndcDistrProfile / FreqPrioNR</w:t>
      </w:r>
      <w:r>
        <w:rPr>
          <w:b w:val="0"/>
        </w:rPr>
        <w:t>:</w:t>
      </w:r>
    </w:p>
    <w:p>
      <w:pPr>
        <w:pStyle w:val="ListParagraph"/>
        <w:numPr>
          <w:ilvl w:val="1"/>
          <w:numId w:val="28"/>
        </w:numPr>
      </w:pPr>
      <w:r>
        <w:rPr>
          <w:b w:val="0"/>
        </w:rPr>
        <w:t>expected old/new + N77B combinations.</w:t>
      </w:r>
    </w:p>
    <w:p>
      <w:pPr>
        <w:pStyle w:val="ListParagraph"/>
        <w:numPr>
          <w:ilvl w:val="1"/>
          <w:numId w:val="28"/>
        </w:numPr>
      </w:pPr>
      <w:r>
        <w:rPr>
          <w:b w:val="0"/>
        </w:rPr>
        <w:t>unexpected combinations and param discrepancies.</w:t>
      </w:r>
    </w:p>
    <w:p>
      <w:pPr>
        <w:pStyle w:val="ListParagraph"/>
        <w:numPr>
          <w:ilvl w:val="0"/>
          <w:numId w:val="28"/>
        </w:numPr>
      </w:pPr>
      <w:r>
        <w:rPr>
          <w:b/>
        </w:rPr>
        <w:t>Cardinality checks</w:t>
      </w:r>
      <w:r>
        <w:rPr>
          <w:b w:val="0"/>
        </w:rPr>
        <w:t>:</w:t>
      </w:r>
    </w:p>
    <w:p>
      <w:pPr>
        <w:pStyle w:val="ListParagraph"/>
        <w:numPr>
          <w:ilvl w:val="1"/>
          <w:numId w:val="28"/>
        </w:numPr>
      </w:pPr>
      <w:r>
        <w:rPr>
          <w:b w:val="0"/>
        </w:rPr>
        <w:t>hard-limit and threshold checks per node/cell relation families.</w:t>
      </w:r>
    </w:p>
    <w:p>
      <w:pPr>
        <w:pStyle w:val="ListParagraph"/>
        <w:numPr>
          <w:ilvl w:val="1"/>
          <w:numId w:val="28"/>
        </w:numPr>
      </w:pPr>
      <w:r>
        <w:rPr>
          <w:b w:val="0"/>
        </w:rPr>
        <w:t>explicit inconsistency rows when limits are reached/exceeded.</w:t>
      </w:r>
    </w:p>
    <w:p>
      <w:r>
        <w:br w:type="page"/>
      </w:r>
    </w:p>
    <w:p>
      <w:pPr>
        <w:pStyle w:val="Heading1"/>
      </w:pPr>
      <w:r>
        <w:t>Consistency Check module in detail</w:t>
      </w:r>
    </w:p>
    <w:p>
      <w:pPr>
        <w:pStyle w:val="Heading2"/>
      </w:pPr>
      <w:r>
        <w:t>Filtering by non-retuned nodes</w:t>
      </w:r>
    </w:p>
    <w:p>
      <w:r>
        <w:rPr>
          <w:b w:val="0"/>
        </w:rPr>
        <w:t>If a POST SummaryAudit exists, the module obtains PRE/POST node lists and can exclude discrepancies whose target points to nodes that did not complete retune, reducing operational noise.</w:t>
      </w:r>
    </w:p>
    <w:p>
      <w:pPr>
        <w:pStyle w:val="Heading2"/>
      </w:pPr>
      <w:r>
        <w:t>How it detects parameter discrepancies</w:t>
      </w:r>
    </w:p>
    <w:p>
      <w:pPr>
        <w:pStyle w:val="ListParagraph"/>
      </w:pPr>
      <w:r>
        <w:rPr>
          <w:b w:val="0"/>
        </w:rPr>
        <w:t>1. Selects common PRE and POST relations by composite key:</w:t>
      </w:r>
    </w:p>
    <w:p>
      <w:pPr>
        <w:pStyle w:val="ListParagraph"/>
        <w:numPr>
          <w:ilvl w:val="1"/>
          <w:numId w:val="28"/>
        </w:numPr>
      </w:pPr>
      <w:r>
        <w:rPr>
          <w:b w:val="0"/>
        </w:rPr>
        <w:t>GU: typically "NodeId", "EUtranCellFDDId", "GUtranCellRelationId".</w:t>
      </w:r>
    </w:p>
    <w:p>
      <w:pPr>
        <w:pStyle w:val="ListParagraph"/>
        <w:numPr>
          <w:ilvl w:val="1"/>
          <w:numId w:val="28"/>
        </w:numPr>
      </w:pPr>
      <w:r>
        <w:rPr>
          <w:b w:val="0"/>
        </w:rPr>
        <w:t>NR: typically "NodeId", "NRCellCUId", "NRCellRelationId".</w:t>
      </w:r>
    </w:p>
    <w:p>
      <w:pPr>
        <w:pStyle w:val="ListParagraph"/>
      </w:pPr>
      <w:r>
        <w:rPr>
          <w:b w:val="0"/>
        </w:rPr>
        <w:t>2. Excludes control columns (keys, frequency, Pre/Post, Date).</w:t>
      </w:r>
    </w:p>
    <w:p>
      <w:pPr>
        <w:pStyle w:val="ListParagraph"/>
      </w:pPr>
      <w:r>
        <w:rPr>
          <w:b w:val="0"/>
        </w:rPr>
        <w:t>3. Compares value-by-value across shared columns.</w:t>
      </w:r>
    </w:p>
    <w:p>
      <w:pPr>
        <w:pStyle w:val="ListParagraph"/>
      </w:pPr>
      <w:r>
        <w:rPr>
          <w:b w:val="0"/>
        </w:rPr>
        <w:t>4. Sets "ParamDiff=True" if at least one column differs.</w:t>
      </w:r>
    </w:p>
    <w:p>
      <w:pPr>
        <w:pStyle w:val="ListParagraph"/>
      </w:pPr>
      <w:r>
        <w:rPr>
          <w:b w:val="0"/>
        </w:rPr>
        <w:t>5. In GU it ignores "timeOfCreation" and "mobilityStatusNR" to avoid false positives.</w:t>
      </w:r>
    </w:p>
    <w:p>
      <w:pPr>
        <w:pStyle w:val="Heading2"/>
      </w:pPr>
      <w:r>
        <w:t>How it detects frequency discrepancies</w:t>
      </w:r>
    </w:p>
    <w:p>
      <w:pPr>
        <w:pStyle w:val="ListParagraph"/>
      </w:pPr>
      <w:r>
        <w:rPr>
          <w:b w:val="0"/>
        </w:rPr>
        <w:t>1. Extracts base frequency from relation references ("extract_gu_freq_base" / "extract_nr_freq_base").</w:t>
      </w:r>
    </w:p>
    <w:p>
      <w:pPr>
        <w:pStyle w:val="ListParagraph"/>
      </w:pPr>
      <w:r>
        <w:rPr>
          <w:b w:val="0"/>
        </w:rPr>
        <w:t>2. Discrepancy rule:</w:t>
      </w:r>
    </w:p>
    <w:p>
      <w:pPr>
        <w:pStyle w:val="ListParagraph"/>
        <w:numPr>
          <w:ilvl w:val="1"/>
          <w:numId w:val="28"/>
        </w:numPr>
      </w:pPr>
      <w:r>
        <w:rPr>
          <w:b w:val="0"/>
        </w:rPr>
        <w:t xml:space="preserve">if PRE had "freq_before" or "freq_after", and POST does </w:t>
      </w:r>
      <w:r>
        <w:rPr>
          <w:b/>
        </w:rPr>
        <w:t>not</w:t>
      </w:r>
      <w:r>
        <w:rPr>
          <w:b w:val="0"/>
        </w:rPr>
        <w:t xml:space="preserve"> end up in "freq_after", it marks "FreqDiff=True".</w:t>
      </w:r>
    </w:p>
    <w:p>
      <w:pPr>
        <w:pStyle w:val="ListParagraph"/>
      </w:pPr>
      <w:r>
        <w:rPr>
          <w:b w:val="0"/>
        </w:rPr>
        <w:t>3. Classifies the discrepancy as:</w:t>
      </w:r>
    </w:p>
    <w:p>
      <w:pPr>
        <w:pStyle w:val="ListParagraph"/>
        <w:numPr>
          <w:ilvl w:val="1"/>
          <w:numId w:val="28"/>
        </w:numPr>
      </w:pPr>
      <w:r>
        <w:rPr>
          <w:b w:val="0"/>
        </w:rPr>
        <w:t>"FreqDiff_SSBPost" (target identified as SSB-Post),</w:t>
      </w:r>
    </w:p>
    <w:p>
      <w:pPr>
        <w:pStyle w:val="ListParagraph"/>
        <w:numPr>
          <w:ilvl w:val="1"/>
          <w:numId w:val="28"/>
        </w:numPr>
      </w:pPr>
      <w:r>
        <w:rPr>
          <w:b w:val="0"/>
        </w:rPr>
        <w:t>"FreqDiff_Unknown" (cannot be associated to a known target).</w:t>
      </w:r>
    </w:p>
    <w:p>
      <w:pPr>
        <w:pStyle w:val="Heading2"/>
      </w:pPr>
      <w:r>
        <w:t>How it detects neighbor discrepancies</w:t>
      </w:r>
    </w:p>
    <w:p>
      <w:r>
        <w:rPr>
          <w:b w:val="0"/>
        </w:rPr>
        <w:t>They are split into three groups:</w:t>
      </w:r>
    </w:p>
    <w:p>
      <w:pPr>
        <w:pStyle w:val="ListParagraph"/>
        <w:numPr>
          <w:ilvl w:val="0"/>
          <w:numId w:val="28"/>
        </w:numPr>
      </w:pPr>
      <w:r>
        <w:rPr>
          <w:b/>
        </w:rPr>
        <w:t>New relations</w:t>
      </w:r>
      <w:r>
        <w:rPr>
          <w:b w:val="0"/>
        </w:rPr>
        <w:t>: keys present in POST and absent in PRE.</w:t>
      </w:r>
    </w:p>
    <w:p>
      <w:pPr>
        <w:pStyle w:val="ListParagraph"/>
        <w:numPr>
          <w:ilvl w:val="0"/>
          <w:numId w:val="28"/>
        </w:numPr>
      </w:pPr>
      <w:r>
        <w:rPr>
          <w:b/>
        </w:rPr>
        <w:t>Missing relations</w:t>
      </w:r>
      <w:r>
        <w:rPr>
          <w:b w:val="0"/>
        </w:rPr>
        <w:t>: keys present in PRE and absent in POST.</w:t>
      </w:r>
    </w:p>
    <w:p>
      <w:pPr>
        <w:pStyle w:val="ListParagraph"/>
        <w:numPr>
          <w:ilvl w:val="0"/>
          <w:numId w:val="28"/>
        </w:numPr>
      </w:pPr>
      <w:r>
        <w:rPr>
          <w:b/>
        </w:rPr>
        <w:t>Discrepancies</w:t>
      </w:r>
      <w:r>
        <w:rPr>
          <w:b w:val="0"/>
        </w:rPr>
        <w:t>: same key in PRE/POST but with parametric or frequency differences.</w:t>
      </w:r>
    </w:p>
    <w:p>
      <w:pPr>
        <w:pStyle w:val="Heading2"/>
      </w:pPr>
      <w:r>
        <w:t>Content of each ConsistencyChecks output sheet</w:t>
      </w:r>
    </w:p>
    <w:p>
      <w:pPr>
        <w:pStyle w:val="ListParagraph"/>
        <w:numPr>
          <w:ilvl w:val="0"/>
          <w:numId w:val="28"/>
        </w:numPr>
      </w:pPr>
      <w:r>
        <w:rPr>
          <w:b/>
        </w:rPr>
        <w:t>Summary</w:t>
      </w:r>
      <w:r>
        <w:rPr>
          <w:b w:val="0"/>
        </w:rPr>
        <w:t>: KPIs per table (PRE/POST volume, discrepancies, new/missing, source files).</w:t>
      </w:r>
    </w:p>
    <w:p>
      <w:pPr>
        <w:pStyle w:val="ListParagraph"/>
        <w:numPr>
          <w:ilvl w:val="0"/>
          <w:numId w:val="28"/>
        </w:numPr>
      </w:pPr>
      <w:r>
        <w:rPr>
          <w:b/>
        </w:rPr>
        <w:t>SummaryAuditComparisson</w:t>
      </w:r>
      <w:r>
        <w:rPr>
          <w:b w:val="0"/>
        </w:rPr>
        <w:t>: diff of SummaryAudit PRE vs POST metrics (without "ExtraInfo" to keep the comparison clean).</w:t>
      </w:r>
    </w:p>
    <w:p>
      <w:pPr>
        <w:pStyle w:val="ListParagraph"/>
        <w:numPr>
          <w:ilvl w:val="0"/>
          <w:numId w:val="28"/>
        </w:numPr>
      </w:pPr>
      <w:r>
        <w:rPr>
          <w:b/>
        </w:rPr>
        <w:t>Summary_CellRelation</w:t>
      </w:r>
      <w:r>
        <w:rPr>
          <w:b w:val="0"/>
        </w:rPr>
        <w:t>: KPI per "Freq_Pre/Freq_Post" pair and per technology.</w:t>
      </w:r>
    </w:p>
    <w:p>
      <w:pPr>
        <w:pStyle w:val="ListParagraph"/>
        <w:numPr>
          <w:ilvl w:val="0"/>
          <w:numId w:val="28"/>
        </w:numPr>
      </w:pPr>
      <w:r>
        <w:rPr>
          <w:b/>
        </w:rPr>
        <w:t>GU_relations / NR_relations</w:t>
      </w:r>
      <w:r>
        <w:rPr>
          <w:b w:val="0"/>
        </w:rPr>
        <w:t>: relation universe enriched with target classification and command snippets.</w:t>
      </w:r>
    </w:p>
    <w:p>
      <w:pPr>
        <w:pStyle w:val="ListParagraph"/>
        <w:numPr>
          <w:ilvl w:val="0"/>
          <w:numId w:val="28"/>
        </w:numPr>
      </w:pPr>
      <w:r>
        <w:rPr>
          <w:b/>
        </w:rPr>
        <w:t>GU_param_disc / NR_param_disc</w:t>
      </w:r>
      <w:r>
        <w:rPr>
          <w:b w:val="0"/>
        </w:rPr>
        <w:t>: common relations with param differences.</w:t>
      </w:r>
    </w:p>
    <w:p>
      <w:pPr>
        <w:pStyle w:val="ListParagraph"/>
        <w:numPr>
          <w:ilvl w:val="0"/>
          <w:numId w:val="28"/>
        </w:numPr>
      </w:pPr>
      <w:r>
        <w:rPr>
          <w:b/>
        </w:rPr>
        <w:t>GU_freq_disc / NR_freq_disc</w:t>
      </w:r>
      <w:r>
        <w:rPr>
          <w:b w:val="0"/>
        </w:rPr>
        <w:t>: frequency discrepancies to SSB-Post targets.</w:t>
      </w:r>
    </w:p>
    <w:p>
      <w:pPr>
        <w:pStyle w:val="ListParagraph"/>
        <w:numPr>
          <w:ilvl w:val="0"/>
          <w:numId w:val="28"/>
        </w:numPr>
      </w:pPr>
      <w:r>
        <w:rPr>
          <w:b/>
        </w:rPr>
        <w:t>GU_freq_disc_unknown / NR_freq_disc_unknown</w:t>
      </w:r>
      <w:r>
        <w:rPr>
          <w:b w:val="0"/>
        </w:rPr>
        <w:t>: discrepancies with non-classifiable targets.</w:t>
      </w:r>
    </w:p>
    <w:p>
      <w:pPr>
        <w:pStyle w:val="ListParagraph"/>
        <w:numPr>
          <w:ilvl w:val="0"/>
          <w:numId w:val="28"/>
        </w:numPr>
      </w:pPr>
      <w:r>
        <w:rPr>
          <w:b/>
        </w:rPr>
        <w:t>GU_missing / NR_missing</w:t>
      </w:r>
      <w:r>
        <w:rPr>
          <w:b w:val="0"/>
        </w:rPr>
        <w:t>: relations removed versus PRE.</w:t>
      </w:r>
    </w:p>
    <w:p>
      <w:pPr>
        <w:pStyle w:val="ListParagraph"/>
        <w:numPr>
          <w:ilvl w:val="0"/>
          <w:numId w:val="28"/>
        </w:numPr>
      </w:pPr>
      <w:r>
        <w:rPr>
          <w:b/>
        </w:rPr>
        <w:t>GU_new / NR_new</w:t>
      </w:r>
      <w:r>
        <w:rPr>
          <w:b w:val="0"/>
        </w:rPr>
        <w:t>: relations added in POST.</w:t>
      </w:r>
    </w:p>
    <w:p>
      <w:pPr>
        <w:pStyle w:val="ListParagraph"/>
        <w:numPr>
          <w:ilvl w:val="0"/>
          <w:numId w:val="28"/>
        </w:numPr>
      </w:pPr>
      <w:r>
        <w:rPr>
          <w:b/>
        </w:rPr>
        <w:t>GU_all / NR_all</w:t>
      </w:r>
      <w:r>
        <w:rPr>
          <w:b w:val="0"/>
        </w:rPr>
        <w:t>: optional consolidated dump for extended analysis.</w:t>
      </w:r>
    </w:p>
    <w:p>
      <w:r>
        <w:br w:type="page"/>
      </w:r>
    </w:p>
    <w:p>
      <w:pPr>
        <w:pStyle w:val="Heading1"/>
      </w:pPr>
      <w:r>
        <w:t>Quick module reference</w:t>
      </w:r>
    </w:p>
    <w:tbl>
      <w:tblPr>
        <w:tblStyle w:val="TableGrid"/>
        <w:tblW w:type="auto" w:w="0"/>
        <w:tblLook w:firstColumn="1" w:firstRow="1" w:lastColumn="0" w:lastRow="0" w:noHBand="0" w:noVBand="1" w:val="04A0"/>
      </w:tblPr>
      <w:tblGrid>
        <w:gridCol w:w="2168"/>
        <w:gridCol w:w="2168"/>
        <w:gridCol w:w="2168"/>
        <w:gridCol w:w="2168"/>
      </w:tblGrid>
      <w:tr>
        <w:tc>
          <w:tcPr>
            <w:tcW w:type="dxa" w:w="2168"/>
          </w:tcPr>
          <w:p>
            <w:r/>
            <w:r>
              <w:rPr>
                <w:b/>
                <w:sz w:val="18"/>
              </w:rPr>
              <w:t>Module</w:t>
            </w:r>
          </w:p>
        </w:tc>
        <w:tc>
          <w:tcPr>
            <w:tcW w:type="dxa" w:w="2168"/>
          </w:tcPr>
          <w:p>
            <w:r/>
            <w:r>
              <w:rPr>
                <w:b/>
                <w:sz w:val="18"/>
              </w:rPr>
              <w:t>Main input</w:t>
            </w:r>
          </w:p>
        </w:tc>
        <w:tc>
          <w:tcPr>
            <w:tcW w:type="dxa" w:w="2168"/>
          </w:tcPr>
          <w:p>
            <w:r/>
            <w:r>
              <w:rPr>
                <w:b/>
                <w:sz w:val="18"/>
              </w:rPr>
              <w:t>Main output</w:t>
            </w:r>
          </w:p>
        </w:tc>
        <w:tc>
          <w:tcPr>
            <w:tcW w:type="dxa" w:w="2168"/>
          </w:tcPr>
          <w:p>
            <w:r/>
            <w:r>
              <w:rPr>
                <w:b/>
                <w:sz w:val="18"/>
              </w:rPr>
              <w:t>Goal</w:t>
            </w:r>
          </w:p>
        </w:tc>
      </w:tr>
      <w:tr>
        <w:tc>
          <w:tcPr>
            <w:tcW w:type="dxa" w:w="2168"/>
          </w:tcPr>
          <w:p>
            <w:r/>
            <w:r>
              <w:rPr>
                <w:b w:val="0"/>
                <w:sz w:val="16"/>
              </w:rPr>
              <w:t>0 Update Network Frequencies</w:t>
            </w:r>
          </w:p>
        </w:tc>
        <w:tc>
          <w:tcPr>
            <w:tcW w:type="dxa" w:w="2168"/>
          </w:tcPr>
          <w:p>
            <w:r/>
            <w:r>
              <w:rPr>
                <w:b w:val="0"/>
                <w:sz w:val="16"/>
              </w:rPr>
              <w:t>Logs folder</w:t>
            </w:r>
          </w:p>
        </w:tc>
        <w:tc>
          <w:tcPr>
            <w:tcW w:type="dxa" w:w="2168"/>
          </w:tcPr>
          <w:p>
            <w:r/>
            <w:r>
              <w:rPr>
                <w:b w:val="0"/>
                <w:sz w:val="16"/>
              </w:rPr>
              <w:t>Persisted config</w:t>
            </w:r>
          </w:p>
        </w:tc>
        <w:tc>
          <w:tcPr>
            <w:tcW w:type="dxa" w:w="2168"/>
          </w:tcPr>
          <w:p>
            <w:r/>
            <w:r>
              <w:rPr>
                <w:b w:val="0"/>
                <w:sz w:val="16"/>
              </w:rPr>
              <w:t>Update network frequency list</w:t>
            </w:r>
          </w:p>
        </w:tc>
      </w:tr>
      <w:tr>
        <w:tc>
          <w:tcPr>
            <w:tcW w:type="dxa" w:w="2168"/>
          </w:tcPr>
          <w:p>
            <w:r/>
            <w:r>
              <w:rPr>
                <w:b w:val="0"/>
                <w:sz w:val="16"/>
              </w:rPr>
              <w:t>1 Configuration Audit</w:t>
            </w:r>
          </w:p>
        </w:tc>
        <w:tc>
          <w:tcPr>
            <w:tcW w:type="dxa" w:w="2168"/>
          </w:tcPr>
          <w:p>
            <w:r/>
            <w:r>
              <w:rPr>
                <w:b w:val="0"/>
                <w:sz w:val="16"/>
              </w:rPr>
              <w:t>Logs/ZIP folder</w:t>
            </w:r>
          </w:p>
        </w:tc>
        <w:tc>
          <w:tcPr>
            <w:tcW w:type="dxa" w:w="2168"/>
          </w:tcPr>
          <w:p>
            <w:r/>
            <w:r>
              <w:rPr>
                <w:b w:val="0"/>
                <w:sz w:val="16"/>
              </w:rPr>
              <w:t>Excel + PPT + CA commands</w:t>
            </w:r>
          </w:p>
        </w:tc>
        <w:tc>
          <w:tcPr>
            <w:tcW w:type="dxa" w:w="2168"/>
          </w:tcPr>
          <w:p>
            <w:r/>
            <w:r>
              <w:rPr>
                <w:b w:val="0"/>
                <w:sz w:val="16"/>
              </w:rPr>
              <w:t>Audit configuration and profiles</w:t>
            </w:r>
          </w:p>
        </w:tc>
      </w:tr>
      <w:tr>
        <w:tc>
          <w:tcPr>
            <w:tcW w:type="dxa" w:w="2168"/>
          </w:tcPr>
          <w:p>
            <w:r/>
            <w:r>
              <w:rPr>
                <w:b w:val="0"/>
                <w:sz w:val="16"/>
              </w:rPr>
              <w:t>2 Consistency Check</w:t>
            </w:r>
          </w:p>
        </w:tc>
        <w:tc>
          <w:tcPr>
            <w:tcW w:type="dxa" w:w="2168"/>
          </w:tcPr>
          <w:p>
            <w:r/>
            <w:r>
              <w:rPr>
                <w:b w:val="0"/>
                <w:sz w:val="16"/>
              </w:rPr>
              <w:t>PRE and POST folders</w:t>
            </w:r>
          </w:p>
        </w:tc>
        <w:tc>
          <w:tcPr>
            <w:tcW w:type="dxa" w:w="2168"/>
          </w:tcPr>
          <w:p>
            <w:r/>
            <w:r>
              <w:rPr>
                <w:b w:val="0"/>
                <w:sz w:val="16"/>
              </w:rPr>
              <w:t>2 Excel + CC commands</w:t>
            </w:r>
          </w:p>
        </w:tc>
        <w:tc>
          <w:tcPr>
            <w:tcW w:type="dxa" w:w="2168"/>
          </w:tcPr>
          <w:p>
            <w:r/>
            <w:r>
              <w:rPr>
                <w:b w:val="0"/>
                <w:sz w:val="16"/>
              </w:rPr>
              <w:t>Compare pre/post relations</w:t>
            </w:r>
          </w:p>
        </w:tc>
      </w:tr>
      <w:tr>
        <w:tc>
          <w:tcPr>
            <w:tcW w:type="dxa" w:w="2168"/>
          </w:tcPr>
          <w:p>
            <w:r/>
            <w:r>
              <w:rPr>
                <w:b w:val="0"/>
                <w:sz w:val="16"/>
              </w:rPr>
              <w:t>3 Consistency Check (Bulk)</w:t>
            </w:r>
          </w:p>
        </w:tc>
        <w:tc>
          <w:tcPr>
            <w:tcW w:type="dxa" w:w="2168"/>
          </w:tcPr>
          <w:p>
            <w:r/>
            <w:r>
              <w:rPr>
                <w:b w:val="0"/>
                <w:sz w:val="16"/>
              </w:rPr>
              <w:t>Multi-market root folder</w:t>
            </w:r>
          </w:p>
        </w:tc>
        <w:tc>
          <w:tcPr>
            <w:tcW w:type="dxa" w:w="2168"/>
          </w:tcPr>
          <w:p>
            <w:r/>
            <w:r>
              <w:rPr>
                <w:b w:val="0"/>
                <w:sz w:val="16"/>
              </w:rPr>
              <w:t>Module 2 outputs per market</w:t>
            </w:r>
          </w:p>
        </w:tc>
        <w:tc>
          <w:tcPr>
            <w:tcW w:type="dxa" w:w="2168"/>
          </w:tcPr>
          <w:p>
            <w:r/>
            <w:r>
              <w:rPr>
                <w:b w:val="0"/>
                <w:sz w:val="16"/>
              </w:rPr>
              <w:t>Run bulk comparison</w:t>
            </w:r>
          </w:p>
        </w:tc>
      </w:tr>
      <w:tr>
        <w:tc>
          <w:tcPr>
            <w:tcW w:type="dxa" w:w="2168"/>
          </w:tcPr>
          <w:p>
            <w:r/>
            <w:r>
              <w:rPr>
                <w:b w:val="0"/>
                <w:sz w:val="16"/>
              </w:rPr>
              <w:t>4 Final Clean-Up</w:t>
            </w:r>
          </w:p>
        </w:tc>
        <w:tc>
          <w:tcPr>
            <w:tcW w:type="dxa" w:w="2168"/>
          </w:tcPr>
          <w:p>
            <w:r/>
            <w:r>
              <w:rPr>
                <w:b w:val="0"/>
                <w:sz w:val="16"/>
              </w:rPr>
              <w:t>Final folder</w:t>
            </w:r>
          </w:p>
        </w:tc>
        <w:tc>
          <w:tcPr>
            <w:tcW w:type="dxa" w:w="2168"/>
          </w:tcPr>
          <w:p>
            <w:r/>
            <w:r>
              <w:rPr>
                <w:b w:val="0"/>
                <w:sz w:val="16"/>
              </w:rPr>
              <w:t>Clean-up folder</w:t>
            </w:r>
          </w:p>
        </w:tc>
        <w:tc>
          <w:tcPr>
            <w:tcW w:type="dxa" w:w="2168"/>
          </w:tcPr>
          <w:p>
            <w:r/>
            <w:r>
              <w:rPr>
                <w:b w:val="0"/>
                <w:sz w:val="16"/>
              </w:rPr>
              <w:t>Operational final clean-up</w:t>
            </w:r>
          </w:p>
        </w:tc>
      </w:tr>
    </w:tbl>
    <w:p>
      <w:r>
        <w:br w:type="page"/>
      </w:r>
    </w:p>
    <w:p>
      <w:pPr>
        <w:pStyle w:val="Heading1"/>
      </w:pPr>
      <w:r>
        <w:t>Inputs Naming Convention</w:t>
      </w:r>
    </w:p>
    <w:p>
      <w:pPr>
        <w:pStyle w:val="ListParagraph"/>
        <w:numPr>
          <w:ilvl w:val="0"/>
          <w:numId w:val="28"/>
        </w:numPr>
      </w:pPr>
      <w:r>
        <w:rPr>
          <w:b w:val="0"/>
        </w:rPr>
        <w:t>Keep market log exports in a consistent structure and following the below naming convention (for both the parent folder and the zip file contining Step0 logs):</w:t>
      </w:r>
    </w:p>
    <w:p>
      <w:pPr>
        <w:pStyle w:val="ListParagraph"/>
        <w:numPr>
          <w:ilvl w:val="1"/>
          <w:numId w:val="28"/>
        </w:numPr>
      </w:pPr>
      <w:r>
        <w:rPr>
          <w:b w:val="0"/>
        </w:rPr>
        <w:t xml:space="preserve">Recommended naming convention for folders and zips: </w:t>
      </w:r>
      <w:r>
        <w:rPr>
          <w:b/>
        </w:rPr>
        <w:t>"&lt;TIMESTAMP&gt;_Step0_&lt;MARKET_ID&gt;_&lt;MARKET_NAME&gt;_&lt;PHASE&gt;"</w:t>
      </w:r>
    </w:p>
    <w:p>
      <w:pPr>
        <w:pStyle w:val="ListParagraph"/>
        <w:numPr>
          <w:ilvl w:val="1"/>
          <w:numId w:val="28"/>
        </w:numPr>
      </w:pPr>
      <w:r>
        <w:rPr>
          <w:b w:val="0"/>
        </w:rPr>
        <w:t>Example: "20260217_0500_Step0_Mkt188_Omaha_PreStep1/20260217_0500_Step0_Mkt188_Omaha_PreStep1.zip"</w:t>
      </w:r>
    </w:p>
    <w:tbl>
      <w:tblPr>
        <w:tblStyle w:val="TableGrid"/>
        <w:tblW w:type="auto" w:w="0"/>
        <w:tblLook w:firstColumn="1" w:firstRow="1" w:lastColumn="0" w:lastRow="0" w:noHBand="0" w:noVBand="1" w:val="04A0"/>
      </w:tblPr>
      <w:tblGrid>
        <w:gridCol w:w="4337"/>
        <w:gridCol w:w="4337"/>
      </w:tblGrid>
      <w:tr>
        <w:tc>
          <w:tcPr>
            <w:tcW w:type="dxa" w:w="4337"/>
          </w:tcPr>
          <w:p>
            <w:r/>
            <w:r>
              <w:rPr>
                <w:b/>
                <w:sz w:val="18"/>
              </w:rPr>
              <w:t>Naming Convention</w:t>
            </w:r>
          </w:p>
        </w:tc>
        <w:tc>
          <w:tcPr>
            <w:tcW w:type="dxa" w:w="4337"/>
          </w:tcPr>
          <w:p>
            <w:r/>
            <w:r>
              <w:rPr>
                <w:b/>
                <w:sz w:val="18"/>
              </w:rPr>
              <w:t>"&lt;TIMESTAMP&gt;_Step0_&lt;MARKET_ID&gt;_&lt;MARKET_NAME&gt;_&lt;PHASE&gt;/&lt;TIMESTAMP&gt;_Step0_&lt;MARKET_ID&gt;_&lt;MARKET_NAME&gt;_&lt;PHASE&gt;.zip"</w:t>
            </w:r>
          </w:p>
        </w:tc>
      </w:tr>
      <w:tr>
        <w:tc>
          <w:tcPr>
            <w:tcW w:type="dxa" w:w="4337"/>
          </w:tcPr>
          <w:p>
            <w:r/>
            <w:r>
              <w:rPr>
                <w:b/>
                <w:sz w:val="16"/>
              </w:rPr>
              <w:t>Example PreStep1</w:t>
            </w:r>
          </w:p>
        </w:tc>
        <w:tc>
          <w:tcPr>
            <w:tcW w:type="dxa" w:w="4337"/>
          </w:tcPr>
          <w:p>
            <w:r/>
            <w:r>
              <w:rPr>
                <w:b w:val="0"/>
                <w:sz w:val="16"/>
              </w:rPr>
              <w:t>"20260217_0500_Step0_Mkt188_Omaha_PreStep1/20260217_0500_Step0_Mkt188_Omaha_PreStep1.zip"</w:t>
            </w:r>
          </w:p>
        </w:tc>
      </w:tr>
      <w:tr>
        <w:tc>
          <w:tcPr>
            <w:tcW w:type="dxa" w:w="4337"/>
          </w:tcPr>
          <w:p>
            <w:r/>
            <w:r>
              <w:rPr>
                <w:b/>
                <w:sz w:val="16"/>
              </w:rPr>
              <w:t>Example PostStep1</w:t>
            </w:r>
          </w:p>
        </w:tc>
        <w:tc>
          <w:tcPr>
            <w:tcW w:type="dxa" w:w="4337"/>
          </w:tcPr>
          <w:p>
            <w:r/>
            <w:r>
              <w:rPr>
                <w:b w:val="0"/>
                <w:sz w:val="16"/>
              </w:rPr>
              <w:t>"20260217_0630_Step0_Mkt188_Omaha_PostStep1/20260217_0630_Step0_Mkt188_Omaha_PostStep1.zip"</w:t>
            </w:r>
          </w:p>
        </w:tc>
      </w:tr>
    </w:tbl>
    <w:p>
      <w:r>
        <w:br w:type="page"/>
      </w:r>
    </w:p>
    <w:p>
      <w:pPr>
        <w:pStyle w:val="Heading1"/>
      </w:pPr>
      <w:r>
        <w:t>Operational Best Practices</w:t>
      </w:r>
    </w:p>
    <w:p>
      <w:pPr>
        <w:pStyle w:val="ListParagraph"/>
        <w:numPr>
          <w:ilvl w:val="0"/>
          <w:numId w:val="28"/>
        </w:numPr>
      </w:pPr>
      <w:r>
        <w:rPr>
          <w:b w:val="0"/>
        </w:rPr>
        <w:t>Validate that PRE/POST have the same table granularity and consistent naming.</w:t>
      </w:r>
    </w:p>
    <w:p>
      <w:pPr>
        <w:pStyle w:val="ListParagraph"/>
        <w:numPr>
          <w:ilvl w:val="0"/>
          <w:numId w:val="28"/>
        </w:numPr>
      </w:pPr>
      <w:r>
        <w:rPr>
          <w:b w:val="0"/>
        </w:rPr>
        <w:t>Validate frequency inputs ("n77_ssb_pre", "n77_ssb_post", "n77b_ssb") before batch execution.</w:t>
      </w:r>
    </w:p>
    <w:p>
      <w:pPr>
        <w:pStyle w:val="ListParagraph"/>
        <w:numPr>
          <w:ilvl w:val="0"/>
          <w:numId w:val="28"/>
        </w:numPr>
      </w:pPr>
      <w:r>
        <w:rPr>
          <w:b w:val="0"/>
        </w:rPr>
        <w:t>Correctly configure allowed SSB/ARFCN lists to minimize false positives.</w:t>
      </w:r>
    </w:p>
    <w:p>
      <w:pPr>
        <w:pStyle w:val="ListParagraph"/>
        <w:numPr>
          <w:ilvl w:val="0"/>
          <w:numId w:val="28"/>
        </w:numPr>
      </w:pPr>
      <w:r>
        <w:rPr>
          <w:b w:val="0"/>
        </w:rPr>
        <w:t xml:space="preserve">Run </w:t>
      </w:r>
      <w:r>
        <w:rPr>
          <w:b/>
        </w:rPr>
        <w:t>Configuration Audit</w:t>
      </w:r>
      <w:r>
        <w:rPr>
          <w:b w:val="0"/>
        </w:rPr>
        <w:t xml:space="preserve"> before Consistency Checks whenever possible.</w:t>
      </w:r>
    </w:p>
    <w:p>
      <w:pPr>
        <w:pStyle w:val="ListParagraph"/>
        <w:numPr>
          <w:ilvl w:val="0"/>
          <w:numId w:val="28"/>
        </w:numPr>
      </w:pPr>
      <w:r>
        <w:rPr>
          <w:b w:val="0"/>
        </w:rPr>
        <w:t>Use Bulk mode only with a controlled folder naming convention.</w:t>
      </w:r>
    </w:p>
    <w:p>
      <w:pPr>
        <w:pStyle w:val="ListParagraph"/>
        <w:numPr>
          <w:ilvl w:val="0"/>
          <w:numId w:val="28"/>
        </w:numPr>
      </w:pPr>
      <w:r>
        <w:rPr>
          <w:b w:val="0"/>
        </w:rPr>
        <w:t>Review "Summary" and "Summary_CellRelation" first, then then deep-dive into detail sheets (ConfigurationAudit) and discrepancy tabs (ConsistencyCheck).</w:t>
      </w:r>
    </w:p>
    <w:p>
      <w:pPr>
        <w:pStyle w:val="ListParagraph"/>
        <w:numPr>
          <w:ilvl w:val="0"/>
          <w:numId w:val="28"/>
        </w:numPr>
      </w:pPr>
      <w:r>
        <w:rPr>
          <w:b w:val="0"/>
        </w:rPr>
        <w:t>Consume "Correction_Cmd_CA" and "Correction_Cmd_CC" as a remediation proposal, not as blind execution.</w:t>
      </w:r>
    </w:p>
    <w:p>
      <w:r>
        <w:br w:type="page"/>
      </w:r>
    </w:p>
    <w:p>
      <w:pPr>
        <w:pStyle w:val="Heading1"/>
      </w:pPr>
      <w:r>
        <w:t>Known limitations and considerations</w:t>
      </w:r>
    </w:p>
    <w:p>
      <w:pPr>
        <w:pStyle w:val="ListParagraph"/>
        <w:numPr>
          <w:ilvl w:val="0"/>
          <w:numId w:val="28"/>
        </w:numPr>
      </w:pPr>
      <w:r>
        <w:rPr>
          <w:b w:val="0"/>
        </w:rPr>
        <w:t>The engine depends on log quality and structure: missing columns downgrade checks to "N/A".</w:t>
      </w:r>
    </w:p>
    <w:p>
      <w:pPr>
        <w:pStyle w:val="ListParagraph"/>
        <w:numPr>
          <w:ilvl w:val="0"/>
          <w:numId w:val="28"/>
        </w:numPr>
      </w:pPr>
      <w:r>
        <w:rPr>
          <w:b w:val="0"/>
        </w:rPr>
        <w:t>Some rules depend on naming conventions in references (NR/GU relation refs).</w:t>
      </w:r>
    </w:p>
    <w:p>
      <w:pPr>
        <w:pStyle w:val="ListParagraph"/>
        <w:numPr>
          <w:ilvl w:val="0"/>
          <w:numId w:val="28"/>
        </w:numPr>
      </w:pPr>
      <w:r>
        <w:rPr>
          <w:b w:val="0"/>
        </w:rPr>
        <w:t>The Final Clean-Up module is prepared to extend operation-specific policies.</w:t>
      </w:r>
    </w:p>
    <w:sectPr w:rsidR="006A176A" w:rsidRPr="006A176A" w:rsidSect="006E4B36">
      <w:headerReference w:type="even" r:id="rId11"/>
      <w:headerReference w:type="default" r:id="rId12"/>
      <w:footerReference w:type="even" r:id="rId13"/>
      <w:footerReference w:type="default" r:id="rId14"/>
      <w:headerReference w:type="first" r:id="rId15"/>
      <w:footerReference w:type="first" r:id="rId16"/>
      <w:pgSz w:w="11906" w:h="16838" w:code="9"/>
      <w:pgMar w:top="2722" w:right="737" w:bottom="1418" w:left="2495" w:header="601"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8577C" w14:textId="77777777" w:rsidR="005B1386" w:rsidRDefault="005B1386" w:rsidP="009E4B94">
      <w:r>
        <w:separator/>
      </w:r>
    </w:p>
    <w:p w14:paraId="10C10CD0" w14:textId="77777777" w:rsidR="005B1386" w:rsidRDefault="005B1386"/>
  </w:endnote>
  <w:endnote w:type="continuationSeparator" w:id="0">
    <w:p w14:paraId="1DC908D8" w14:textId="77777777" w:rsidR="005B1386" w:rsidRDefault="005B1386" w:rsidP="009E4B94">
      <w:r>
        <w:continuationSeparator/>
      </w:r>
    </w:p>
    <w:p w14:paraId="4464FCF1" w14:textId="77777777" w:rsidR="005B1386" w:rsidRDefault="005B13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Ericsson Hilda">
    <w:altName w:val="Calibri"/>
    <w:panose1 w:val="00000500000000000000"/>
    <w:charset w:val="00"/>
    <w:family w:val="auto"/>
    <w:pitch w:val="variable"/>
    <w:sig w:usb0="00000287" w:usb1="00000000" w:usb2="00000000" w:usb3="00000000" w:csb0="0000009F" w:csb1="00000000"/>
    <w:embedRegular r:id="rId1" w:fontKey="{BA1BB1DC-A189-43C8-A6DA-2740C0F8C234}"/>
    <w:embedBold r:id="rId2" w:fontKey="{70C1A71F-FADE-47EC-84EA-17E8260F57BF}"/>
    <w:embedItalic r:id="rId3" w:fontKey="{0C2CB144-1E2E-424B-BF4A-550C850DEF76}"/>
    <w:embedBoldItalic r:id="rId4" w:fontKey="{BDEF78AB-9782-4CE2-B176-C540D29C7FD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7EA2" w14:textId="77777777" w:rsidR="002472A8" w:rsidRDefault="00247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2A51" w14:textId="77777777" w:rsidR="002472A8" w:rsidRDefault="002472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FC14" w14:textId="77777777" w:rsidR="002472A8" w:rsidRDefault="00247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385FF" w14:textId="77777777" w:rsidR="005B1386" w:rsidRDefault="005B1386" w:rsidP="009E4B94">
      <w:r>
        <w:separator/>
      </w:r>
    </w:p>
    <w:p w14:paraId="4E2868F8" w14:textId="77777777" w:rsidR="005B1386" w:rsidRDefault="005B1386"/>
  </w:footnote>
  <w:footnote w:type="continuationSeparator" w:id="0">
    <w:p w14:paraId="330784BB" w14:textId="77777777" w:rsidR="005B1386" w:rsidRDefault="005B1386" w:rsidP="009E4B94">
      <w:r>
        <w:continuationSeparator/>
      </w:r>
    </w:p>
    <w:p w14:paraId="427BC756" w14:textId="77777777" w:rsidR="005B1386" w:rsidRDefault="005B13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8B90" w14:textId="77777777" w:rsidR="002472A8" w:rsidRDefault="002472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8427" w14:textId="77777777" w:rsidR="001B5205" w:rsidRDefault="00A674CD" w:rsidP="00640482">
    <w:pPr>
      <w:pStyle w:val="Header"/>
    </w:pPr>
    <w:r>
      <w:rPr>
        <w:noProof/>
      </w:rPr>
      <w:drawing>
        <wp:anchor distT="0" distB="0" distL="0" distR="0" simplePos="0" relativeHeight="251661312" behindDoc="0" locked="0" layoutInCell="1" allowOverlap="1" wp14:anchorId="0255DA6C" wp14:editId="32A90487">
          <wp:simplePos x="0" y="0"/>
          <wp:positionH relativeFrom="page">
            <wp:posOffset>6840855</wp:posOffset>
          </wp:positionH>
          <wp:positionV relativeFrom="page">
            <wp:posOffset>504190</wp:posOffset>
          </wp:positionV>
          <wp:extent cx="190800" cy="252000"/>
          <wp:effectExtent l="0" t="0" r="0" b="0"/>
          <wp:wrapNone/>
          <wp:docPr id="3"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76B10CDC" w14:textId="77777777" w:rsidTr="00656011">
      <w:trPr>
        <w:cantSplit/>
        <w:trHeight w:val="140"/>
      </w:trPr>
      <w:tc>
        <w:tcPr>
          <w:tcW w:w="1936" w:type="dxa"/>
          <w:tcBorders>
            <w:left w:val="nil"/>
            <w:bottom w:val="nil"/>
            <w:right w:val="nil"/>
          </w:tcBorders>
        </w:tcPr>
        <w:sdt>
          <w:sdtPr>
            <w:id w:val="1878037405"/>
            <w:lock w:val="sdtContentLocked"/>
            <w:placeholder>
              <w:docPart w:val="DefaultPlaceholder_-1854013440"/>
            </w:placeholder>
            <w15:appearance w15:val="hidden"/>
          </w:sdtPr>
          <w:sdtContent>
            <w:p w14:paraId="467B8F27"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530562839"/>
            <w:lock w:val="sdtContentLocked"/>
            <w:placeholder>
              <w:docPart w:val="DefaultPlaceholder_-1854013440"/>
            </w:placeholder>
            <w15:appearance w15:val="hidden"/>
          </w:sdtPr>
          <w:sdtContent>
            <w:p w14:paraId="0D2FB3D9"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659458667"/>
            <w:lock w:val="sdtContentLocked"/>
            <w:placeholder>
              <w:docPart w:val="DefaultPlaceholder_-1854013440"/>
            </w:placeholder>
            <w15:appearance w15:val="hidden"/>
          </w:sdtPr>
          <w:sdtContent>
            <w:p w14:paraId="7A1335CA"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1147508764"/>
            <w:lock w:val="sdtContentLocked"/>
            <w:placeholder>
              <w:docPart w:val="DefaultPlaceholder_-1854013440"/>
            </w:placeholder>
            <w15:appearance w15:val="hidden"/>
          </w:sdtPr>
          <w:sdtContent>
            <w:p w14:paraId="4E037BCB" w14:textId="77777777" w:rsidR="009807EE" w:rsidRDefault="009807EE" w:rsidP="00656011">
              <w:pPr>
                <w:pStyle w:val="Documentinfo-Leadtext"/>
              </w:pPr>
              <w:r>
                <w:t>Page</w:t>
              </w:r>
            </w:p>
          </w:sdtContent>
        </w:sdt>
      </w:tc>
    </w:tr>
    <w:tr w:rsidR="009807EE" w14:paraId="307F161D"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ad89b48d-014c-40c7-af8f-9fd3e298a80c&quot;}}"/>
            <w:id w:val="1888214958"/>
            <w:lock w:val="sdtContentLocked"/>
            <w:placeholder>
              <w:docPart w:val="D57BF800E27E416EBA0C6A5329CD0BDA"/>
            </w:placeholder>
          </w:sdtPr>
          <w:sdtContent>
            <w:p w14:paraId="01474644" w14:textId="77777777" w:rsidR="00741C60" w:rsidRDefault="00000000">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ced1921e-d18f-4418-b96d-c9c63bf7e57f&quot;}}"/>
            <w:id w:val="-2033561923"/>
            <w:lock w:val="sdtContentLocked"/>
            <w:placeholder>
              <w:docPart w:val="D57BF800E27E416EBA0C6A5329CD0BDA"/>
            </w:placeholder>
          </w:sdtPr>
          <w:sdtContent>
            <w:p w14:paraId="265F5960" w14:textId="22E334E9" w:rsidR="00741C60" w:rsidRDefault="00A717FB">
              <w:pPr>
                <w:pStyle w:val="Documentinfo"/>
              </w:pPr>
              <w:r>
                <w:t xml:space="preserve"> </w:t>
              </w:r>
            </w:p>
          </w:sdtContent>
        </w:sdt>
      </w:tc>
      <w:tc>
        <w:tcPr>
          <w:tcW w:w="4031" w:type="dxa"/>
          <w:gridSpan w:val="4"/>
          <w:tcBorders>
            <w:top w:val="nil"/>
            <w:left w:val="nil"/>
            <w:bottom w:val="single" w:sz="4" w:space="0" w:color="auto"/>
            <w:right w:val="nil"/>
          </w:tcBorders>
        </w:tcPr>
        <w:p w14:paraId="32F473F8" w14:textId="4FB7C969" w:rsidR="00C6152B" w:rsidRDefault="00A36CD7">
          <w:pPr>
            <w:pStyle w:val="Documentinfo"/>
          </w:pPr>
          <w:fldSimple w:instr=" DOCPROPERTY  DocType  \* MERGEFORMAT ">
            <w:r w:rsidR="00A717FB">
              <w:t>User Guide</w:t>
            </w:r>
          </w:fldSimple>
        </w:p>
      </w:tc>
      <w:tc>
        <w:tcPr>
          <w:tcW w:w="840" w:type="dxa"/>
          <w:tcBorders>
            <w:top w:val="nil"/>
            <w:left w:val="nil"/>
            <w:bottom w:val="single" w:sz="4" w:space="0" w:color="auto"/>
            <w:right w:val="nil"/>
          </w:tcBorders>
        </w:tcPr>
        <w:p w14:paraId="6711C9FE"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2CA9EBD6" w14:textId="77777777" w:rsidTr="00656011">
      <w:trPr>
        <w:cantSplit/>
        <w:trHeight w:val="140"/>
      </w:trPr>
      <w:tc>
        <w:tcPr>
          <w:tcW w:w="4204" w:type="dxa"/>
          <w:gridSpan w:val="2"/>
          <w:tcBorders>
            <w:top w:val="single" w:sz="4" w:space="0" w:color="auto"/>
            <w:left w:val="nil"/>
            <w:bottom w:val="nil"/>
            <w:right w:val="nil"/>
          </w:tcBorders>
        </w:tcPr>
        <w:sdt>
          <w:sdtPr>
            <w:id w:val="-1930964951"/>
            <w:lock w:val="sdtContentLocked"/>
            <w:placeholder>
              <w:docPart w:val="DefaultPlaceholder_-1854013440"/>
            </w:placeholder>
            <w15:appearance w15:val="hidden"/>
          </w:sdtPr>
          <w:sdtContent>
            <w:p w14:paraId="168029DC"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1926222760"/>
            <w:lock w:val="sdtContentLocked"/>
            <w:placeholder>
              <w:docPart w:val="DefaultPlaceholder_-1854013440"/>
            </w:placeholder>
            <w15:appearance w15:val="hidden"/>
          </w:sdtPr>
          <w:sdtContent>
            <w:p w14:paraId="4DD28FCC"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297795164"/>
            <w:lock w:val="sdtContentLocked"/>
            <w:placeholder>
              <w:docPart w:val="DefaultPlaceholder_-1854013440"/>
            </w:placeholder>
            <w15:appearance w15:val="hidden"/>
          </w:sdtPr>
          <w:sdtContent>
            <w:p w14:paraId="21E36BC3" w14:textId="77777777" w:rsidR="009807EE" w:rsidRDefault="009807EE" w:rsidP="00656011">
              <w:pPr>
                <w:pStyle w:val="Documentinfo-Leadtext"/>
              </w:pPr>
              <w:r>
                <w:t>Checked</w:t>
              </w:r>
            </w:p>
          </w:sdtContent>
        </w:sdt>
      </w:tc>
    </w:tr>
    <w:tr w:rsidR="009807EE" w14:paraId="4F0E011F"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d0414304-06e2-4f31-95a0-8adc51c26448&quot;}}"/>
            <w:id w:val="-950395173"/>
            <w:lock w:val="sdtContentLocked"/>
            <w:placeholder>
              <w:docPart w:val="D57BF800E27E416EBA0C6A5329CD0BDA"/>
            </w:placeholder>
          </w:sdtPr>
          <w:sdtContent>
            <w:p w14:paraId="0DC93BF9" w14:textId="77777777" w:rsidR="00741C60" w:rsidRDefault="00000000">
              <w:pPr>
                <w:pStyle w:val="Documentinfo"/>
              </w:pPr>
              <w:r>
                <w:t>EJAITUR Jaime Tur</w:t>
              </w:r>
            </w:p>
          </w:sdtContent>
        </w:sdt>
      </w:tc>
      <w:tc>
        <w:tcPr>
          <w:tcW w:w="3401" w:type="dxa"/>
          <w:gridSpan w:val="3"/>
          <w:tcBorders>
            <w:top w:val="nil"/>
            <w:left w:val="nil"/>
            <w:bottom w:val="single" w:sz="4" w:space="0" w:color="auto"/>
            <w:right w:val="nil"/>
          </w:tcBorders>
        </w:tcPr>
        <w:sdt>
          <w:sdtPr>
            <w:alias w:val="ApprovedBy"/>
            <w:tag w:val="{&quot;templafy&quot;:{&quot;id&quot;:&quot;40d8dee2-f9f2-4615-a7ba-231b9495a35c&quot;}}"/>
            <w:id w:val="256637904"/>
            <w:lock w:val="sdtContentLocked"/>
            <w:placeholder>
              <w:docPart w:val="D57BF800E27E416EBA0C6A5329CD0BDA"/>
            </w:placeholder>
          </w:sdtPr>
          <w:sdtContent>
            <w:p w14:paraId="7C0E8104" w14:textId="77777777" w:rsidR="00741C60" w:rsidRDefault="00000000">
              <w:pPr>
                <w:pStyle w:val="Documentinfo"/>
              </w:pPr>
              <w:r>
                <w:t xml:space="preserve"> </w:t>
              </w:r>
            </w:p>
          </w:sdtContent>
        </w:sdt>
      </w:tc>
      <w:tc>
        <w:tcPr>
          <w:tcW w:w="1470" w:type="dxa"/>
          <w:gridSpan w:val="2"/>
          <w:tcBorders>
            <w:top w:val="nil"/>
            <w:left w:val="nil"/>
            <w:bottom w:val="single" w:sz="4" w:space="0" w:color="auto"/>
            <w:right w:val="nil"/>
          </w:tcBorders>
        </w:tcPr>
        <w:sdt>
          <w:sdtPr>
            <w:alias w:val="Checked"/>
            <w:tag w:val="{&quot;templafy&quot;:{&quot;id&quot;:&quot;e58f0444-0808-4eaa-8315-daadb390c65c&quot;}}"/>
            <w:id w:val="-619298224"/>
            <w:lock w:val="sdtContentLocked"/>
            <w:placeholder>
              <w:docPart w:val="D57BF800E27E416EBA0C6A5329CD0BDA"/>
            </w:placeholder>
          </w:sdtPr>
          <w:sdtContent>
            <w:p w14:paraId="5378742F" w14:textId="77777777" w:rsidR="00741C60" w:rsidRDefault="00000000">
              <w:pPr>
                <w:pStyle w:val="Documentinfo"/>
              </w:pPr>
              <w:r>
                <w:t xml:space="preserve"> </w:t>
              </w:r>
            </w:p>
          </w:sdtContent>
        </w:sdt>
      </w:tc>
    </w:tr>
    <w:tr w:rsidR="009807EE" w14:paraId="6B66DF5E" w14:textId="77777777" w:rsidTr="00656011">
      <w:trPr>
        <w:cantSplit/>
        <w:trHeight w:val="140"/>
      </w:trPr>
      <w:tc>
        <w:tcPr>
          <w:tcW w:w="4204" w:type="dxa"/>
          <w:gridSpan w:val="2"/>
          <w:tcBorders>
            <w:top w:val="single" w:sz="4" w:space="0" w:color="auto"/>
            <w:left w:val="nil"/>
            <w:bottom w:val="nil"/>
            <w:right w:val="nil"/>
          </w:tcBorders>
        </w:tcPr>
        <w:sdt>
          <w:sdtPr>
            <w:id w:val="1012723798"/>
            <w:lock w:val="sdtContentLocked"/>
            <w:placeholder>
              <w:docPart w:val="DefaultPlaceholder_-1854013440"/>
            </w:placeholder>
            <w15:appearance w15:val="hidden"/>
          </w:sdtPr>
          <w:sdtContent>
            <w:p w14:paraId="674DD821"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128140189"/>
            <w:lock w:val="sdtContentLocked"/>
            <w:placeholder>
              <w:docPart w:val="DefaultPlaceholder_-1854013440"/>
            </w:placeholder>
            <w15:appearance w15:val="hidden"/>
          </w:sdtPr>
          <w:sdtContent>
            <w:p w14:paraId="306949F9"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2054606741"/>
            <w:lock w:val="sdtContentLocked"/>
            <w:placeholder>
              <w:docPart w:val="DefaultPlaceholder_-1854013440"/>
            </w:placeholder>
            <w15:appearance w15:val="hidden"/>
          </w:sdtPr>
          <w:sdtContent>
            <w:p w14:paraId="5247A315"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317616764"/>
            <w:lock w:val="sdtLocked"/>
            <w:placeholder>
              <w:docPart w:val="DefaultPlaceholder_-1854013440"/>
            </w:placeholder>
            <w15:appearance w15:val="hidden"/>
          </w:sdtPr>
          <w:sdtContent>
            <w:p w14:paraId="21483D5D" w14:textId="77777777" w:rsidR="009807EE" w:rsidRPr="006330AC" w:rsidRDefault="009807EE" w:rsidP="00656011">
              <w:pPr>
                <w:pStyle w:val="Documentinfo-Leadtext"/>
              </w:pPr>
              <w:r>
                <w:t>Reference</w:t>
              </w:r>
            </w:p>
          </w:sdtContent>
        </w:sdt>
      </w:tc>
    </w:tr>
    <w:tr w:rsidR="009807EE" w14:paraId="433B3861" w14:textId="77777777" w:rsidTr="00656011">
      <w:trPr>
        <w:cantSplit/>
        <w:trHeight w:val="140"/>
      </w:trPr>
      <w:tc>
        <w:tcPr>
          <w:tcW w:w="4204" w:type="dxa"/>
          <w:gridSpan w:val="2"/>
          <w:tcBorders>
            <w:top w:val="nil"/>
            <w:left w:val="nil"/>
            <w:bottom w:val="single" w:sz="4" w:space="0" w:color="auto"/>
            <w:right w:val="nil"/>
          </w:tcBorders>
        </w:tcPr>
        <w:p w14:paraId="6493F708" w14:textId="48A23D3B" w:rsidR="009807EE" w:rsidRPr="00250CA4" w:rsidRDefault="00000000" w:rsidP="00656011">
          <w:pPr>
            <w:pStyle w:val="Documentinfo"/>
          </w:pPr>
          <w:sdt>
            <w:sdtPr>
              <w:alias w:val="DocumentNumber"/>
              <w:tag w:val="{&quot;templafy&quot;:{&quot;id&quot;:&quot;58553998-53c9-4422-8340-8e298fdc3146&quot;}}"/>
              <w:id w:val="982432056"/>
              <w:lock w:val="sdtContentLocked"/>
              <w:placeholder>
                <w:docPart w:val="D57BF800E27E416EBA0C6A5329CD0BDA"/>
              </w:placeholder>
            </w:sdtPr>
            <w:sdtContent>
              <w:r w:rsidR="008C4C2E">
                <w:t>0.7.7</w:t>
              </w:r>
            </w:sdtContent>
          </w:sdt>
          <w:r w:rsidR="009807EE">
            <w:t xml:space="preserve"> </w:t>
          </w:r>
          <w:sdt>
            <w:sdtPr>
              <w:alias w:val="Language Code"/>
              <w:tag w:val="{&quot;templafy&quot;:{&quot;id&quot;:&quot;036d656d-7189-48b6-beae-c7abbca80960&quot;}}"/>
              <w:id w:val="244157976"/>
              <w:lock w:val="sdtContentLocked"/>
              <w:placeholder>
                <w:docPart w:val="D57BF800E27E416EBA0C6A5329CD0BDA"/>
              </w:placeholder>
            </w:sdtPr>
            <w:sdtContent>
              <w:r w:rsidR="00A717FB" w:rsidRPr="00A717FB">
                <w:t xml:space="preserve"> </w:t>
              </w:r>
            </w:sdtContent>
          </w:sdt>
        </w:p>
      </w:tc>
      <w:tc>
        <w:tcPr>
          <w:tcW w:w="1078" w:type="dxa"/>
          <w:tcBorders>
            <w:top w:val="nil"/>
            <w:left w:val="nil"/>
            <w:bottom w:val="single" w:sz="4" w:space="0" w:color="auto"/>
            <w:right w:val="nil"/>
          </w:tcBorders>
        </w:tcPr>
        <w:sdt>
          <w:sdtPr>
            <w:alias w:val="Revision"/>
            <w:tag w:val="{&quot;templafy&quot;:{&quot;id&quot;:&quot;d9f9b7b1-17d8-41cf-884a-723f97ab1a63&quot;}}"/>
            <w:id w:val="-2090534800"/>
            <w:lock w:val="sdtContentLocked"/>
            <w:placeholder>
              <w:docPart w:val="D57BF800E27E416EBA0C6A5329CD0BDA"/>
            </w:placeholder>
          </w:sdtPr>
          <w:sdtContent>
            <w:p w14:paraId="1B78DEAD" w14:textId="77777777" w:rsidR="00741C60" w:rsidRDefault="00000000">
              <w:pPr>
                <w:pStyle w:val="Documentinfo"/>
              </w:pPr>
              <w:r>
                <w:t xml:space="preserve">0.7.7</w:t>
              </w:r>
            </w:p>
          </w:sdtContent>
        </w:sdt>
      </w:tc>
      <w:tc>
        <w:tcPr>
          <w:tcW w:w="1526" w:type="dxa"/>
          <w:tcBorders>
            <w:top w:val="nil"/>
            <w:left w:val="nil"/>
            <w:bottom w:val="single" w:sz="4" w:space="0" w:color="auto"/>
            <w:right w:val="nil"/>
          </w:tcBorders>
        </w:tcPr>
        <w:sdt>
          <w:sdtPr>
            <w:alias w:val="Date"/>
            <w:tag w:val="{&quot;templafy&quot;:{&quot;id&quot;:&quot;bc8ec6c0-188f-4a7c-9db3-b93b76423af5&quot;}}"/>
            <w:id w:val="1329253472"/>
            <w:lock w:val="sdtContentLocked"/>
            <w:placeholder>
              <w:docPart w:val="D57BF800E27E416EBA0C6A5329CD0BDA"/>
            </w:placeholder>
          </w:sdtPr>
          <w:sdtContent>
            <w:p w14:paraId="0703547D" w14:textId="0B6776AF" w:rsidR="00741C60" w:rsidRDefault="008C4C2E">
              <w:pPr>
                <w:pStyle w:val="Documentinfo"/>
              </w:pPr>
              <w:r>
                <w:t>2026-02-20</w:t>
              </w:r>
            </w:p>
          </w:sdtContent>
        </w:sdt>
      </w:tc>
      <w:tc>
        <w:tcPr>
          <w:tcW w:w="2267" w:type="dxa"/>
          <w:gridSpan w:val="3"/>
          <w:tcBorders>
            <w:top w:val="nil"/>
            <w:left w:val="nil"/>
            <w:bottom w:val="single" w:sz="4" w:space="0" w:color="auto"/>
            <w:right w:val="nil"/>
          </w:tcBorders>
        </w:tcPr>
        <w:sdt>
          <w:sdtPr>
            <w:alias w:val="Reference"/>
            <w:tag w:val="{&quot;templafy&quot;:{&quot;id&quot;:&quot;f987c7bb-ff97-40b6-a49a-7f7574e33137&quot;}}"/>
            <w:id w:val="-430282846"/>
            <w:lock w:val="sdtContentLocked"/>
            <w:placeholder>
              <w:docPart w:val="D57BF800E27E416EBA0C6A5329CD0BDA"/>
            </w:placeholder>
          </w:sdtPr>
          <w:sdtContent>
            <w:p w14:paraId="25CCF762" w14:textId="77777777" w:rsidR="00741C60" w:rsidRDefault="00000000">
              <w:pPr>
                <w:pStyle w:val="Documentinfo"/>
              </w:pPr>
              <w:r>
                <w:t xml:space="preserve"> </w:t>
              </w:r>
            </w:p>
          </w:sdtContent>
        </w:sdt>
      </w:tc>
    </w:tr>
    <w:tr w:rsidR="009807EE" w:rsidRPr="0080393A" w14:paraId="4BEB1E33" w14:textId="77777777" w:rsidTr="00656011">
      <w:trPr>
        <w:cantSplit/>
        <w:trHeight w:val="140"/>
      </w:trPr>
      <w:tc>
        <w:tcPr>
          <w:tcW w:w="9075" w:type="dxa"/>
          <w:gridSpan w:val="7"/>
          <w:tcBorders>
            <w:left w:val="nil"/>
            <w:bottom w:val="nil"/>
            <w:right w:val="nil"/>
          </w:tcBorders>
        </w:tcPr>
        <w:p w14:paraId="51EEA98B" w14:textId="77777777" w:rsidR="009807EE" w:rsidRPr="0080393A" w:rsidRDefault="009807EE" w:rsidP="00656011">
          <w:pPr>
            <w:pStyle w:val="Documentinfo"/>
          </w:pPr>
        </w:p>
      </w:tc>
    </w:tr>
  </w:tbl>
  <w:p w14:paraId="15F2692A" w14:textId="77777777" w:rsidR="002C70A3" w:rsidRPr="00640482" w:rsidRDefault="002C70A3" w:rsidP="00640482">
    <w:pPr>
      <w:pStyle w:val="Header"/>
    </w:pPr>
  </w:p>
  <w:p w14:paraId="0FB9338C" w14:textId="77777777" w:rsidR="00B92876" w:rsidRDefault="00B9287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AE6A" w14:textId="77777777" w:rsidR="001B5205" w:rsidRDefault="00A674CD" w:rsidP="00487291">
    <w:pPr>
      <w:pStyle w:val="Header"/>
    </w:pPr>
    <w:r>
      <w:rPr>
        <w:noProof/>
      </w:rPr>
      <w:drawing>
        <wp:anchor distT="0" distB="0" distL="0" distR="0" simplePos="0" relativeHeight="251659264" behindDoc="0" locked="0" layoutInCell="1" allowOverlap="1" wp14:anchorId="191F77BA" wp14:editId="6740EC64">
          <wp:simplePos x="0" y="0"/>
          <wp:positionH relativeFrom="page">
            <wp:posOffset>6840855</wp:posOffset>
          </wp:positionH>
          <wp:positionV relativeFrom="page">
            <wp:posOffset>504190</wp:posOffset>
          </wp:positionV>
          <wp:extent cx="190800" cy="252000"/>
          <wp:effectExtent l="0" t="0" r="0" b="0"/>
          <wp:wrapNone/>
          <wp:docPr id="4"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1E12A69B" w14:textId="77777777" w:rsidTr="00656011">
      <w:trPr>
        <w:cantSplit/>
        <w:trHeight w:val="140"/>
      </w:trPr>
      <w:tc>
        <w:tcPr>
          <w:tcW w:w="1936" w:type="dxa"/>
          <w:tcBorders>
            <w:left w:val="nil"/>
            <w:bottom w:val="nil"/>
            <w:right w:val="nil"/>
          </w:tcBorders>
        </w:tcPr>
        <w:bookmarkStart w:id="4" w:name="_Hlk511660098" w:displacedByCustomXml="next"/>
        <w:sdt>
          <w:sdtPr>
            <w:id w:val="1415522412"/>
            <w:lock w:val="sdtContentLocked"/>
            <w:placeholder>
              <w:docPart w:val="DefaultPlaceholder_-1854013440"/>
            </w:placeholder>
            <w15:appearance w15:val="hidden"/>
          </w:sdtPr>
          <w:sdtContent>
            <w:p w14:paraId="448FE90E"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313148146"/>
            <w:lock w:val="sdtContentLocked"/>
            <w:placeholder>
              <w:docPart w:val="DefaultPlaceholder_-1854013440"/>
            </w:placeholder>
            <w15:appearance w15:val="hidden"/>
          </w:sdtPr>
          <w:sdtContent>
            <w:p w14:paraId="5FECA20A"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1446758030"/>
            <w:lock w:val="sdtContentLocked"/>
            <w:placeholder>
              <w:docPart w:val="DefaultPlaceholder_-1854013440"/>
            </w:placeholder>
            <w15:appearance w15:val="hidden"/>
          </w:sdtPr>
          <w:sdtContent>
            <w:p w14:paraId="14113F50"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250200827"/>
            <w:lock w:val="sdtContentLocked"/>
            <w:placeholder>
              <w:docPart w:val="DefaultPlaceholder_-1854013440"/>
            </w:placeholder>
            <w15:appearance w15:val="hidden"/>
          </w:sdtPr>
          <w:sdtContent>
            <w:p w14:paraId="74B6A631" w14:textId="77777777" w:rsidR="009807EE" w:rsidRDefault="009807EE" w:rsidP="00656011">
              <w:pPr>
                <w:pStyle w:val="Documentinfo-Leadtext"/>
              </w:pPr>
              <w:r>
                <w:t>Page</w:t>
              </w:r>
            </w:p>
          </w:sdtContent>
        </w:sdt>
      </w:tc>
    </w:tr>
    <w:tr w:rsidR="009807EE" w14:paraId="46094E8D"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8a09d276-8c59-44e7-93e8-4e44fee32744&quot;}}"/>
            <w:id w:val="-1956789303"/>
            <w:lock w:val="sdtContentLocked"/>
            <w:placeholder>
              <w:docPart w:val="E162B836BF7E4D28A50547614106E868"/>
            </w:placeholder>
          </w:sdtPr>
          <w:sdtEndPr/>
          <w:sdtContent>
            <w:p w14:paraId="4C8E4513" w14:textId="77777777" w:rsidR="00741C60" w:rsidRPr="00A717FB" w:rsidRDefault="00000000">
              <w:pPr>
                <w:pStyle w:val="Documentinfo"/>
              </w:pPr>
              <w:r w:rsidRPr="00A717FB">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4f5f3efc-ac2a-45d7-b5f7-4f269200cba4&quot;}}"/>
            <w:id w:val="1297181158"/>
            <w:lock w:val="sdtContentLocked"/>
            <w:placeholder>
              <w:docPart w:val="E162B836BF7E4D28A50547614106E868"/>
            </w:placeholder>
          </w:sdtPr>
          <w:sdtEndPr/>
          <w:sdtContent>
            <w:p w14:paraId="08FCCFA9" w14:textId="3911AB81" w:rsidR="00741C60" w:rsidRPr="00A717FB" w:rsidRDefault="00A717FB">
              <w:pPr>
                <w:pStyle w:val="Documentinfo"/>
              </w:pPr>
              <w:r w:rsidRPr="00A717FB">
                <w:t xml:space="preserve"> </w:t>
              </w:r>
            </w:p>
          </w:sdtContent>
        </w:sdt>
      </w:tc>
      <w:tc>
        <w:tcPr>
          <w:tcW w:w="4031" w:type="dxa"/>
          <w:gridSpan w:val="4"/>
          <w:tcBorders>
            <w:top w:val="nil"/>
            <w:left w:val="nil"/>
            <w:bottom w:val="single" w:sz="4" w:space="0" w:color="auto"/>
            <w:right w:val="nil"/>
          </w:tcBorders>
        </w:tcPr>
        <w:p w14:paraId="65B72D21" w14:textId="268B035C" w:rsidR="00C6152B" w:rsidRDefault="00A36CD7">
          <w:pPr>
            <w:pStyle w:val="Documentinfo"/>
          </w:pPr>
          <w:fldSimple w:instr=" DOCPROPERTY  DocType  \* MERGEFORMAT ">
            <w:r w:rsidR="00A717FB">
              <w:t>User Guide</w:t>
            </w:r>
          </w:fldSimple>
        </w:p>
      </w:tc>
      <w:tc>
        <w:tcPr>
          <w:tcW w:w="840" w:type="dxa"/>
          <w:tcBorders>
            <w:top w:val="nil"/>
            <w:left w:val="nil"/>
            <w:bottom w:val="single" w:sz="4" w:space="0" w:color="auto"/>
            <w:right w:val="nil"/>
          </w:tcBorders>
        </w:tcPr>
        <w:p w14:paraId="3F4B47AB"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02D324A4" w14:textId="77777777" w:rsidTr="00656011">
      <w:trPr>
        <w:cantSplit/>
        <w:trHeight w:val="140"/>
      </w:trPr>
      <w:tc>
        <w:tcPr>
          <w:tcW w:w="4204" w:type="dxa"/>
          <w:gridSpan w:val="2"/>
          <w:tcBorders>
            <w:top w:val="single" w:sz="4" w:space="0" w:color="auto"/>
            <w:left w:val="nil"/>
            <w:bottom w:val="nil"/>
            <w:right w:val="nil"/>
          </w:tcBorders>
        </w:tcPr>
        <w:sdt>
          <w:sdtPr>
            <w:id w:val="-412855467"/>
            <w:lock w:val="sdtContentLocked"/>
            <w:placeholder>
              <w:docPart w:val="DefaultPlaceholder_-1854013440"/>
            </w:placeholder>
            <w15:appearance w15:val="hidden"/>
          </w:sdtPr>
          <w:sdtContent>
            <w:p w14:paraId="6E17527C"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217868967"/>
            <w:lock w:val="sdtContentLocked"/>
            <w:placeholder>
              <w:docPart w:val="DefaultPlaceholder_-1854013440"/>
            </w:placeholder>
            <w15:appearance w15:val="hidden"/>
          </w:sdtPr>
          <w:sdtContent>
            <w:p w14:paraId="0FC44208"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802269461"/>
            <w:lock w:val="sdtContentLocked"/>
            <w:placeholder>
              <w:docPart w:val="DefaultPlaceholder_-1854013440"/>
            </w:placeholder>
            <w15:appearance w15:val="hidden"/>
          </w:sdtPr>
          <w:sdtContent>
            <w:p w14:paraId="7725DE6E" w14:textId="77777777" w:rsidR="009807EE" w:rsidRDefault="009807EE" w:rsidP="00656011">
              <w:pPr>
                <w:pStyle w:val="Documentinfo-Leadtext"/>
              </w:pPr>
              <w:r>
                <w:t>Checked</w:t>
              </w:r>
            </w:p>
          </w:sdtContent>
        </w:sdt>
      </w:tc>
    </w:tr>
    <w:tr w:rsidR="009807EE" w14:paraId="09E33469"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a2b15923-47d2-4622-a41c-84d70ad4244f&quot;}}"/>
            <w:id w:val="1571238673"/>
            <w:lock w:val="sdtContentLocked"/>
            <w:placeholder>
              <w:docPart w:val="E162B836BF7E4D28A50547614106E868"/>
            </w:placeholder>
          </w:sdtPr>
          <w:sdtContent>
            <w:p w14:paraId="793152A9" w14:textId="77777777" w:rsidR="00741C60" w:rsidRDefault="00000000">
              <w:pPr>
                <w:pStyle w:val="Documentinfo"/>
              </w:pPr>
              <w:r>
                <w:t>EJAITUR Jaime Tur</w:t>
              </w:r>
            </w:p>
          </w:sdtContent>
        </w:sdt>
      </w:tc>
      <w:tc>
        <w:tcPr>
          <w:tcW w:w="3401" w:type="dxa"/>
          <w:gridSpan w:val="3"/>
          <w:tcBorders>
            <w:top w:val="nil"/>
            <w:left w:val="nil"/>
            <w:bottom w:val="single" w:sz="4" w:space="0" w:color="auto"/>
            <w:right w:val="nil"/>
          </w:tcBorders>
        </w:tcPr>
        <w:sdt>
          <w:sdtPr>
            <w:alias w:val="ApprovedBy"/>
            <w:tag w:val="{&quot;templafy&quot;:{&quot;id&quot;:&quot;09574352-3a59-464e-bab2-2e0ab1370a9b&quot;}}"/>
            <w:id w:val="1744751694"/>
            <w:lock w:val="sdtContentLocked"/>
            <w:placeholder>
              <w:docPart w:val="E162B836BF7E4D28A50547614106E868"/>
            </w:placeholder>
          </w:sdtPr>
          <w:sdtContent>
            <w:p w14:paraId="743D083E" w14:textId="77777777" w:rsidR="00741C60" w:rsidRDefault="00000000">
              <w:pPr>
                <w:pStyle w:val="Documentinfo"/>
              </w:pPr>
              <w:r>
                <w:t xml:space="preserve"> </w:t>
              </w:r>
            </w:p>
          </w:sdtContent>
        </w:sdt>
      </w:tc>
      <w:tc>
        <w:tcPr>
          <w:tcW w:w="1470" w:type="dxa"/>
          <w:gridSpan w:val="2"/>
          <w:tcBorders>
            <w:top w:val="nil"/>
            <w:left w:val="nil"/>
            <w:bottom w:val="single" w:sz="4" w:space="0" w:color="auto"/>
            <w:right w:val="nil"/>
          </w:tcBorders>
        </w:tcPr>
        <w:sdt>
          <w:sdtPr>
            <w:alias w:val="Checked"/>
            <w:tag w:val="{&quot;templafy&quot;:{&quot;id&quot;:&quot;2c69f603-efd7-435a-bc47-ac0d79d274e8&quot;}}"/>
            <w:id w:val="853622662"/>
            <w:lock w:val="sdtContentLocked"/>
            <w:placeholder>
              <w:docPart w:val="E162B836BF7E4D28A50547614106E868"/>
            </w:placeholder>
          </w:sdtPr>
          <w:sdtContent>
            <w:p w14:paraId="64722430" w14:textId="77777777" w:rsidR="00741C60" w:rsidRDefault="00000000">
              <w:pPr>
                <w:pStyle w:val="Documentinfo"/>
              </w:pPr>
              <w:r>
                <w:t xml:space="preserve"> </w:t>
              </w:r>
            </w:p>
          </w:sdtContent>
        </w:sdt>
      </w:tc>
    </w:tr>
    <w:tr w:rsidR="009807EE" w14:paraId="47C90B1D" w14:textId="77777777" w:rsidTr="00656011">
      <w:trPr>
        <w:cantSplit/>
        <w:trHeight w:val="140"/>
      </w:trPr>
      <w:tc>
        <w:tcPr>
          <w:tcW w:w="4204" w:type="dxa"/>
          <w:gridSpan w:val="2"/>
          <w:tcBorders>
            <w:top w:val="single" w:sz="4" w:space="0" w:color="auto"/>
            <w:left w:val="nil"/>
            <w:bottom w:val="nil"/>
            <w:right w:val="nil"/>
          </w:tcBorders>
        </w:tcPr>
        <w:sdt>
          <w:sdtPr>
            <w:id w:val="-60871427"/>
            <w:lock w:val="sdtContentLocked"/>
            <w:placeholder>
              <w:docPart w:val="DefaultPlaceholder_-1854013440"/>
            </w:placeholder>
            <w15:appearance w15:val="hidden"/>
          </w:sdtPr>
          <w:sdtContent>
            <w:p w14:paraId="6C5E53FE"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2061624717"/>
            <w:lock w:val="sdtContentLocked"/>
            <w:placeholder>
              <w:docPart w:val="DefaultPlaceholder_-1854013440"/>
            </w:placeholder>
            <w15:appearance w15:val="hidden"/>
          </w:sdtPr>
          <w:sdtContent>
            <w:p w14:paraId="79C92BC9"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317344848"/>
            <w:lock w:val="sdtContentLocked"/>
            <w:placeholder>
              <w:docPart w:val="DefaultPlaceholder_-1854013440"/>
            </w:placeholder>
            <w15:appearance w15:val="hidden"/>
          </w:sdtPr>
          <w:sdtContent>
            <w:p w14:paraId="35A1A93E"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80861450"/>
            <w:lock w:val="sdtContentLocked"/>
            <w:placeholder>
              <w:docPart w:val="DefaultPlaceholder_-1854013440"/>
            </w:placeholder>
            <w15:appearance w15:val="hidden"/>
          </w:sdtPr>
          <w:sdtContent>
            <w:p w14:paraId="15E686AB" w14:textId="77777777" w:rsidR="009807EE" w:rsidRPr="006330AC" w:rsidRDefault="009807EE" w:rsidP="00656011">
              <w:pPr>
                <w:pStyle w:val="Documentinfo-Leadtext"/>
              </w:pPr>
              <w:r>
                <w:t>Reference</w:t>
              </w:r>
            </w:p>
          </w:sdtContent>
        </w:sdt>
      </w:tc>
    </w:tr>
    <w:tr w:rsidR="009807EE" w14:paraId="495ADCA3" w14:textId="77777777" w:rsidTr="00656011">
      <w:trPr>
        <w:cantSplit/>
        <w:trHeight w:val="140"/>
      </w:trPr>
      <w:tc>
        <w:tcPr>
          <w:tcW w:w="4204" w:type="dxa"/>
          <w:gridSpan w:val="2"/>
          <w:tcBorders>
            <w:top w:val="nil"/>
            <w:left w:val="nil"/>
            <w:bottom w:val="single" w:sz="4" w:space="0" w:color="auto"/>
            <w:right w:val="nil"/>
          </w:tcBorders>
        </w:tcPr>
        <w:p w14:paraId="06BC2BD5" w14:textId="4F211C9D" w:rsidR="009807EE" w:rsidRPr="00250CA4" w:rsidRDefault="00000000" w:rsidP="00656011">
          <w:pPr>
            <w:pStyle w:val="Documentinfo"/>
          </w:pPr>
          <w:sdt>
            <w:sdtPr>
              <w:alias w:val="DocumentNumber"/>
              <w:tag w:val="{&quot;templafy&quot;:{&quot;id&quot;:&quot;2f23c7b3-385e-4248-a04d-62a74bc26cbe&quot;}}"/>
              <w:id w:val="1168604749"/>
              <w:lock w:val="sdtContentLocked"/>
              <w:placeholder>
                <w:docPart w:val="E162B836BF7E4D28A50547614106E868"/>
              </w:placeholder>
            </w:sdtPr>
            <w:sdtContent>
              <w:r w:rsidR="008C4C2E">
                <w:t>0.7.7</w:t>
              </w:r>
            </w:sdtContent>
          </w:sdt>
          <w:r w:rsidR="009807EE">
            <w:t xml:space="preserve"> </w:t>
          </w:r>
          <w:sdt>
            <w:sdtPr>
              <w:alias w:val="LanguageCode"/>
              <w:tag w:val="{&quot;templafy&quot;:{&quot;id&quot;:&quot;820facb6-7fec-4301-95be-deb6115560f4&quot;}}"/>
              <w:id w:val="-1250889021"/>
              <w:lock w:val="sdtContentLocked"/>
              <w:placeholder>
                <w:docPart w:val="E162B836BF7E4D28A50547614106E868"/>
              </w:placeholder>
            </w:sdtPr>
            <w:sdtContent>
              <w:r w:rsidR="00A717FB" w:rsidRPr="00A717FB">
                <w:t xml:space="preserve"> </w:t>
              </w:r>
            </w:sdtContent>
          </w:sdt>
        </w:p>
      </w:tc>
      <w:tc>
        <w:tcPr>
          <w:tcW w:w="1078" w:type="dxa"/>
          <w:tcBorders>
            <w:top w:val="nil"/>
            <w:left w:val="nil"/>
            <w:bottom w:val="single" w:sz="4" w:space="0" w:color="auto"/>
            <w:right w:val="nil"/>
          </w:tcBorders>
        </w:tcPr>
        <w:sdt>
          <w:sdtPr>
            <w:alias w:val="Revision"/>
            <w:tag w:val="{&quot;templafy&quot;:{&quot;id&quot;:&quot;4b77a2c6-c330-4a36-96b3-c753f76423ba&quot;}}"/>
            <w:id w:val="-1844396398"/>
            <w:lock w:val="sdtContentLocked"/>
            <w:placeholder>
              <w:docPart w:val="E162B836BF7E4D28A50547614106E868"/>
            </w:placeholder>
          </w:sdtPr>
          <w:sdtContent>
            <w:p w14:paraId="7BEA4B1D" w14:textId="77777777" w:rsidR="00741C60" w:rsidRDefault="00000000">
              <w:pPr>
                <w:pStyle w:val="Documentinfo"/>
              </w:pPr>
              <w:r>
                <w:t xml:space="preserve">0.7.7</w:t>
              </w:r>
            </w:p>
          </w:sdtContent>
        </w:sdt>
      </w:tc>
      <w:tc>
        <w:tcPr>
          <w:tcW w:w="1526" w:type="dxa"/>
          <w:tcBorders>
            <w:top w:val="nil"/>
            <w:left w:val="nil"/>
            <w:bottom w:val="single" w:sz="4" w:space="0" w:color="auto"/>
            <w:right w:val="nil"/>
          </w:tcBorders>
        </w:tcPr>
        <w:p w14:paraId="66509556" w14:textId="6450F232" w:rsidR="009807EE" w:rsidRPr="00250CA4" w:rsidRDefault="00000000" w:rsidP="00656011">
          <w:pPr>
            <w:pStyle w:val="Documentinfo"/>
          </w:pPr>
          <w:sdt>
            <w:sdtPr>
              <w:alias w:val="Date"/>
              <w:tag w:val="{&quot;templafy&quot;:{&quot;id&quot;:&quot;5c851a04-7ce4-4219-8f0d-4bd5bdfbc872&quot;}}"/>
              <w:id w:val="1542319214"/>
              <w:lock w:val="sdtContentLocked"/>
              <w:placeholder>
                <w:docPart w:val="E162B836BF7E4D28A50547614106E868"/>
              </w:placeholder>
            </w:sdtPr>
            <w:sdtContent>
              <w:r w:rsidR="008C4C2E">
                <w:t>2026-02-20</w:t>
              </w:r>
            </w:sdtContent>
          </w:sdt>
        </w:p>
      </w:tc>
      <w:tc>
        <w:tcPr>
          <w:tcW w:w="2267" w:type="dxa"/>
          <w:gridSpan w:val="3"/>
          <w:tcBorders>
            <w:top w:val="nil"/>
            <w:left w:val="nil"/>
            <w:bottom w:val="single" w:sz="4" w:space="0" w:color="auto"/>
            <w:right w:val="nil"/>
          </w:tcBorders>
        </w:tcPr>
        <w:sdt>
          <w:sdtPr>
            <w:alias w:val="Reference"/>
            <w:tag w:val="{&quot;templafy&quot;:{&quot;id&quot;:&quot;b02bf175-a280-4a26-a8eb-dda8187e4ba6&quot;}}"/>
            <w:id w:val="-1825570677"/>
            <w:lock w:val="sdtContentLocked"/>
            <w:placeholder>
              <w:docPart w:val="E162B836BF7E4D28A50547614106E868"/>
            </w:placeholder>
          </w:sdtPr>
          <w:sdtContent>
            <w:p w14:paraId="3C7E038C" w14:textId="77777777" w:rsidR="00741C60" w:rsidRDefault="00000000">
              <w:pPr>
                <w:pStyle w:val="Documentinfo"/>
              </w:pPr>
              <w:r>
                <w:t xml:space="preserve"> </w:t>
              </w:r>
            </w:p>
          </w:sdtContent>
        </w:sdt>
      </w:tc>
    </w:tr>
    <w:tr w:rsidR="009807EE" w:rsidRPr="0080393A" w14:paraId="527E9F65" w14:textId="77777777" w:rsidTr="00656011">
      <w:trPr>
        <w:cantSplit/>
        <w:trHeight w:val="140"/>
        <w:hidden/>
      </w:trPr>
      <w:tc>
        <w:tcPr>
          <w:tcW w:w="9075" w:type="dxa"/>
          <w:gridSpan w:val="7"/>
          <w:tcBorders>
            <w:left w:val="nil"/>
            <w:bottom w:val="nil"/>
            <w:right w:val="nil"/>
          </w:tcBorders>
        </w:tcPr>
        <w:sdt>
          <w:sdtPr>
            <w:rPr>
              <w:vanish/>
            </w:rPr>
            <w:alias w:val="Admin info"/>
            <w:tag w:val="{&quot;templafy&quot;:{&quot;id&quot;:&quot;6d2844f5-ecaf-4de9-9b63-7ceaae91eabe&quot;}}"/>
            <w:id w:val="-1906360652"/>
            <w:placeholder>
              <w:docPart w:val="DefaultPlaceholder_-1854013440"/>
            </w:placeholder>
          </w:sdtPr>
          <w:sdtEndPr/>
          <w:sdtContent>
            <w:p w14:paraId="3DCF3DB2" w14:textId="77777777" w:rsidR="00741C60" w:rsidRPr="00A717FB" w:rsidRDefault="00000000">
              <w:pPr>
                <w:pStyle w:val="Documentinfo"/>
                <w:rPr>
                  <w:vanish/>
                </w:rPr>
              </w:pPr>
              <w:r w:rsidRPr="00A717FB">
                <w:rPr>
                  <w:vanish/>
                </w:rPr>
                <w:t xml:space="preserve"> </w:t>
              </w:r>
            </w:p>
          </w:sdtContent>
        </w:sdt>
      </w:tc>
    </w:tr>
    <w:bookmarkEnd w:id="4"/>
  </w:tbl>
  <w:p w14:paraId="5EB5B557" w14:textId="77777777" w:rsidR="009807EE" w:rsidRDefault="009807EE" w:rsidP="009807EE">
    <w:pPr>
      <w:spacing w:after="0" w:line="14" w:lineRule="exact"/>
    </w:pPr>
  </w:p>
  <w:sdt>
    <w:sdtPr>
      <w:alias w:val="DocumentTitle"/>
      <w:tag w:val="{&quot;templafy&quot;:{&quot;id&quot;:&quot;a6aa3b4a-1b7e-409e-aeff-8b030348b665&quot;}}"/>
      <w:id w:val="393323900"/>
      <w:lock w:val="sdtContentLocked"/>
      <w:placeholder>
        <w:docPart w:val="DefaultPlaceholder_-1854013440"/>
      </w:placeholder>
    </w:sdtPr>
    <w:sdtContent>
      <w:p w14:paraId="7BFAA7AA" w14:textId="50FAFD1D" w:rsidR="00741C60" w:rsidRDefault="00A36CD7">
        <w:pPr>
          <w:pStyle w:val="Title"/>
        </w:pPr>
        <w:r>
          <w:t>Technical User Guide - SSB Retuning Automations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7" w15:restartNumberingAfterBreak="0">
    <w:nsid w:val="00BD081F"/>
    <w:multiLevelType w:val="multilevel"/>
    <w:tmpl w:val="9718F57E"/>
    <w:lvl w:ilvl="0">
      <w:start w:val="1"/>
      <w:numFmt w:val="lowerLetter"/>
      <w:pStyle w:val="Listabc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D203905"/>
    <w:multiLevelType w:val="multilevel"/>
    <w:tmpl w:val="6C0EF7B8"/>
    <w:lvl w:ilvl="0">
      <w:start w:val="1"/>
      <w:numFmt w:val="decimal"/>
      <w:pStyle w:val="Listnumberdoublelin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9" w15:restartNumberingAfterBreak="0">
    <w:nsid w:val="0E5F12AE"/>
    <w:multiLevelType w:val="multilevel"/>
    <w:tmpl w:val="769227F8"/>
    <w:lvl w:ilvl="0">
      <w:start w:val="1"/>
      <w:numFmt w:val="decimal"/>
      <w:pStyle w:val="ListNumber2"/>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0" w15:restartNumberingAfterBreak="0">
    <w:nsid w:val="17BE0E62"/>
    <w:multiLevelType w:val="multilevel"/>
    <w:tmpl w:val="2F8C90FC"/>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1"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3"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4"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15" w15:restartNumberingAfterBreak="0">
    <w:nsid w:val="46D87D36"/>
    <w:multiLevelType w:val="multilevel"/>
    <w:tmpl w:val="BD42FFA6"/>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6"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17" w15:restartNumberingAfterBreak="0">
    <w:nsid w:val="495806B8"/>
    <w:multiLevelType w:val="multilevel"/>
    <w:tmpl w:val="D24087AC"/>
    <w:lvl w:ilvl="0">
      <w:start w:val="1"/>
      <w:numFmt w:val="bullet"/>
      <w:pStyle w:val="ListBullet2"/>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18" w15:restartNumberingAfterBreak="0">
    <w:nsid w:val="4A5A212B"/>
    <w:multiLevelType w:val="hybridMultilevel"/>
    <w:tmpl w:val="383E0EBE"/>
    <w:lvl w:ilvl="0" w:tplc="F22AD53A">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60138"/>
    <w:multiLevelType w:val="multilevel"/>
    <w:tmpl w:val="67909332"/>
    <w:lvl w:ilvl="0">
      <w:start w:val="1"/>
      <w:numFmt w:val="decimal"/>
      <w:pStyle w:val="Listnumber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F1D592F"/>
    <w:multiLevelType w:val="multilevel"/>
    <w:tmpl w:val="5FD86E76"/>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1"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2" w15:restartNumberingAfterBreak="0">
    <w:nsid w:val="66A63E39"/>
    <w:multiLevelType w:val="multilevel"/>
    <w:tmpl w:val="FEFE1E08"/>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3" w15:restartNumberingAfterBreak="0">
    <w:nsid w:val="68555E50"/>
    <w:multiLevelType w:val="multilevel"/>
    <w:tmpl w:val="EFEE36A0"/>
    <w:lvl w:ilvl="0">
      <w:start w:val="1"/>
      <w:numFmt w:val="lowerLetter"/>
      <w:pStyle w:val="Listabcdoub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B7C46D3"/>
    <w:multiLevelType w:val="multilevel"/>
    <w:tmpl w:val="4FE2E8F4"/>
    <w:lvl w:ilvl="0">
      <w:start w:val="1"/>
      <w:numFmt w:val="decimal"/>
      <w:pStyle w:val="Heading1"/>
      <w:lvlText w:val="%1"/>
      <w:lvlJc w:val="left"/>
      <w:pPr>
        <w:ind w:left="0" w:hanging="1389"/>
      </w:pPr>
      <w:rPr>
        <w:rFonts w:hint="default"/>
        <w:b w:val="0"/>
        <w:i w:val="0"/>
      </w:rPr>
    </w:lvl>
    <w:lvl w:ilvl="1">
      <w:start w:val="1"/>
      <w:numFmt w:val="decimal"/>
      <w:pStyle w:val="Heading2"/>
      <w:lvlText w:val="%1.%2"/>
      <w:lvlJc w:val="left"/>
      <w:pPr>
        <w:ind w:left="0" w:hanging="1389"/>
      </w:pPr>
      <w:rPr>
        <w:rFonts w:hint="default"/>
      </w:rPr>
    </w:lvl>
    <w:lvl w:ilvl="2">
      <w:start w:val="1"/>
      <w:numFmt w:val="decimal"/>
      <w:pStyle w:val="Heading3"/>
      <w:lvlText w:val="%1.%2.%3"/>
      <w:lvlJc w:val="left"/>
      <w:pPr>
        <w:ind w:left="0" w:hanging="1389"/>
      </w:pPr>
      <w:rPr>
        <w:rFonts w:hint="default"/>
      </w:r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389"/>
      </w:pPr>
      <w:rPr>
        <w:rFonts w:hint="default"/>
      </w:rPr>
    </w:lvl>
    <w:lvl w:ilvl="8">
      <w:start w:val="1"/>
      <w:numFmt w:val="decimal"/>
      <w:pStyle w:val="Heading9"/>
      <w:lvlText w:val="%1.%2.%3.%4.%5.%6.%7.%8.%9"/>
      <w:lvlJc w:val="left"/>
      <w:pPr>
        <w:ind w:left="0" w:hanging="1389"/>
      </w:pPr>
      <w:rPr>
        <w:rFonts w:hint="default"/>
      </w:rPr>
    </w:lvl>
  </w:abstractNum>
  <w:abstractNum w:abstractNumId="25"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6" w15:restartNumberingAfterBreak="0">
    <w:nsid w:val="7E20588C"/>
    <w:multiLevelType w:val="multilevel"/>
    <w:tmpl w:val="E2D0D5AC"/>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27" w15:restartNumberingAfterBreak="0">
    <w:nsid w:val="7FB354B8"/>
    <w:multiLevelType w:val="multilevel"/>
    <w:tmpl w:val="FA8C6248"/>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359086703">
    <w:abstractNumId w:val="27"/>
  </w:num>
  <w:num w:numId="2" w16cid:durableId="47801220">
    <w:abstractNumId w:val="17"/>
  </w:num>
  <w:num w:numId="3" w16cid:durableId="1995715341">
    <w:abstractNumId w:val="5"/>
  </w:num>
  <w:num w:numId="4" w16cid:durableId="45028274">
    <w:abstractNumId w:val="4"/>
  </w:num>
  <w:num w:numId="5" w16cid:durableId="1964189909">
    <w:abstractNumId w:val="3"/>
  </w:num>
  <w:num w:numId="6" w16cid:durableId="1902132210">
    <w:abstractNumId w:val="26"/>
  </w:num>
  <w:num w:numId="7" w16cid:durableId="1949580936">
    <w:abstractNumId w:val="9"/>
  </w:num>
  <w:num w:numId="8" w16cid:durableId="1806048164">
    <w:abstractNumId w:val="2"/>
  </w:num>
  <w:num w:numId="9" w16cid:durableId="318965792">
    <w:abstractNumId w:val="1"/>
  </w:num>
  <w:num w:numId="10" w16cid:durableId="486552456">
    <w:abstractNumId w:val="0"/>
  </w:num>
  <w:num w:numId="11" w16cid:durableId="1872917984">
    <w:abstractNumId w:val="24"/>
  </w:num>
  <w:num w:numId="12" w16cid:durableId="1285189605">
    <w:abstractNumId w:val="15"/>
  </w:num>
  <w:num w:numId="13" w16cid:durableId="1798714295">
    <w:abstractNumId w:val="10"/>
  </w:num>
  <w:num w:numId="14" w16cid:durableId="814683134">
    <w:abstractNumId w:val="14"/>
  </w:num>
  <w:num w:numId="15" w16cid:durableId="1691032220">
    <w:abstractNumId w:val="13"/>
  </w:num>
  <w:num w:numId="16" w16cid:durableId="1421216197">
    <w:abstractNumId w:val="16"/>
  </w:num>
  <w:num w:numId="17" w16cid:durableId="21516235">
    <w:abstractNumId w:val="21"/>
  </w:num>
  <w:num w:numId="18" w16cid:durableId="1885175606">
    <w:abstractNumId w:val="6"/>
  </w:num>
  <w:num w:numId="19" w16cid:durableId="129057188">
    <w:abstractNumId w:val="25"/>
  </w:num>
  <w:num w:numId="20" w16cid:durableId="681514332">
    <w:abstractNumId w:val="12"/>
  </w:num>
  <w:num w:numId="21" w16cid:durableId="961040669">
    <w:abstractNumId w:val="11"/>
  </w:num>
  <w:num w:numId="22" w16cid:durableId="567493349">
    <w:abstractNumId w:val="22"/>
  </w:num>
  <w:num w:numId="23" w16cid:durableId="341321783">
    <w:abstractNumId w:val="20"/>
  </w:num>
  <w:num w:numId="24" w16cid:durableId="624848846">
    <w:abstractNumId w:val="7"/>
  </w:num>
  <w:num w:numId="25" w16cid:durableId="425687188">
    <w:abstractNumId w:val="23"/>
  </w:num>
  <w:num w:numId="26" w16cid:durableId="245310074">
    <w:abstractNumId w:val="8"/>
  </w:num>
  <w:num w:numId="27" w16cid:durableId="818496791">
    <w:abstractNumId w:val="19"/>
  </w:num>
  <w:num w:numId="28" w16cid:durableId="2076277439">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saveSubsetFonts/>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4865"/>
    <w:rsid w:val="00010110"/>
    <w:rsid w:val="00013FF5"/>
    <w:rsid w:val="00017852"/>
    <w:rsid w:val="0002497C"/>
    <w:rsid w:val="000263EF"/>
    <w:rsid w:val="00040773"/>
    <w:rsid w:val="00057E79"/>
    <w:rsid w:val="00060180"/>
    <w:rsid w:val="00061005"/>
    <w:rsid w:val="00066D48"/>
    <w:rsid w:val="00080D8D"/>
    <w:rsid w:val="00084DA0"/>
    <w:rsid w:val="00094ABD"/>
    <w:rsid w:val="00094D92"/>
    <w:rsid w:val="000A09B8"/>
    <w:rsid w:val="000A5A96"/>
    <w:rsid w:val="000B4467"/>
    <w:rsid w:val="000D1CAC"/>
    <w:rsid w:val="000D1F23"/>
    <w:rsid w:val="000E061E"/>
    <w:rsid w:val="000E0F11"/>
    <w:rsid w:val="000F3521"/>
    <w:rsid w:val="001010DA"/>
    <w:rsid w:val="001067EF"/>
    <w:rsid w:val="00111BC1"/>
    <w:rsid w:val="00115E3C"/>
    <w:rsid w:val="00122D7A"/>
    <w:rsid w:val="001235BF"/>
    <w:rsid w:val="0013244F"/>
    <w:rsid w:val="00136B4C"/>
    <w:rsid w:val="001457C0"/>
    <w:rsid w:val="00165FFB"/>
    <w:rsid w:val="00166FBB"/>
    <w:rsid w:val="001762DD"/>
    <w:rsid w:val="00176C2C"/>
    <w:rsid w:val="00182651"/>
    <w:rsid w:val="001912A0"/>
    <w:rsid w:val="00194260"/>
    <w:rsid w:val="001A0523"/>
    <w:rsid w:val="001A1964"/>
    <w:rsid w:val="001A5089"/>
    <w:rsid w:val="001A73EA"/>
    <w:rsid w:val="001B3E3A"/>
    <w:rsid w:val="001B4A75"/>
    <w:rsid w:val="001B5205"/>
    <w:rsid w:val="001C1A0D"/>
    <w:rsid w:val="001E17BF"/>
    <w:rsid w:val="001E3095"/>
    <w:rsid w:val="001E4013"/>
    <w:rsid w:val="001F700E"/>
    <w:rsid w:val="002016D3"/>
    <w:rsid w:val="0020755F"/>
    <w:rsid w:val="00221F33"/>
    <w:rsid w:val="00225156"/>
    <w:rsid w:val="00242CE7"/>
    <w:rsid w:val="00244D70"/>
    <w:rsid w:val="002472A8"/>
    <w:rsid w:val="00256A57"/>
    <w:rsid w:val="00272CDB"/>
    <w:rsid w:val="00276998"/>
    <w:rsid w:val="00276AF2"/>
    <w:rsid w:val="00292823"/>
    <w:rsid w:val="002A76FB"/>
    <w:rsid w:val="002B4402"/>
    <w:rsid w:val="002B581B"/>
    <w:rsid w:val="002C70A3"/>
    <w:rsid w:val="002D294A"/>
    <w:rsid w:val="002D5BD4"/>
    <w:rsid w:val="002E16AB"/>
    <w:rsid w:val="002E74A4"/>
    <w:rsid w:val="002F15A2"/>
    <w:rsid w:val="002F7D0C"/>
    <w:rsid w:val="00314267"/>
    <w:rsid w:val="00316307"/>
    <w:rsid w:val="0031633D"/>
    <w:rsid w:val="00322309"/>
    <w:rsid w:val="0033243B"/>
    <w:rsid w:val="00337B6E"/>
    <w:rsid w:val="0034744A"/>
    <w:rsid w:val="00354509"/>
    <w:rsid w:val="00365B9D"/>
    <w:rsid w:val="00372CFD"/>
    <w:rsid w:val="00375C3E"/>
    <w:rsid w:val="003A3948"/>
    <w:rsid w:val="003B35B0"/>
    <w:rsid w:val="003B4D66"/>
    <w:rsid w:val="003B5AC8"/>
    <w:rsid w:val="003C2CD5"/>
    <w:rsid w:val="003C60F1"/>
    <w:rsid w:val="003C6F05"/>
    <w:rsid w:val="003D1173"/>
    <w:rsid w:val="003D19D2"/>
    <w:rsid w:val="003E70EF"/>
    <w:rsid w:val="003F090D"/>
    <w:rsid w:val="003F258B"/>
    <w:rsid w:val="003F3843"/>
    <w:rsid w:val="003F4660"/>
    <w:rsid w:val="003F68E3"/>
    <w:rsid w:val="003F71A8"/>
    <w:rsid w:val="00404D5B"/>
    <w:rsid w:val="00410EC3"/>
    <w:rsid w:val="00412073"/>
    <w:rsid w:val="00412DF4"/>
    <w:rsid w:val="00416C5C"/>
    <w:rsid w:val="004176B2"/>
    <w:rsid w:val="00420FCD"/>
    <w:rsid w:val="00424709"/>
    <w:rsid w:val="00431B8D"/>
    <w:rsid w:val="00435017"/>
    <w:rsid w:val="00435B1D"/>
    <w:rsid w:val="00436E97"/>
    <w:rsid w:val="004500B5"/>
    <w:rsid w:val="00450702"/>
    <w:rsid w:val="00457C54"/>
    <w:rsid w:val="004618A7"/>
    <w:rsid w:val="004774D8"/>
    <w:rsid w:val="00485378"/>
    <w:rsid w:val="00487291"/>
    <w:rsid w:val="00487F0F"/>
    <w:rsid w:val="004B236F"/>
    <w:rsid w:val="004B2F2D"/>
    <w:rsid w:val="004B446D"/>
    <w:rsid w:val="004C01B2"/>
    <w:rsid w:val="004C6321"/>
    <w:rsid w:val="004D3C9D"/>
    <w:rsid w:val="004E019C"/>
    <w:rsid w:val="004E034F"/>
    <w:rsid w:val="004E3360"/>
    <w:rsid w:val="00502066"/>
    <w:rsid w:val="005056B6"/>
    <w:rsid w:val="0052447F"/>
    <w:rsid w:val="00543321"/>
    <w:rsid w:val="00554E89"/>
    <w:rsid w:val="005574E4"/>
    <w:rsid w:val="00557A83"/>
    <w:rsid w:val="005603F9"/>
    <w:rsid w:val="00560C04"/>
    <w:rsid w:val="00560FD0"/>
    <w:rsid w:val="00576113"/>
    <w:rsid w:val="00576537"/>
    <w:rsid w:val="00591F2B"/>
    <w:rsid w:val="00596784"/>
    <w:rsid w:val="005A28D4"/>
    <w:rsid w:val="005B1386"/>
    <w:rsid w:val="005C3C90"/>
    <w:rsid w:val="005D02E8"/>
    <w:rsid w:val="005D2856"/>
    <w:rsid w:val="005D5A13"/>
    <w:rsid w:val="005D5E38"/>
    <w:rsid w:val="005F0520"/>
    <w:rsid w:val="005F1580"/>
    <w:rsid w:val="0060190D"/>
    <w:rsid w:val="006078B3"/>
    <w:rsid w:val="00620308"/>
    <w:rsid w:val="00623DF1"/>
    <w:rsid w:val="00626A1B"/>
    <w:rsid w:val="00630508"/>
    <w:rsid w:val="0063738F"/>
    <w:rsid w:val="00640482"/>
    <w:rsid w:val="00643812"/>
    <w:rsid w:val="0064610D"/>
    <w:rsid w:val="006475AD"/>
    <w:rsid w:val="00651548"/>
    <w:rsid w:val="0065190A"/>
    <w:rsid w:val="0065361C"/>
    <w:rsid w:val="00655B49"/>
    <w:rsid w:val="00656011"/>
    <w:rsid w:val="00673968"/>
    <w:rsid w:val="00681D83"/>
    <w:rsid w:val="006969B0"/>
    <w:rsid w:val="006A176A"/>
    <w:rsid w:val="006A2D3C"/>
    <w:rsid w:val="006B30A9"/>
    <w:rsid w:val="006B3B17"/>
    <w:rsid w:val="006B79DD"/>
    <w:rsid w:val="006C73E0"/>
    <w:rsid w:val="006D5780"/>
    <w:rsid w:val="006E4297"/>
    <w:rsid w:val="006E4B36"/>
    <w:rsid w:val="006E52DF"/>
    <w:rsid w:val="006F071B"/>
    <w:rsid w:val="006F46FE"/>
    <w:rsid w:val="006F5208"/>
    <w:rsid w:val="0070267E"/>
    <w:rsid w:val="007065E3"/>
    <w:rsid w:val="00711E18"/>
    <w:rsid w:val="00714B15"/>
    <w:rsid w:val="00725365"/>
    <w:rsid w:val="00733962"/>
    <w:rsid w:val="00733AFC"/>
    <w:rsid w:val="00741C60"/>
    <w:rsid w:val="00744EFA"/>
    <w:rsid w:val="007537E9"/>
    <w:rsid w:val="007546AF"/>
    <w:rsid w:val="00765934"/>
    <w:rsid w:val="0076781E"/>
    <w:rsid w:val="00775EAB"/>
    <w:rsid w:val="00777C5C"/>
    <w:rsid w:val="007936D7"/>
    <w:rsid w:val="00793A69"/>
    <w:rsid w:val="00794F5C"/>
    <w:rsid w:val="007A42A3"/>
    <w:rsid w:val="007B10AE"/>
    <w:rsid w:val="007C1F45"/>
    <w:rsid w:val="007C38C1"/>
    <w:rsid w:val="007D0DE0"/>
    <w:rsid w:val="007D13A5"/>
    <w:rsid w:val="007D3DBD"/>
    <w:rsid w:val="007D6665"/>
    <w:rsid w:val="007E373C"/>
    <w:rsid w:val="007F3CA3"/>
    <w:rsid w:val="007F46E8"/>
    <w:rsid w:val="007F7397"/>
    <w:rsid w:val="0080393A"/>
    <w:rsid w:val="00817264"/>
    <w:rsid w:val="00822F74"/>
    <w:rsid w:val="00825DB9"/>
    <w:rsid w:val="00830277"/>
    <w:rsid w:val="00830AFA"/>
    <w:rsid w:val="008440F3"/>
    <w:rsid w:val="00856C5D"/>
    <w:rsid w:val="00865F3C"/>
    <w:rsid w:val="008718E8"/>
    <w:rsid w:val="008824DB"/>
    <w:rsid w:val="008859F4"/>
    <w:rsid w:val="00891830"/>
    <w:rsid w:val="00892D08"/>
    <w:rsid w:val="00896E78"/>
    <w:rsid w:val="008A0176"/>
    <w:rsid w:val="008B569C"/>
    <w:rsid w:val="008C4C2E"/>
    <w:rsid w:val="008D3ED0"/>
    <w:rsid w:val="008D580A"/>
    <w:rsid w:val="008D6B85"/>
    <w:rsid w:val="008E10A4"/>
    <w:rsid w:val="008E4ACE"/>
    <w:rsid w:val="008E5A6D"/>
    <w:rsid w:val="008F3077"/>
    <w:rsid w:val="008F32DF"/>
    <w:rsid w:val="008F3A8D"/>
    <w:rsid w:val="008F4D20"/>
    <w:rsid w:val="008F6B14"/>
    <w:rsid w:val="0090008B"/>
    <w:rsid w:val="0090543E"/>
    <w:rsid w:val="00911808"/>
    <w:rsid w:val="00912DBB"/>
    <w:rsid w:val="00915943"/>
    <w:rsid w:val="009173A5"/>
    <w:rsid w:val="009225CE"/>
    <w:rsid w:val="00923EE3"/>
    <w:rsid w:val="00924676"/>
    <w:rsid w:val="00935089"/>
    <w:rsid w:val="0093687E"/>
    <w:rsid w:val="00944003"/>
    <w:rsid w:val="009807EE"/>
    <w:rsid w:val="009839C5"/>
    <w:rsid w:val="00987223"/>
    <w:rsid w:val="00987E60"/>
    <w:rsid w:val="00991397"/>
    <w:rsid w:val="00992EE1"/>
    <w:rsid w:val="00996889"/>
    <w:rsid w:val="009A4494"/>
    <w:rsid w:val="009A683B"/>
    <w:rsid w:val="009B211C"/>
    <w:rsid w:val="009B7F38"/>
    <w:rsid w:val="009C3039"/>
    <w:rsid w:val="009C767F"/>
    <w:rsid w:val="009E41AB"/>
    <w:rsid w:val="009E4B94"/>
    <w:rsid w:val="00A114CD"/>
    <w:rsid w:val="00A11D81"/>
    <w:rsid w:val="00A27A59"/>
    <w:rsid w:val="00A31D32"/>
    <w:rsid w:val="00A36CD7"/>
    <w:rsid w:val="00A518CB"/>
    <w:rsid w:val="00A527BD"/>
    <w:rsid w:val="00A634E0"/>
    <w:rsid w:val="00A674CD"/>
    <w:rsid w:val="00A717FB"/>
    <w:rsid w:val="00A74546"/>
    <w:rsid w:val="00A7514E"/>
    <w:rsid w:val="00A80A87"/>
    <w:rsid w:val="00A91E39"/>
    <w:rsid w:val="00A94934"/>
    <w:rsid w:val="00A94B6A"/>
    <w:rsid w:val="00AB31AD"/>
    <w:rsid w:val="00AB74C0"/>
    <w:rsid w:val="00AC0006"/>
    <w:rsid w:val="00AC5996"/>
    <w:rsid w:val="00AC6CF2"/>
    <w:rsid w:val="00AD2DE1"/>
    <w:rsid w:val="00AD2FF1"/>
    <w:rsid w:val="00AD5A24"/>
    <w:rsid w:val="00AD5E73"/>
    <w:rsid w:val="00AE20BE"/>
    <w:rsid w:val="00AF1696"/>
    <w:rsid w:val="00AF1D02"/>
    <w:rsid w:val="00B00D92"/>
    <w:rsid w:val="00B06627"/>
    <w:rsid w:val="00B1026C"/>
    <w:rsid w:val="00B14C67"/>
    <w:rsid w:val="00B16D69"/>
    <w:rsid w:val="00B16E06"/>
    <w:rsid w:val="00B20402"/>
    <w:rsid w:val="00B25521"/>
    <w:rsid w:val="00B36290"/>
    <w:rsid w:val="00B41A63"/>
    <w:rsid w:val="00B52E04"/>
    <w:rsid w:val="00B54179"/>
    <w:rsid w:val="00B541CC"/>
    <w:rsid w:val="00B608C4"/>
    <w:rsid w:val="00B74640"/>
    <w:rsid w:val="00B75CB8"/>
    <w:rsid w:val="00B87C8A"/>
    <w:rsid w:val="00B92876"/>
    <w:rsid w:val="00B95137"/>
    <w:rsid w:val="00BA1F84"/>
    <w:rsid w:val="00BA2008"/>
    <w:rsid w:val="00BB64F0"/>
    <w:rsid w:val="00BD7641"/>
    <w:rsid w:val="00BE24BB"/>
    <w:rsid w:val="00BE2DDC"/>
    <w:rsid w:val="00BE4077"/>
    <w:rsid w:val="00BE6710"/>
    <w:rsid w:val="00BE679E"/>
    <w:rsid w:val="00BF65FA"/>
    <w:rsid w:val="00C02A81"/>
    <w:rsid w:val="00C050D0"/>
    <w:rsid w:val="00C079CB"/>
    <w:rsid w:val="00C40F21"/>
    <w:rsid w:val="00C54685"/>
    <w:rsid w:val="00C6152B"/>
    <w:rsid w:val="00C647FD"/>
    <w:rsid w:val="00C729F1"/>
    <w:rsid w:val="00C72BD4"/>
    <w:rsid w:val="00C80CB0"/>
    <w:rsid w:val="00CA44FE"/>
    <w:rsid w:val="00CB4382"/>
    <w:rsid w:val="00CD130F"/>
    <w:rsid w:val="00CD1CFA"/>
    <w:rsid w:val="00CE2865"/>
    <w:rsid w:val="00CE6528"/>
    <w:rsid w:val="00CF03FB"/>
    <w:rsid w:val="00CF653C"/>
    <w:rsid w:val="00CF6F1B"/>
    <w:rsid w:val="00CF7985"/>
    <w:rsid w:val="00D002B6"/>
    <w:rsid w:val="00D04D55"/>
    <w:rsid w:val="00D05AE3"/>
    <w:rsid w:val="00D05BCA"/>
    <w:rsid w:val="00D1176E"/>
    <w:rsid w:val="00D27ABD"/>
    <w:rsid w:val="00D31C9F"/>
    <w:rsid w:val="00D3378E"/>
    <w:rsid w:val="00D379E6"/>
    <w:rsid w:val="00D40195"/>
    <w:rsid w:val="00D4118A"/>
    <w:rsid w:val="00D45547"/>
    <w:rsid w:val="00D52889"/>
    <w:rsid w:val="00D5691D"/>
    <w:rsid w:val="00D613BD"/>
    <w:rsid w:val="00D635C1"/>
    <w:rsid w:val="00D6606F"/>
    <w:rsid w:val="00D66507"/>
    <w:rsid w:val="00D83A50"/>
    <w:rsid w:val="00D90B97"/>
    <w:rsid w:val="00D90C50"/>
    <w:rsid w:val="00D911E0"/>
    <w:rsid w:val="00D96141"/>
    <w:rsid w:val="00DA1632"/>
    <w:rsid w:val="00DA7D14"/>
    <w:rsid w:val="00DB0FD2"/>
    <w:rsid w:val="00DC0F56"/>
    <w:rsid w:val="00DC29CC"/>
    <w:rsid w:val="00DC2AED"/>
    <w:rsid w:val="00DC47E9"/>
    <w:rsid w:val="00DD3B59"/>
    <w:rsid w:val="00DE2B28"/>
    <w:rsid w:val="00DE615B"/>
    <w:rsid w:val="00DF561B"/>
    <w:rsid w:val="00DF7AD2"/>
    <w:rsid w:val="00E034EE"/>
    <w:rsid w:val="00E10A6A"/>
    <w:rsid w:val="00E175DD"/>
    <w:rsid w:val="00E215F2"/>
    <w:rsid w:val="00E265DC"/>
    <w:rsid w:val="00E30C7F"/>
    <w:rsid w:val="00E31B52"/>
    <w:rsid w:val="00E320CE"/>
    <w:rsid w:val="00E342D3"/>
    <w:rsid w:val="00E4381C"/>
    <w:rsid w:val="00E450E6"/>
    <w:rsid w:val="00E46737"/>
    <w:rsid w:val="00E5099D"/>
    <w:rsid w:val="00E6473B"/>
    <w:rsid w:val="00E64F8B"/>
    <w:rsid w:val="00E653C6"/>
    <w:rsid w:val="00E7517D"/>
    <w:rsid w:val="00EA6CC5"/>
    <w:rsid w:val="00EB1D36"/>
    <w:rsid w:val="00EB3461"/>
    <w:rsid w:val="00EB769A"/>
    <w:rsid w:val="00EC0D0E"/>
    <w:rsid w:val="00EC3E25"/>
    <w:rsid w:val="00ED2D8B"/>
    <w:rsid w:val="00EE4258"/>
    <w:rsid w:val="00EF6056"/>
    <w:rsid w:val="00EF6758"/>
    <w:rsid w:val="00F0065D"/>
    <w:rsid w:val="00F0653B"/>
    <w:rsid w:val="00F11160"/>
    <w:rsid w:val="00F129A9"/>
    <w:rsid w:val="00F23988"/>
    <w:rsid w:val="00F25B76"/>
    <w:rsid w:val="00F26FA8"/>
    <w:rsid w:val="00F3455E"/>
    <w:rsid w:val="00F421DE"/>
    <w:rsid w:val="00F7550A"/>
    <w:rsid w:val="00F808AD"/>
    <w:rsid w:val="00F82B2B"/>
    <w:rsid w:val="00F864D7"/>
    <w:rsid w:val="00F968CF"/>
    <w:rsid w:val="00FA0AEE"/>
    <w:rsid w:val="00FA26EF"/>
    <w:rsid w:val="00FA4464"/>
    <w:rsid w:val="00FB2F0A"/>
    <w:rsid w:val="00FB64EB"/>
    <w:rsid w:val="00FC7652"/>
    <w:rsid w:val="00FD7D45"/>
    <w:rsid w:val="00FE1047"/>
    <w:rsid w:val="00FE2C9C"/>
    <w:rsid w:val="00FE4C54"/>
    <w:rsid w:val="00FE7264"/>
    <w:rsid w:val="00FE79BC"/>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812F0"/>
  <w15:docId w15:val="{32782AD7-A9DB-43A2-BF0F-8DC00BD01FD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qFormat="1"/>
    <w:lsdException w:name="List Bullet 3" w:semiHidden="1"/>
    <w:lsdException w:name="List Bullet 4" w:semiHidden="1"/>
    <w:lsdException w:name="List Bullet 5" w:semiHidden="1"/>
    <w:lsdException w:name="List Number 2" w:semiHidden="1" w:qFormat="1"/>
    <w:lsdException w:name="List Number 3" w:semiHidden="1"/>
    <w:lsdException w:name="List Number 4" w:semiHidden="1"/>
    <w:lsdException w:name="List Number 5" w:semiHidden="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17D"/>
    <w:pPr>
      <w:tabs>
        <w:tab w:val="left" w:pos="1247"/>
        <w:tab w:val="left" w:pos="2552"/>
        <w:tab w:val="left" w:pos="3856"/>
        <w:tab w:val="left" w:pos="5216"/>
        <w:tab w:val="left" w:pos="6464"/>
        <w:tab w:val="left" w:pos="7768"/>
      </w:tabs>
    </w:pPr>
    <w:rPr>
      <w:lang w:val="en-US"/>
    </w:rPr>
  </w:style>
  <w:style w:type="paragraph" w:styleId="Heading1">
    <w:name w:val="heading 1"/>
    <w:basedOn w:val="Normal"/>
    <w:next w:val="Normal"/>
    <w:link w:val="Heading1Char"/>
    <w:uiPriority w:val="9"/>
    <w:qFormat/>
    <w:rsid w:val="00CA44FE"/>
    <w:pPr>
      <w:keepNext/>
      <w:keepLines/>
      <w:numPr>
        <w:numId w:val="11"/>
      </w:numPr>
      <w:tabs>
        <w:tab w:val="clear" w:pos="1247"/>
        <w:tab w:val="clear" w:pos="2552"/>
        <w:tab w:val="clear" w:pos="3856"/>
        <w:tab w:val="clear" w:pos="5216"/>
        <w:tab w:val="clear" w:pos="6464"/>
        <w:tab w:val="clear" w:pos="7768"/>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9"/>
    <w:qFormat/>
    <w:rsid w:val="00CA44FE"/>
    <w:pPr>
      <w:keepNext/>
      <w:keepLines/>
      <w:numPr>
        <w:ilvl w:val="1"/>
        <w:numId w:val="11"/>
      </w:numPr>
      <w:tabs>
        <w:tab w:val="clear" w:pos="1247"/>
        <w:tab w:val="clear" w:pos="2552"/>
        <w:tab w:val="clear" w:pos="3856"/>
        <w:tab w:val="clear" w:pos="5216"/>
        <w:tab w:val="clear" w:pos="6464"/>
        <w:tab w:val="clear" w:pos="7768"/>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uiPriority w:val="9"/>
    <w:qFormat/>
    <w:rsid w:val="00CA44FE"/>
    <w:pPr>
      <w:keepNext/>
      <w:keepLines/>
      <w:numPr>
        <w:ilvl w:val="2"/>
        <w:numId w:val="11"/>
      </w:numPr>
      <w:tabs>
        <w:tab w:val="clear" w:pos="1247"/>
        <w:tab w:val="clear" w:pos="2552"/>
        <w:tab w:val="clear" w:pos="3856"/>
        <w:tab w:val="clear" w:pos="5216"/>
        <w:tab w:val="clear" w:pos="6464"/>
        <w:tab w:val="clear" w:pos="7768"/>
      </w:tabs>
      <w:spacing w:before="360"/>
      <w:contextualSpacing/>
      <w:outlineLvl w:val="2"/>
    </w:pPr>
    <w:rPr>
      <w:rFonts w:eastAsiaTheme="majorEastAsia" w:cstheme="majorBidi"/>
      <w:b/>
      <w:bCs/>
    </w:rPr>
  </w:style>
  <w:style w:type="paragraph" w:styleId="Heading4">
    <w:name w:val="heading 4"/>
    <w:basedOn w:val="Normal"/>
    <w:next w:val="Normal"/>
    <w:link w:val="Heading4Char"/>
    <w:uiPriority w:val="9"/>
    <w:qFormat/>
    <w:rsid w:val="00CA44FE"/>
    <w:pPr>
      <w:keepNext/>
      <w:keepLines/>
      <w:numPr>
        <w:ilvl w:val="3"/>
        <w:numId w:val="11"/>
      </w:numPr>
      <w:tabs>
        <w:tab w:val="clear" w:pos="1247"/>
        <w:tab w:val="clear" w:pos="2552"/>
        <w:tab w:val="clear" w:pos="3856"/>
        <w:tab w:val="clear" w:pos="5216"/>
        <w:tab w:val="clear" w:pos="6464"/>
        <w:tab w:val="clear" w:pos="7768"/>
      </w:tabs>
      <w:spacing w:before="360"/>
      <w:contextualSpacing/>
      <w:outlineLvl w:val="3"/>
    </w:pPr>
    <w:rPr>
      <w:rFonts w:eastAsiaTheme="majorEastAsia" w:cstheme="majorBidi"/>
      <w:bCs/>
      <w:iCs/>
    </w:rPr>
  </w:style>
  <w:style w:type="paragraph" w:styleId="Heading5">
    <w:name w:val="heading 5"/>
    <w:basedOn w:val="Normal"/>
    <w:next w:val="Normal"/>
    <w:link w:val="Heading5Char"/>
    <w:uiPriority w:val="9"/>
    <w:qFormat/>
    <w:rsid w:val="00CA44FE"/>
    <w:pPr>
      <w:keepNext/>
      <w:keepLines/>
      <w:numPr>
        <w:ilvl w:val="4"/>
        <w:numId w:val="11"/>
      </w:numPr>
      <w:tabs>
        <w:tab w:val="clear" w:pos="1134"/>
        <w:tab w:val="clear" w:pos="1247"/>
        <w:tab w:val="clear" w:pos="2552"/>
        <w:tab w:val="clear" w:pos="3856"/>
        <w:tab w:val="clear" w:pos="5216"/>
        <w:tab w:val="clear" w:pos="6464"/>
        <w:tab w:val="clear" w:pos="7768"/>
      </w:tabs>
      <w:spacing w:before="360"/>
      <w:contextualSpacing/>
      <w:outlineLvl w:val="4"/>
    </w:pPr>
    <w:rPr>
      <w:rFonts w:eastAsiaTheme="majorEastAsia" w:cstheme="majorBidi"/>
    </w:rPr>
  </w:style>
  <w:style w:type="paragraph" w:styleId="Heading6">
    <w:name w:val="heading 6"/>
    <w:basedOn w:val="Normal"/>
    <w:next w:val="Normal"/>
    <w:link w:val="Heading6Char"/>
    <w:uiPriority w:val="9"/>
    <w:semiHidden/>
    <w:qFormat/>
    <w:rsid w:val="00D90B97"/>
    <w:pPr>
      <w:keepNext/>
      <w:keepLines/>
      <w:numPr>
        <w:ilvl w:val="5"/>
        <w:numId w:val="11"/>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9"/>
    <w:semiHidden/>
    <w:qFormat/>
    <w:rsid w:val="00D90B97"/>
    <w:pPr>
      <w:keepNext/>
      <w:keepLines/>
      <w:numPr>
        <w:ilvl w:val="6"/>
        <w:numId w:val="11"/>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9"/>
    <w:semiHidden/>
    <w:qFormat/>
    <w:rsid w:val="00D90B97"/>
    <w:pPr>
      <w:keepNext/>
      <w:keepLines/>
      <w:numPr>
        <w:ilvl w:val="7"/>
        <w:numId w:val="11"/>
      </w:numPr>
      <w:spacing w:before="360"/>
      <w:contextualSpacing/>
      <w:outlineLvl w:val="7"/>
    </w:pPr>
    <w:rPr>
      <w:rFonts w:eastAsiaTheme="majorEastAsia" w:cstheme="majorBidi"/>
      <w:szCs w:val="20"/>
    </w:rPr>
  </w:style>
  <w:style w:type="paragraph" w:styleId="Heading9">
    <w:name w:val="heading 9"/>
    <w:basedOn w:val="Normal"/>
    <w:next w:val="Normal"/>
    <w:link w:val="Heading9Char"/>
    <w:uiPriority w:val="9"/>
    <w:semiHidden/>
    <w:qFormat/>
    <w:rsid w:val="00D90B97"/>
    <w:pPr>
      <w:keepNext/>
      <w:keepLines/>
      <w:numPr>
        <w:ilvl w:val="8"/>
        <w:numId w:val="11"/>
      </w:numPr>
      <w:spacing w:before="360"/>
      <w:contextualSpacing/>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0755F"/>
    <w:pPr>
      <w:tabs>
        <w:tab w:val="left" w:pos="4321"/>
        <w:tab w:val="right" w:pos="8641"/>
      </w:tabs>
      <w:spacing w:after="0"/>
    </w:pPr>
    <w:rPr>
      <w:sz w:val="16"/>
    </w:rPr>
  </w:style>
  <w:style w:type="character" w:customStyle="1" w:styleId="HeaderChar">
    <w:name w:val="Header Char"/>
    <w:basedOn w:val="DefaultParagraphFont"/>
    <w:link w:val="Header"/>
    <w:uiPriority w:val="99"/>
    <w:rsid w:val="009839C5"/>
    <w:rPr>
      <w:sz w:val="16"/>
      <w:lang w:val="en-US"/>
    </w:rPr>
  </w:style>
  <w:style w:type="paragraph" w:styleId="Footer">
    <w:name w:val="footer"/>
    <w:basedOn w:val="Normal"/>
    <w:link w:val="FooterChar"/>
    <w:uiPriority w:val="99"/>
    <w:rsid w:val="0076781E"/>
    <w:pPr>
      <w:tabs>
        <w:tab w:val="left" w:pos="4321"/>
        <w:tab w:val="right" w:pos="8641"/>
      </w:tabs>
      <w:spacing w:after="0"/>
      <w:ind w:left="-1304"/>
    </w:pPr>
    <w:rPr>
      <w:sz w:val="12"/>
    </w:rPr>
  </w:style>
  <w:style w:type="character" w:customStyle="1" w:styleId="FooterChar">
    <w:name w:val="Footer Char"/>
    <w:basedOn w:val="DefaultParagraphFont"/>
    <w:link w:val="Footer"/>
    <w:uiPriority w:val="99"/>
    <w:rsid w:val="00822F74"/>
    <w:rPr>
      <w:sz w:val="12"/>
      <w:lang w:val="en-US"/>
    </w:rPr>
  </w:style>
  <w:style w:type="character" w:customStyle="1" w:styleId="Heading1Char">
    <w:name w:val="Heading 1 Char"/>
    <w:basedOn w:val="DefaultParagraphFont"/>
    <w:link w:val="Heading1"/>
    <w:uiPriority w:val="9"/>
    <w:rsid w:val="00CA44FE"/>
    <w:rPr>
      <w:rFonts w:eastAsiaTheme="majorEastAsia" w:cstheme="majorBidi"/>
      <w:b/>
      <w:bCs/>
      <w:sz w:val="28"/>
      <w:szCs w:val="28"/>
      <w:lang w:val="en-US"/>
    </w:rPr>
  </w:style>
  <w:style w:type="character" w:customStyle="1" w:styleId="Heading2Char">
    <w:name w:val="Heading 2 Char"/>
    <w:basedOn w:val="DefaultParagraphFont"/>
    <w:link w:val="Heading2"/>
    <w:uiPriority w:val="9"/>
    <w:rsid w:val="00CA44FE"/>
    <w:rPr>
      <w:rFonts w:eastAsiaTheme="majorEastAsia" w:cstheme="majorBidi"/>
      <w:b/>
      <w:bCs/>
      <w:sz w:val="24"/>
      <w:szCs w:val="26"/>
      <w:lang w:val="en-US"/>
    </w:rPr>
  </w:style>
  <w:style w:type="character" w:customStyle="1" w:styleId="Heading3Char">
    <w:name w:val="Heading 3 Char"/>
    <w:basedOn w:val="DefaultParagraphFont"/>
    <w:link w:val="Heading3"/>
    <w:uiPriority w:val="9"/>
    <w:rsid w:val="00CA44FE"/>
    <w:rPr>
      <w:rFonts w:eastAsiaTheme="majorEastAsia" w:cstheme="majorBidi"/>
      <w:b/>
      <w:bCs/>
      <w:lang w:val="en-US"/>
    </w:rPr>
  </w:style>
  <w:style w:type="character" w:customStyle="1" w:styleId="Heading4Char">
    <w:name w:val="Heading 4 Char"/>
    <w:basedOn w:val="DefaultParagraphFont"/>
    <w:link w:val="Heading4"/>
    <w:uiPriority w:val="9"/>
    <w:rsid w:val="00CA44FE"/>
    <w:rPr>
      <w:rFonts w:eastAsiaTheme="majorEastAsia" w:cstheme="majorBidi"/>
      <w:bCs/>
      <w:iCs/>
      <w:lang w:val="en-US"/>
    </w:rPr>
  </w:style>
  <w:style w:type="character" w:customStyle="1" w:styleId="Heading5Char">
    <w:name w:val="Heading 5 Char"/>
    <w:basedOn w:val="DefaultParagraphFont"/>
    <w:link w:val="Heading5"/>
    <w:uiPriority w:val="9"/>
    <w:rsid w:val="00CA44FE"/>
    <w:rPr>
      <w:rFonts w:eastAsiaTheme="majorEastAsia" w:cstheme="majorBidi"/>
      <w:lang w:val="en-US"/>
    </w:rPr>
  </w:style>
  <w:style w:type="character" w:customStyle="1" w:styleId="Heading6Char">
    <w:name w:val="Heading 6 Char"/>
    <w:basedOn w:val="DefaultParagraphFont"/>
    <w:link w:val="Heading6"/>
    <w:uiPriority w:val="9"/>
    <w:semiHidden/>
    <w:rsid w:val="00D90B97"/>
    <w:rPr>
      <w:rFonts w:eastAsiaTheme="majorEastAsia" w:cstheme="majorBidi"/>
      <w:iCs/>
      <w:lang w:val="en-US"/>
    </w:rPr>
  </w:style>
  <w:style w:type="character" w:customStyle="1" w:styleId="Heading7Char">
    <w:name w:val="Heading 7 Char"/>
    <w:basedOn w:val="DefaultParagraphFont"/>
    <w:link w:val="Heading7"/>
    <w:uiPriority w:val="9"/>
    <w:semiHidden/>
    <w:rsid w:val="00D90B97"/>
    <w:rPr>
      <w:rFonts w:eastAsiaTheme="majorEastAsia" w:cstheme="majorBidi"/>
      <w:iCs/>
      <w:lang w:val="en-US"/>
    </w:rPr>
  </w:style>
  <w:style w:type="character" w:customStyle="1" w:styleId="Heading8Char">
    <w:name w:val="Heading 8 Char"/>
    <w:basedOn w:val="DefaultParagraphFont"/>
    <w:link w:val="Heading8"/>
    <w:uiPriority w:val="9"/>
    <w:semiHidden/>
    <w:rsid w:val="00D90B97"/>
    <w:rPr>
      <w:rFonts w:eastAsiaTheme="majorEastAsia" w:cstheme="majorBidi"/>
      <w:szCs w:val="20"/>
      <w:lang w:val="en-US"/>
    </w:rPr>
  </w:style>
  <w:style w:type="character" w:customStyle="1" w:styleId="Heading9Char">
    <w:name w:val="Heading 9 Char"/>
    <w:basedOn w:val="DefaultParagraphFont"/>
    <w:link w:val="Heading9"/>
    <w:uiPriority w:val="9"/>
    <w:semiHidden/>
    <w:rsid w:val="00D90B97"/>
    <w:rPr>
      <w:rFonts w:eastAsiaTheme="majorEastAsia" w:cstheme="majorBidi"/>
      <w:iCs/>
      <w:szCs w:val="20"/>
      <w:lang w:val="en-US"/>
    </w:rPr>
  </w:style>
  <w:style w:type="paragraph" w:styleId="Title">
    <w:name w:val="Title"/>
    <w:basedOn w:val="Normal"/>
    <w:next w:val="Normal"/>
    <w:link w:val="TitleChar"/>
    <w:uiPriority w:val="10"/>
    <w:qFormat/>
    <w:rsid w:val="006A2D3C"/>
    <w:pPr>
      <w:spacing w:before="480" w:after="480"/>
      <w:contextualSpacing/>
    </w:pPr>
    <w:rPr>
      <w:rFonts w:eastAsiaTheme="majorEastAsia" w:cstheme="majorBidi"/>
      <w:b/>
      <w:kern w:val="28"/>
      <w:sz w:val="28"/>
      <w:szCs w:val="52"/>
    </w:rPr>
  </w:style>
  <w:style w:type="character" w:customStyle="1" w:styleId="TitleChar">
    <w:name w:val="Title Char"/>
    <w:basedOn w:val="DefaultParagraphFont"/>
    <w:link w:val="Title"/>
    <w:uiPriority w:val="10"/>
    <w:rsid w:val="006A2D3C"/>
    <w:rPr>
      <w:rFonts w:eastAsiaTheme="majorEastAsia" w:cstheme="majorBidi"/>
      <w:b/>
      <w:kern w:val="28"/>
      <w:sz w:val="28"/>
      <w:szCs w:val="52"/>
      <w:lang w:val="en-US"/>
    </w:rPr>
  </w:style>
  <w:style w:type="paragraph" w:styleId="Subtitle">
    <w:name w:val="Subtitle"/>
    <w:basedOn w:val="Normal"/>
    <w:next w:val="Normal"/>
    <w:link w:val="SubtitleChar"/>
    <w:uiPriority w:val="11"/>
    <w:qFormat/>
    <w:rsid w:val="00F968CF"/>
    <w:pPr>
      <w:numPr>
        <w:ilvl w:val="1"/>
      </w:numPr>
      <w:spacing w:before="240"/>
      <w:contextualSpacing/>
    </w:pPr>
    <w:rPr>
      <w:rFonts w:eastAsiaTheme="majorEastAsia" w:cstheme="majorBidi"/>
      <w:b/>
      <w:iCs/>
      <w:sz w:val="24"/>
      <w:szCs w:val="24"/>
    </w:rPr>
  </w:style>
  <w:style w:type="character" w:customStyle="1" w:styleId="SubtitleChar">
    <w:name w:val="Subtitle Char"/>
    <w:basedOn w:val="DefaultParagraphFont"/>
    <w:link w:val="Subtitle"/>
    <w:uiPriority w:val="11"/>
    <w:rsid w:val="00822F74"/>
    <w:rPr>
      <w:rFonts w:eastAsiaTheme="majorEastAsia" w:cstheme="majorBidi"/>
      <w:b/>
      <w:iCs/>
      <w:sz w:val="24"/>
      <w:szCs w:val="24"/>
      <w:lang w:val="en-US"/>
    </w:rPr>
  </w:style>
  <w:style w:type="character" w:styleId="SubtleEmphasis">
    <w:name w:val="Subtle Emphasis"/>
    <w:basedOn w:val="DefaultParagraphFont"/>
    <w:uiPriority w:val="19"/>
    <w:qFormat/>
    <w:rsid w:val="009E4B94"/>
    <w:rPr>
      <w:i/>
      <w:iCs/>
      <w:color w:val="8B8B8B" w:themeColor="text1" w:themeTint="7F"/>
      <w:lang w:val="en-US"/>
    </w:rPr>
  </w:style>
  <w:style w:type="character" w:styleId="IntenseEmphasis">
    <w:name w:val="Intense Emphasis"/>
    <w:basedOn w:val="DefaultParagraphFont"/>
    <w:uiPriority w:val="21"/>
    <w:qFormat/>
    <w:rsid w:val="009E4B94"/>
    <w:rPr>
      <w:b/>
      <w:bCs/>
      <w:i/>
      <w:iCs/>
      <w:color w:val="auto"/>
      <w:lang w:val="en-US"/>
    </w:rPr>
  </w:style>
  <w:style w:type="character" w:styleId="Strong">
    <w:name w:val="Strong"/>
    <w:basedOn w:val="DefaultParagraphFont"/>
    <w:uiPriority w:val="22"/>
    <w:qFormat/>
    <w:rsid w:val="009E4B94"/>
    <w:rPr>
      <w:b/>
      <w:bCs/>
      <w:lang w:val="en-US"/>
    </w:rPr>
  </w:style>
  <w:style w:type="paragraph" w:styleId="IntenseQuote">
    <w:name w:val="Intense Quote"/>
    <w:basedOn w:val="Normal"/>
    <w:next w:val="Normal"/>
    <w:link w:val="IntenseQuoteChar"/>
    <w:uiPriority w:val="30"/>
    <w:qFormat/>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30"/>
    <w:rsid w:val="00822F74"/>
    <w:rPr>
      <w:b/>
      <w:bCs/>
      <w:i/>
      <w:iCs/>
      <w:lang w:val="en-US"/>
    </w:rPr>
  </w:style>
  <w:style w:type="character" w:styleId="SubtleReference">
    <w:name w:val="Subtle Reference"/>
    <w:basedOn w:val="DefaultParagraphFont"/>
    <w:uiPriority w:val="31"/>
    <w:qFormat/>
    <w:rsid w:val="002E74A4"/>
    <w:rPr>
      <w:caps w:val="0"/>
      <w:smallCaps w:val="0"/>
      <w:color w:val="auto"/>
      <w:u w:val="single"/>
      <w:lang w:val="en-US"/>
    </w:rPr>
  </w:style>
  <w:style w:type="character" w:styleId="IntenseReference">
    <w:name w:val="Intense Reference"/>
    <w:basedOn w:val="DefaultParagraphFont"/>
    <w:uiPriority w:val="32"/>
    <w:qFormat/>
    <w:rsid w:val="002E74A4"/>
    <w:rPr>
      <w:b/>
      <w:bCs/>
      <w:caps w:val="0"/>
      <w:smallCaps w:val="0"/>
      <w:color w:val="auto"/>
      <w:spacing w:val="5"/>
      <w:u w:val="single"/>
      <w:lang w:val="en-US"/>
    </w:rPr>
  </w:style>
  <w:style w:type="paragraph" w:styleId="Caption">
    <w:name w:val="caption"/>
    <w:basedOn w:val="Normal"/>
    <w:next w:val="Normal"/>
    <w:uiPriority w:val="35"/>
    <w:qFormat/>
    <w:rsid w:val="009B211C"/>
    <w:pPr>
      <w:tabs>
        <w:tab w:val="clear" w:pos="1247"/>
        <w:tab w:val="clear" w:pos="2552"/>
        <w:tab w:val="clear" w:pos="3856"/>
        <w:tab w:val="clear" w:pos="5216"/>
        <w:tab w:val="clear" w:pos="6464"/>
        <w:tab w:val="clear" w:pos="7768"/>
        <w:tab w:val="left" w:pos="964"/>
      </w:tabs>
      <w:spacing w:before="120" w:after="60"/>
      <w:ind w:left="964" w:hanging="964"/>
    </w:pPr>
    <w:rPr>
      <w:bCs/>
      <w:sz w:val="20"/>
    </w:rPr>
  </w:style>
  <w:style w:type="paragraph" w:styleId="TOC1">
    <w:name w:val="toc 1"/>
    <w:basedOn w:val="Normal"/>
    <w:next w:val="Normal"/>
    <w:uiPriority w:val="39"/>
    <w:rsid w:val="00DC47E9"/>
    <w:pPr>
      <w:tabs>
        <w:tab w:val="clear" w:pos="1247"/>
        <w:tab w:val="clear" w:pos="2552"/>
        <w:tab w:val="clear" w:pos="3856"/>
        <w:tab w:val="clear" w:pos="5216"/>
        <w:tab w:val="clear" w:pos="6464"/>
        <w:tab w:val="clear" w:pos="7768"/>
        <w:tab w:val="left" w:pos="567"/>
        <w:tab w:val="right" w:leader="dot" w:pos="8669"/>
      </w:tabs>
      <w:spacing w:before="120" w:after="0"/>
      <w:ind w:left="567" w:right="567" w:hanging="567"/>
    </w:pPr>
    <w:rPr>
      <w:b/>
    </w:rPr>
  </w:style>
  <w:style w:type="paragraph" w:styleId="TOC2">
    <w:name w:val="toc 2"/>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3">
    <w:name w:val="toc 3"/>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4">
    <w:name w:val="toc 4"/>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5">
    <w:name w:val="toc 5"/>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6">
    <w:name w:val="toc 6"/>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7">
    <w:name w:val="toc 7"/>
    <w:basedOn w:val="Normal"/>
    <w:next w:val="Normal"/>
    <w:uiPriority w:val="39"/>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8">
    <w:name w:val="toc 8"/>
    <w:basedOn w:val="Normal"/>
    <w:next w:val="Normal"/>
    <w:uiPriority w:val="39"/>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9">
    <w:name w:val="toc 9"/>
    <w:basedOn w:val="Normal"/>
    <w:next w:val="Normal"/>
    <w:uiPriority w:val="39"/>
    <w:rsid w:val="00DC47E9"/>
    <w:pPr>
      <w:tabs>
        <w:tab w:val="clear" w:pos="1247"/>
        <w:tab w:val="clear" w:pos="2552"/>
        <w:tab w:val="clear" w:pos="3856"/>
        <w:tab w:val="clear" w:pos="5216"/>
        <w:tab w:val="clear" w:pos="6464"/>
        <w:tab w:val="clear" w:pos="7768"/>
        <w:tab w:val="left" w:pos="2268"/>
        <w:tab w:val="right" w:leader="dot" w:pos="8669"/>
      </w:tabs>
      <w:spacing w:after="0"/>
      <w:ind w:left="2268" w:right="567" w:hanging="1701"/>
    </w:pPr>
  </w:style>
  <w:style w:type="paragraph" w:styleId="TOCHeading">
    <w:name w:val="TOC Heading"/>
    <w:basedOn w:val="Normal"/>
    <w:next w:val="Normal"/>
    <w:uiPriority w:val="39"/>
    <w:qFormat/>
    <w:rsid w:val="001A1964"/>
    <w:pPr>
      <w:tabs>
        <w:tab w:val="clear" w:pos="7768"/>
      </w:tabs>
      <w:spacing w:line="360" w:lineRule="atLeast"/>
    </w:pPr>
    <w:rPr>
      <w:b/>
    </w:rPr>
  </w:style>
  <w:style w:type="paragraph" w:styleId="BlockText">
    <w:name w:val="Block Text"/>
    <w:basedOn w:val="Normal"/>
    <w:uiPriority w:val="99"/>
    <w:semiHidden/>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822F74"/>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822F74"/>
    <w:rPr>
      <w:sz w:val="16"/>
      <w:szCs w:val="20"/>
      <w:lang w:val="en-US"/>
    </w:rPr>
  </w:style>
  <w:style w:type="paragraph" w:styleId="ListBullet">
    <w:name w:val="List Bullet"/>
    <w:basedOn w:val="Normal"/>
    <w:uiPriority w:val="99"/>
    <w:qFormat/>
    <w:rsid w:val="0034744A"/>
    <w:pPr>
      <w:numPr>
        <w:numId w:val="1"/>
      </w:numPr>
      <w:tabs>
        <w:tab w:val="clear" w:pos="1247"/>
        <w:tab w:val="clear" w:pos="2552"/>
        <w:tab w:val="clear" w:pos="3856"/>
        <w:tab w:val="clear" w:pos="5216"/>
        <w:tab w:val="clear" w:pos="6464"/>
        <w:tab w:val="clear" w:pos="7768"/>
      </w:tabs>
      <w:spacing w:after="0"/>
      <w:contextualSpacing/>
    </w:pPr>
  </w:style>
  <w:style w:type="paragraph" w:styleId="ListNumber">
    <w:name w:val="List Number"/>
    <w:basedOn w:val="Normal"/>
    <w:uiPriority w:val="99"/>
    <w:qFormat/>
    <w:rsid w:val="0034744A"/>
    <w:pPr>
      <w:numPr>
        <w:numId w:val="6"/>
      </w:numPr>
      <w:tabs>
        <w:tab w:val="clear" w:pos="1247"/>
        <w:tab w:val="clear" w:pos="2552"/>
        <w:tab w:val="clear" w:pos="3856"/>
        <w:tab w:val="clear" w:pos="5216"/>
        <w:tab w:val="clear" w:pos="6464"/>
        <w:tab w:val="clear" w:pos="7768"/>
      </w:tabs>
      <w:spacing w:after="0"/>
      <w:contextualSpacing/>
    </w:pPr>
  </w:style>
  <w:style w:type="character" w:styleId="PageNumber">
    <w:name w:val="page number"/>
    <w:basedOn w:val="DefaultParagraphFont"/>
    <w:uiPriority w:val="21"/>
    <w:semiHidden/>
    <w:rsid w:val="00424709"/>
    <w:rPr>
      <w:lang w:val="en-US"/>
    </w:rPr>
  </w:style>
  <w:style w:type="paragraph" w:customStyle="1" w:styleId="Template">
    <w:name w:val="Template"/>
    <w:uiPriority w:val="8"/>
    <w:semiHidden/>
    <w:rsid w:val="00893791"/>
    <w:rPr>
      <w:noProof/>
      <w:sz w:val="16"/>
      <w:lang w:val="en-US"/>
    </w:rPr>
  </w:style>
  <w:style w:type="paragraph" w:customStyle="1" w:styleId="Table">
    <w:name w:val="Table"/>
    <w:uiPriority w:val="8"/>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29"/>
    <w:qFormat/>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29"/>
    <w:rsid w:val="00822F74"/>
    <w:rPr>
      <w:b/>
      <w:iCs/>
      <w:color w:val="181818" w:themeColor="text1"/>
      <w:sz w:val="20"/>
      <w:lang w:val="en-US"/>
    </w:rPr>
  </w:style>
  <w:style w:type="character" w:styleId="BookTitle">
    <w:name w:val="Book Title"/>
    <w:basedOn w:val="DefaultParagraphFont"/>
    <w:uiPriority w:val="33"/>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1"/>
    <w:qFormat/>
    <w:rsid w:val="00D90B97"/>
    <w:pPr>
      <w:spacing w:after="0"/>
    </w:pPr>
    <w:rPr>
      <w:lang w:val="en-US"/>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9"/>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customStyle="1" w:styleId="BalloonTextChar">
    <w:name w:val="Balloon Text Char"/>
    <w:basedOn w:val="DefaultParagraphFont"/>
    <w:link w:val="BalloonText"/>
    <w:uiPriority w:val="99"/>
    <w:semiHidden/>
    <w:rsid w:val="00822F74"/>
    <w:rPr>
      <w:rFonts w:ascii="Segoe UI" w:hAnsi="Segoe UI" w:cs="Segoe UI"/>
      <w:lang w:val="en-US"/>
    </w:rPr>
  </w:style>
  <w:style w:type="paragraph" w:styleId="Bibliography">
    <w:name w:val="Bibliography"/>
    <w:basedOn w:val="Normal"/>
    <w:next w:val="Normal"/>
    <w:uiPriority w:val="99"/>
    <w:semiHidden/>
    <w:rsid w:val="00D27ABD"/>
  </w:style>
  <w:style w:type="paragraph" w:styleId="BodyText">
    <w:name w:val="Body Text"/>
    <w:basedOn w:val="Normal"/>
    <w:link w:val="BodyTextChar"/>
    <w:uiPriority w:val="99"/>
    <w:rsid w:val="00DC47E9"/>
  </w:style>
  <w:style w:type="character" w:customStyle="1" w:styleId="BodyTextChar">
    <w:name w:val="Body Text Char"/>
    <w:basedOn w:val="DefaultParagraphFont"/>
    <w:link w:val="BodyText"/>
    <w:uiPriority w:val="99"/>
    <w:rsid w:val="00DC47E9"/>
    <w:rPr>
      <w:lang w:val="en-US"/>
    </w:rPr>
  </w:style>
  <w:style w:type="paragraph" w:styleId="BodyText2">
    <w:name w:val="Body Text 2"/>
    <w:basedOn w:val="Normal"/>
    <w:link w:val="BodyText2Char"/>
    <w:uiPriority w:val="99"/>
    <w:rsid w:val="00D27ABD"/>
    <w:pPr>
      <w:spacing w:after="120" w:line="480" w:lineRule="auto"/>
    </w:pPr>
  </w:style>
  <w:style w:type="character" w:customStyle="1" w:styleId="BodyText2Char">
    <w:name w:val="Body Text 2 Char"/>
    <w:basedOn w:val="DefaultParagraphFont"/>
    <w:link w:val="BodyText2"/>
    <w:uiPriority w:val="99"/>
    <w:rsid w:val="00822F74"/>
    <w:rPr>
      <w:lang w:val="en-US"/>
    </w:rPr>
  </w:style>
  <w:style w:type="paragraph" w:styleId="BodyText3">
    <w:name w:val="Body Text 3"/>
    <w:basedOn w:val="Normal"/>
    <w:link w:val="BodyText3Char"/>
    <w:uiPriority w:val="99"/>
    <w:rsid w:val="00D27ABD"/>
    <w:pPr>
      <w:spacing w:after="120"/>
    </w:pPr>
    <w:rPr>
      <w:sz w:val="16"/>
      <w:szCs w:val="16"/>
    </w:rPr>
  </w:style>
  <w:style w:type="character" w:customStyle="1" w:styleId="BodyText3Char">
    <w:name w:val="Body Text 3 Char"/>
    <w:basedOn w:val="DefaultParagraphFont"/>
    <w:link w:val="BodyText3"/>
    <w:uiPriority w:val="99"/>
    <w:rsid w:val="00822F74"/>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822F74"/>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822F74"/>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822F74"/>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semiHidden/>
    <w:rsid w:val="00D27ABD"/>
    <w:pPr>
      <w:ind w:left="4252"/>
    </w:pPr>
  </w:style>
  <w:style w:type="character" w:customStyle="1" w:styleId="ClosingChar">
    <w:name w:val="Closing Char"/>
    <w:basedOn w:val="DefaultParagraphFont"/>
    <w:link w:val="Closing"/>
    <w:uiPriority w:val="99"/>
    <w:semiHidden/>
    <w:rsid w:val="00822F74"/>
    <w:rPr>
      <w:lang w:val="en-US"/>
    </w:rPr>
  </w:style>
  <w:style w:type="table" w:styleId="ColorfulGrid">
    <w:name w:val="Colorful Grid"/>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FFFFF" w:themeColor="background1"/>
      </w:rPr>
      <w:tblPr/>
      <w:tcPr>
        <w:shd w:val="clear" w:color="auto" w:fill="111111" w:themeFill="text1" w:themeFillShade="BF"/>
      </w:tcPr>
    </w:tblStylePr>
    <w:tblStylePr w:type="lastCol">
      <w:rPr>
        <w:color w:val="FFFFFF"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rfulGrid-Accent1">
    <w:name w:val="Colorful Grid Accent 1"/>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FFFFF" w:themeColor="background1"/>
      </w:rPr>
      <w:tblPr/>
      <w:tcPr>
        <w:shd w:val="clear" w:color="auto" w:fill="0061B3" w:themeFill="accent1" w:themeFillShade="BF"/>
      </w:tcPr>
    </w:tblStylePr>
    <w:tblStylePr w:type="lastCol">
      <w:rPr>
        <w:color w:val="FFFFFF"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rfulGrid-Accent2">
    <w:name w:val="Colorful Grid Accent 2"/>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7FAE3" w:themeFill="accent2" w:themeFillTint="33"/>
    </w:tcPr>
    <w:tblStylePr w:type="firstRow">
      <w:rPr>
        <w:b/>
        <w:bCs/>
      </w:rPr>
      <w:tblPr/>
      <w:tcPr>
        <w:shd w:val="clear" w:color="auto" w:fill="8FF6C8" w:themeFill="accent2" w:themeFillTint="66"/>
      </w:tcPr>
    </w:tblStylePr>
    <w:tblStylePr w:type="lastRow">
      <w:rPr>
        <w:b/>
        <w:bCs/>
        <w:color w:val="181818" w:themeColor="text1"/>
      </w:rPr>
      <w:tblPr/>
      <w:tcPr>
        <w:shd w:val="clear" w:color="auto" w:fill="8FF6C8" w:themeFill="accent2" w:themeFillTint="66"/>
      </w:tcPr>
    </w:tblStylePr>
    <w:tblStylePr w:type="firstCol">
      <w:rPr>
        <w:color w:val="FFFFFF" w:themeColor="background1"/>
      </w:rPr>
      <w:tblPr/>
      <w:tcPr>
        <w:shd w:val="clear" w:color="auto" w:fill="0B9155" w:themeFill="accent2" w:themeFillShade="BF"/>
      </w:tcPr>
    </w:tblStylePr>
    <w:tblStylePr w:type="lastCol">
      <w:rPr>
        <w:color w:val="FFFFFF" w:themeColor="background1"/>
      </w:rPr>
      <w:tblPr/>
      <w:tcPr>
        <w:shd w:val="clear" w:color="auto" w:fill="0B9155" w:themeFill="accent2" w:themeFillShade="BF"/>
      </w:tc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ColorfulGrid-Accent3">
    <w:name w:val="Colorful Grid Accent 3"/>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EEE4F6" w:themeFill="accent3" w:themeFillTint="33"/>
    </w:tcPr>
    <w:tblStylePr w:type="firstRow">
      <w:rPr>
        <w:b/>
        <w:bCs/>
      </w:rPr>
      <w:tblPr/>
      <w:tcPr>
        <w:shd w:val="clear" w:color="auto" w:fill="DEC9ED" w:themeFill="accent3" w:themeFillTint="66"/>
      </w:tcPr>
    </w:tblStylePr>
    <w:tblStylePr w:type="lastRow">
      <w:rPr>
        <w:b/>
        <w:bCs/>
        <w:color w:val="181818" w:themeColor="text1"/>
      </w:rPr>
      <w:tblPr/>
      <w:tcPr>
        <w:shd w:val="clear" w:color="auto" w:fill="DEC9ED" w:themeFill="accent3" w:themeFillTint="66"/>
      </w:tcPr>
    </w:tblStylePr>
    <w:tblStylePr w:type="firstCol">
      <w:rPr>
        <w:color w:val="FFFFFF" w:themeColor="background1"/>
      </w:rPr>
      <w:tblPr/>
      <w:tcPr>
        <w:shd w:val="clear" w:color="auto" w:fill="883DB9" w:themeFill="accent3" w:themeFillShade="BF"/>
      </w:tcPr>
    </w:tblStylePr>
    <w:tblStylePr w:type="lastCol">
      <w:rPr>
        <w:color w:val="FFFFFF" w:themeColor="background1"/>
      </w:rPr>
      <w:tblPr/>
      <w:tcPr>
        <w:shd w:val="clear" w:color="auto" w:fill="883DB9" w:themeFill="accent3" w:themeFillShade="BF"/>
      </w:tc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ColorfulGrid-Accent4">
    <w:name w:val="Colorful Grid Accent 4"/>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FFFFF" w:themeColor="background1"/>
      </w:rPr>
      <w:tblPr/>
      <w:tcPr>
        <w:shd w:val="clear" w:color="auto" w:fill="D7AE05" w:themeFill="accent4" w:themeFillShade="BF"/>
      </w:tcPr>
    </w:tblStylePr>
    <w:tblStylePr w:type="lastCol">
      <w:rPr>
        <w:color w:val="FFFFFF"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rfulGrid-Accent5">
    <w:name w:val="Colorful Grid Accent 5"/>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E7CE" w:themeFill="accent5" w:themeFillTint="33"/>
    </w:tcPr>
    <w:tblStylePr w:type="firstRow">
      <w:rPr>
        <w:b/>
        <w:bCs/>
      </w:rPr>
      <w:tblPr/>
      <w:tcPr>
        <w:shd w:val="clear" w:color="auto" w:fill="FFD09D" w:themeFill="accent5" w:themeFillTint="66"/>
      </w:tcPr>
    </w:tblStylePr>
    <w:tblStylePr w:type="lastRow">
      <w:rPr>
        <w:b/>
        <w:bCs/>
        <w:color w:val="181818" w:themeColor="text1"/>
      </w:rPr>
      <w:tblPr/>
      <w:tcPr>
        <w:shd w:val="clear" w:color="auto" w:fill="FFD09D" w:themeFill="accent5" w:themeFillTint="66"/>
      </w:tcPr>
    </w:tblStylePr>
    <w:tblStylePr w:type="firstCol">
      <w:rPr>
        <w:color w:val="FFFFFF" w:themeColor="background1"/>
      </w:rPr>
      <w:tblPr/>
      <w:tcPr>
        <w:shd w:val="clear" w:color="auto" w:fill="C66900" w:themeFill="accent5" w:themeFillShade="BF"/>
      </w:tcPr>
    </w:tblStylePr>
    <w:tblStylePr w:type="lastCol">
      <w:rPr>
        <w:color w:val="FFFFFF" w:themeColor="background1"/>
      </w:rPr>
      <w:tblPr/>
      <w:tcPr>
        <w:shd w:val="clear" w:color="auto" w:fill="C66900" w:themeFill="accent5" w:themeFillShade="BF"/>
      </w:tc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ColorfulGrid-Accent6">
    <w:name w:val="Colorful Grid Accent 6"/>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D6D6" w:themeFill="accent6" w:themeFillTint="33"/>
    </w:tcPr>
    <w:tblStylePr w:type="firstRow">
      <w:rPr>
        <w:b/>
        <w:bCs/>
      </w:rPr>
      <w:tblPr/>
      <w:tcPr>
        <w:shd w:val="clear" w:color="auto" w:fill="FFADAD" w:themeFill="accent6" w:themeFillTint="66"/>
      </w:tcPr>
    </w:tblStylePr>
    <w:tblStylePr w:type="lastRow">
      <w:rPr>
        <w:b/>
        <w:bCs/>
        <w:color w:val="181818" w:themeColor="text1"/>
      </w:rPr>
      <w:tblPr/>
      <w:tcPr>
        <w:shd w:val="clear" w:color="auto" w:fill="FFADAD" w:themeFill="accent6" w:themeFillTint="66"/>
      </w:tcPr>
    </w:tblStylePr>
    <w:tblStylePr w:type="firstCol">
      <w:rPr>
        <w:color w:val="FFFFFF" w:themeColor="background1"/>
      </w:rPr>
      <w:tblPr/>
      <w:tcPr>
        <w:shd w:val="clear" w:color="auto" w:fill="E40000" w:themeFill="accent6" w:themeFillShade="BF"/>
      </w:tcPr>
    </w:tblStylePr>
    <w:tblStylePr w:type="lastCol">
      <w:rPr>
        <w:color w:val="FFFFFF" w:themeColor="background1"/>
      </w:rPr>
      <w:tblPr/>
      <w:tcPr>
        <w:shd w:val="clear" w:color="auto" w:fill="E40000" w:themeFill="accent6" w:themeFillShade="BF"/>
      </w:tc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ColorfulList">
    <w:name w:val="Colorful List"/>
    <w:basedOn w:val="TableNormal"/>
    <w:uiPriority w:val="72"/>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rfulList-Accent1">
    <w:name w:val="Colorful List Accent 1"/>
    <w:basedOn w:val="TableNormal"/>
    <w:uiPriority w:val="72"/>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rfulList-Accent2">
    <w:name w:val="Colorful List Accent 2"/>
    <w:basedOn w:val="TableNormal"/>
    <w:uiPriority w:val="72"/>
    <w:unhideWhenUsed/>
    <w:rsid w:val="00D27ABD"/>
    <w:rPr>
      <w:color w:val="181818" w:themeColor="text1"/>
    </w:rPr>
    <w:tblPr>
      <w:tblStyleRowBandSize w:val="1"/>
      <w:tblStyleColBandSize w:val="1"/>
    </w:tblPr>
    <w:tcPr>
      <w:shd w:val="clear" w:color="auto" w:fill="E3FDF1" w:themeFill="accent2"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2" w:themeFillTint="3F"/>
      </w:tcPr>
    </w:tblStylePr>
    <w:tblStylePr w:type="band1Horz">
      <w:tblPr/>
      <w:tcPr>
        <w:shd w:val="clear" w:color="auto" w:fill="C7FAE3" w:themeFill="accent2" w:themeFillTint="33"/>
      </w:tcPr>
    </w:tblStylePr>
  </w:style>
  <w:style w:type="table" w:styleId="ColorfulList-Accent3">
    <w:name w:val="Colorful List Accent 3"/>
    <w:basedOn w:val="TableNormal"/>
    <w:uiPriority w:val="72"/>
    <w:unhideWhenUsed/>
    <w:rsid w:val="00D27ABD"/>
    <w:rPr>
      <w:color w:val="181818" w:themeColor="text1"/>
    </w:rPr>
    <w:tblPr>
      <w:tblStyleRowBandSize w:val="1"/>
      <w:tblStyleColBandSize w:val="1"/>
    </w:tblPr>
    <w:tcPr>
      <w:shd w:val="clear" w:color="auto" w:fill="F7F1FA" w:themeFill="accent3" w:themeFillTint="19"/>
    </w:tcPr>
    <w:tblStylePr w:type="firstRow">
      <w:rPr>
        <w:b/>
        <w:bCs/>
        <w:color w:val="FFFFFF" w:themeColor="background1"/>
      </w:rPr>
      <w:tblPr/>
      <w:tcPr>
        <w:tcBorders>
          <w:bottom w:val="single" w:sz="12" w:space="0" w:color="FFFFFF"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3" w:themeFillTint="3F"/>
      </w:tcPr>
    </w:tblStylePr>
    <w:tblStylePr w:type="band1Horz">
      <w:tblPr/>
      <w:tcPr>
        <w:shd w:val="clear" w:color="auto" w:fill="EEE4F6" w:themeFill="accent3" w:themeFillTint="33"/>
      </w:tcPr>
    </w:tblStylePr>
  </w:style>
  <w:style w:type="table" w:styleId="ColorfulList-Accent4">
    <w:name w:val="Colorful List Accent 4"/>
    <w:basedOn w:val="TableNormal"/>
    <w:uiPriority w:val="72"/>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FFFFF" w:themeColor="background1"/>
      </w:rPr>
      <w:tblPr/>
      <w:tcPr>
        <w:tcBorders>
          <w:bottom w:val="single" w:sz="12" w:space="0" w:color="FFFFFF" w:themeColor="background1"/>
        </w:tcBorders>
        <w:shd w:val="clear" w:color="auto" w:fill="9146C1" w:themeFill="accent3" w:themeFillShade="CC"/>
      </w:tcPr>
    </w:tblStylePr>
    <w:tblStylePr w:type="lastRow">
      <w:rPr>
        <w:b/>
        <w:bCs/>
        <w:color w:val="9146C1" w:themeColor="accent3"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rfulList-Accent5">
    <w:name w:val="Colorful List Accent 5"/>
    <w:basedOn w:val="TableNormal"/>
    <w:uiPriority w:val="72"/>
    <w:unhideWhenUsed/>
    <w:rsid w:val="00D27ABD"/>
    <w:rPr>
      <w:color w:val="181818" w:themeColor="text1"/>
    </w:rPr>
    <w:tblPr>
      <w:tblStyleRowBandSize w:val="1"/>
      <w:tblStyleColBandSize w:val="1"/>
    </w:tblPr>
    <w:tcPr>
      <w:shd w:val="clear" w:color="auto" w:fill="FFF3E6" w:themeFill="accent5" w:themeFillTint="19"/>
    </w:tcPr>
    <w:tblStylePr w:type="firstRow">
      <w:rPr>
        <w:b/>
        <w:bCs/>
        <w:color w:val="FFFFFF" w:themeColor="background1"/>
      </w:rPr>
      <w:tblPr/>
      <w:tcPr>
        <w:tcBorders>
          <w:bottom w:val="single" w:sz="12" w:space="0" w:color="FFFFFF" w:themeColor="background1"/>
        </w:tcBorders>
        <w:shd w:val="clear" w:color="auto" w:fill="F40000" w:themeFill="accent6" w:themeFillShade="CC"/>
      </w:tcPr>
    </w:tblStylePr>
    <w:tblStylePr w:type="lastRow">
      <w:rPr>
        <w:b/>
        <w:bCs/>
        <w:color w:val="F40000" w:themeColor="accent6"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5" w:themeFillTint="3F"/>
      </w:tcPr>
    </w:tblStylePr>
    <w:tblStylePr w:type="band1Horz">
      <w:tblPr/>
      <w:tcPr>
        <w:shd w:val="clear" w:color="auto" w:fill="FFE7CE" w:themeFill="accent5" w:themeFillTint="33"/>
      </w:tcPr>
    </w:tblStylePr>
  </w:style>
  <w:style w:type="table" w:styleId="ColorfulList-Accent6">
    <w:name w:val="Colorful List Accent 6"/>
    <w:basedOn w:val="TableNormal"/>
    <w:uiPriority w:val="72"/>
    <w:unhideWhenUsed/>
    <w:rsid w:val="00D27ABD"/>
    <w:rPr>
      <w:color w:val="181818" w:themeColor="text1"/>
    </w:rPr>
    <w:tblPr>
      <w:tblStyleRowBandSize w:val="1"/>
      <w:tblStyleColBandSize w:val="1"/>
    </w:tblPr>
    <w:tcPr>
      <w:shd w:val="clear" w:color="auto" w:fill="FFEAEA" w:themeFill="accent6" w:themeFillTint="19"/>
    </w:tcPr>
    <w:tblStylePr w:type="firstRow">
      <w:rPr>
        <w:b/>
        <w:bCs/>
        <w:color w:val="FFFFFF" w:themeColor="background1"/>
      </w:rPr>
      <w:tblPr/>
      <w:tcPr>
        <w:tcBorders>
          <w:bottom w:val="single" w:sz="12" w:space="0" w:color="FFFFFF" w:themeColor="background1"/>
        </w:tcBorders>
        <w:shd w:val="clear" w:color="auto" w:fill="D47000" w:themeFill="accent5" w:themeFillShade="CC"/>
      </w:tcPr>
    </w:tblStylePr>
    <w:tblStylePr w:type="lastRow">
      <w:rPr>
        <w:b/>
        <w:bCs/>
        <w:color w:val="D47000" w:themeColor="accent5"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6" w:themeFillTint="3F"/>
      </w:tcPr>
    </w:tblStylePr>
    <w:tblStylePr w:type="band1Horz">
      <w:tblPr/>
      <w:tcPr>
        <w:shd w:val="clear" w:color="auto" w:fill="FFD6D6" w:themeFill="accent6" w:themeFillTint="33"/>
      </w:tcPr>
    </w:tblStylePr>
  </w:style>
  <w:style w:type="table" w:styleId="ColorfulShading">
    <w:name w:val="Colorful Shading"/>
    <w:basedOn w:val="TableNormal"/>
    <w:uiPriority w:val="71"/>
    <w:unhideWhenUsed/>
    <w:rsid w:val="00D27ABD"/>
    <w:rPr>
      <w:color w:val="181818" w:themeColor="text1"/>
    </w:rPr>
    <w:tblPr>
      <w:tblStyleRowBandSize w:val="1"/>
      <w:tblStyleColBandSize w:val="1"/>
      <w:tblBorders>
        <w:top w:val="single" w:sz="24" w:space="0" w:color="0FC373" w:themeColor="accent2"/>
        <w:left w:val="single" w:sz="4" w:space="0" w:color="181818" w:themeColor="text1"/>
        <w:bottom w:val="single" w:sz="4" w:space="0" w:color="181818" w:themeColor="text1"/>
        <w:right w:val="single" w:sz="4" w:space="0" w:color="181818"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0E0E" w:themeFill="text1" w:themeFillShade="99"/>
      </w:tcPr>
    </w:tblStylePr>
    <w:tblStylePr w:type="firstCol">
      <w:rPr>
        <w:color w:val="FFFFFF"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rfulShading-Accent1">
    <w:name w:val="Colorful Shading Accent 1"/>
    <w:basedOn w:val="TableNormal"/>
    <w:uiPriority w:val="71"/>
    <w:unhideWhenUsed/>
    <w:rsid w:val="00D27ABD"/>
    <w:rPr>
      <w:color w:val="181818" w:themeColor="text1"/>
    </w:rPr>
    <w:tblPr>
      <w:tblStyleRowBandSize w:val="1"/>
      <w:tblStyleColBandSize w:val="1"/>
      <w:tblBorders>
        <w:top w:val="single" w:sz="24" w:space="0" w:color="0FC373" w:themeColor="accent2"/>
        <w:left w:val="single" w:sz="4" w:space="0" w:color="0082F0" w:themeColor="accent1"/>
        <w:bottom w:val="single" w:sz="4" w:space="0" w:color="0082F0" w:themeColor="accent1"/>
        <w:right w:val="single" w:sz="4" w:space="0" w:color="0082F0" w:themeColor="accent1"/>
        <w:insideH w:val="single" w:sz="4" w:space="0" w:color="FFFFFF" w:themeColor="background1"/>
        <w:insideV w:val="single" w:sz="4" w:space="0" w:color="FFFFFF" w:themeColor="background1"/>
      </w:tblBorders>
    </w:tblPr>
    <w:tcPr>
      <w:shd w:val="clear" w:color="auto" w:fill="E4F2FF" w:themeFill="accen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D90" w:themeFill="accent1" w:themeFillShade="99"/>
      </w:tcPr>
    </w:tblStylePr>
    <w:tblStylePr w:type="firstCol">
      <w:rPr>
        <w:color w:val="FFFFFF" w:themeColor="background1"/>
      </w:rPr>
      <w:tblPr/>
      <w:tcPr>
        <w:tcBorders>
          <w:top w:val="nil"/>
          <w:left w:val="nil"/>
          <w:bottom w:val="nil"/>
          <w:right w:val="nil"/>
          <w:insideH w:val="single" w:sz="4" w:space="0" w:color="004D90" w:themeColor="accent1" w:themeShade="99"/>
          <w:insideV w:val="nil"/>
        </w:tcBorders>
        <w:shd w:val="clear" w:color="auto" w:fill="004D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rfulShading-Accent2">
    <w:name w:val="Colorful Shading Accent 2"/>
    <w:basedOn w:val="TableNormal"/>
    <w:uiPriority w:val="71"/>
    <w:unhideWhenUsed/>
    <w:rsid w:val="00D27ABD"/>
    <w:rPr>
      <w:color w:val="181818" w:themeColor="text1"/>
    </w:rPr>
    <w:tblPr>
      <w:tblStyleRowBandSize w:val="1"/>
      <w:tblStyleColBandSize w:val="1"/>
      <w:tblBorders>
        <w:top w:val="single" w:sz="24" w:space="0" w:color="0FC373" w:themeColor="accent2"/>
        <w:left w:val="single" w:sz="4" w:space="0" w:color="0FC373" w:themeColor="accent2"/>
        <w:bottom w:val="single" w:sz="4" w:space="0" w:color="0FC373" w:themeColor="accent2"/>
        <w:right w:val="single" w:sz="4" w:space="0" w:color="0FC373" w:themeColor="accent2"/>
        <w:insideH w:val="single" w:sz="4" w:space="0" w:color="FFFFFF" w:themeColor="background1"/>
        <w:insideV w:val="single" w:sz="4" w:space="0" w:color="FFFFFF" w:themeColor="background1"/>
      </w:tblBorders>
    </w:tblPr>
    <w:tcPr>
      <w:shd w:val="clear" w:color="auto" w:fill="E3FDF1" w:themeFill="accent2"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444" w:themeFill="accent2" w:themeFillShade="99"/>
      </w:tcPr>
    </w:tblStylePr>
    <w:tblStylePr w:type="firstCol">
      <w:rPr>
        <w:color w:val="FFFFFF" w:themeColor="background1"/>
      </w:rPr>
      <w:tblPr/>
      <w:tcPr>
        <w:tcBorders>
          <w:top w:val="nil"/>
          <w:left w:val="nil"/>
          <w:bottom w:val="nil"/>
          <w:right w:val="nil"/>
          <w:insideH w:val="single" w:sz="4" w:space="0" w:color="097444" w:themeColor="accent2" w:themeShade="99"/>
          <w:insideV w:val="nil"/>
        </w:tcBorders>
        <w:shd w:val="clear" w:color="auto" w:fill="09744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97444" w:themeFill="accent2" w:themeFillShade="99"/>
      </w:tcPr>
    </w:tblStylePr>
    <w:tblStylePr w:type="band1Vert">
      <w:tblPr/>
      <w:tcPr>
        <w:shd w:val="clear" w:color="auto" w:fill="8FF6C8" w:themeFill="accent2" w:themeFillTint="66"/>
      </w:tcPr>
    </w:tblStylePr>
    <w:tblStylePr w:type="band1Horz">
      <w:tblPr/>
      <w:tcPr>
        <w:shd w:val="clear" w:color="auto" w:fill="74F4BA" w:themeFill="accent2" w:themeFillTint="7F"/>
      </w:tcPr>
    </w:tblStylePr>
    <w:tblStylePr w:type="neCell">
      <w:rPr>
        <w:color w:val="181818" w:themeColor="text1"/>
      </w:rPr>
    </w:tblStylePr>
    <w:tblStylePr w:type="nwCell">
      <w:rPr>
        <w:color w:val="181818" w:themeColor="text1"/>
      </w:rPr>
    </w:tblStylePr>
  </w:style>
  <w:style w:type="table" w:styleId="ColorfulShading-Accent3">
    <w:name w:val="Colorful Shading Accent 3"/>
    <w:basedOn w:val="TableNormal"/>
    <w:uiPriority w:val="71"/>
    <w:unhideWhenUsed/>
    <w:rsid w:val="00D27ABD"/>
    <w:rPr>
      <w:color w:val="181818" w:themeColor="text1"/>
    </w:rPr>
    <w:tblPr>
      <w:tblStyleRowBandSize w:val="1"/>
      <w:tblStyleColBandSize w:val="1"/>
      <w:tblBorders>
        <w:top w:val="single" w:sz="24" w:space="0" w:color="FAD22D" w:themeColor="accent4"/>
        <w:left w:val="single" w:sz="4" w:space="0" w:color="AF78D2" w:themeColor="accent3"/>
        <w:bottom w:val="single" w:sz="4" w:space="0" w:color="AF78D2" w:themeColor="accent3"/>
        <w:right w:val="single" w:sz="4" w:space="0" w:color="AF78D2" w:themeColor="accent3"/>
        <w:insideH w:val="single" w:sz="4" w:space="0" w:color="FFFFFF" w:themeColor="background1"/>
        <w:insideV w:val="single" w:sz="4" w:space="0" w:color="FFFFFF" w:themeColor="background1"/>
      </w:tblBorders>
    </w:tblPr>
    <w:tcPr>
      <w:shd w:val="clear" w:color="auto" w:fill="F7F1FA"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3194" w:themeFill="accent3" w:themeFillShade="99"/>
      </w:tcPr>
    </w:tblStylePr>
    <w:tblStylePr w:type="firstCol">
      <w:rPr>
        <w:color w:val="FFFFFF" w:themeColor="background1"/>
      </w:rPr>
      <w:tblPr/>
      <w:tcPr>
        <w:tcBorders>
          <w:top w:val="nil"/>
          <w:left w:val="nil"/>
          <w:bottom w:val="nil"/>
          <w:right w:val="nil"/>
          <w:insideH w:val="single" w:sz="4" w:space="0" w:color="6D3194" w:themeColor="accent3" w:themeShade="99"/>
          <w:insideV w:val="nil"/>
        </w:tcBorders>
        <w:shd w:val="clear" w:color="auto" w:fill="6D319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3194" w:themeFill="accent3" w:themeFillShade="99"/>
      </w:tcPr>
    </w:tblStylePr>
    <w:tblStylePr w:type="band1Vert">
      <w:tblPr/>
      <w:tcPr>
        <w:shd w:val="clear" w:color="auto" w:fill="DEC9ED" w:themeFill="accent3" w:themeFillTint="66"/>
      </w:tcPr>
    </w:tblStylePr>
    <w:tblStylePr w:type="band1Horz">
      <w:tblPr/>
      <w:tcPr>
        <w:shd w:val="clear" w:color="auto" w:fill="D7BBE8" w:themeFill="accent3" w:themeFillTint="7F"/>
      </w:tcPr>
    </w:tblStylePr>
  </w:style>
  <w:style w:type="table" w:styleId="ColorfulShading-Accent4">
    <w:name w:val="Colorful Shading Accent 4"/>
    <w:basedOn w:val="TableNormal"/>
    <w:uiPriority w:val="71"/>
    <w:unhideWhenUsed/>
    <w:rsid w:val="00D27ABD"/>
    <w:rPr>
      <w:color w:val="181818" w:themeColor="text1"/>
    </w:rPr>
    <w:tblPr>
      <w:tblStyleRowBandSize w:val="1"/>
      <w:tblStyleColBandSize w:val="1"/>
      <w:tblBorders>
        <w:top w:val="single" w:sz="24" w:space="0" w:color="AF78D2" w:themeColor="accent3"/>
        <w:left w:val="single" w:sz="4" w:space="0" w:color="FAD22D" w:themeColor="accent4"/>
        <w:bottom w:val="single" w:sz="4" w:space="0" w:color="FAD22D" w:themeColor="accent4"/>
        <w:right w:val="single" w:sz="4" w:space="0" w:color="FAD22D" w:themeColor="accent4"/>
        <w:insideH w:val="single" w:sz="4" w:space="0" w:color="FFFFFF" w:themeColor="background1"/>
        <w:insideV w:val="single" w:sz="4" w:space="0" w:color="FFFFFF" w:themeColor="background1"/>
      </w:tblBorders>
    </w:tblPr>
    <w:tcPr>
      <w:shd w:val="clear" w:color="auto" w:fill="FEFAEA" w:themeFill="accent4" w:themeFillTint="19"/>
    </w:tcPr>
    <w:tblStylePr w:type="firstRow">
      <w:rPr>
        <w:b/>
        <w:bCs/>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8B04" w:themeFill="accent4" w:themeFillShade="99"/>
      </w:tcPr>
    </w:tblStylePr>
    <w:tblStylePr w:type="firstCol">
      <w:rPr>
        <w:color w:val="FFFFFF"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rfulShading-Accent5">
    <w:name w:val="Colorful Shading Accent 5"/>
    <w:basedOn w:val="TableNormal"/>
    <w:uiPriority w:val="71"/>
    <w:unhideWhenUsed/>
    <w:rsid w:val="00D27ABD"/>
    <w:rPr>
      <w:color w:val="181818" w:themeColor="text1"/>
    </w:rPr>
    <w:tblPr>
      <w:tblStyleRowBandSize w:val="1"/>
      <w:tblStyleColBandSize w:val="1"/>
      <w:tblBorders>
        <w:top w:val="single" w:sz="24" w:space="0" w:color="FF3232" w:themeColor="accent6"/>
        <w:left w:val="single" w:sz="4" w:space="0" w:color="FF8C0A" w:themeColor="accent5"/>
        <w:bottom w:val="single" w:sz="4" w:space="0" w:color="FF8C0A" w:themeColor="accent5"/>
        <w:right w:val="single" w:sz="4" w:space="0" w:color="FF8C0A" w:themeColor="accent5"/>
        <w:insideH w:val="single" w:sz="4" w:space="0" w:color="FFFFFF" w:themeColor="background1"/>
        <w:insideV w:val="single" w:sz="4" w:space="0" w:color="FFFFFF" w:themeColor="background1"/>
      </w:tblBorders>
    </w:tblPr>
    <w:tcPr>
      <w:shd w:val="clear" w:color="auto" w:fill="FFF3E6" w:themeFill="accent5" w:themeFillTint="19"/>
    </w:tcPr>
    <w:tblStylePr w:type="firstRow">
      <w:rPr>
        <w:b/>
        <w:bCs/>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400" w:themeFill="accent5" w:themeFillShade="99"/>
      </w:tcPr>
    </w:tblStylePr>
    <w:tblStylePr w:type="firstCol">
      <w:rPr>
        <w:color w:val="FFFFFF" w:themeColor="background1"/>
      </w:rPr>
      <w:tblPr/>
      <w:tcPr>
        <w:tcBorders>
          <w:top w:val="nil"/>
          <w:left w:val="nil"/>
          <w:bottom w:val="nil"/>
          <w:right w:val="nil"/>
          <w:insideH w:val="single" w:sz="4" w:space="0" w:color="9F5400" w:themeColor="accent5" w:themeShade="99"/>
          <w:insideV w:val="nil"/>
        </w:tcBorders>
        <w:shd w:val="clear" w:color="auto" w:fill="9F5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F5400" w:themeFill="accent5" w:themeFillShade="99"/>
      </w:tcPr>
    </w:tblStylePr>
    <w:tblStylePr w:type="band1Vert">
      <w:tblPr/>
      <w:tcPr>
        <w:shd w:val="clear" w:color="auto" w:fill="FFD09D" w:themeFill="accent5" w:themeFillTint="66"/>
      </w:tcPr>
    </w:tblStylePr>
    <w:tblStylePr w:type="band1Horz">
      <w:tblPr/>
      <w:tcPr>
        <w:shd w:val="clear" w:color="auto" w:fill="FFC584" w:themeFill="accent5" w:themeFillTint="7F"/>
      </w:tcPr>
    </w:tblStylePr>
    <w:tblStylePr w:type="neCell">
      <w:rPr>
        <w:color w:val="181818" w:themeColor="text1"/>
      </w:rPr>
    </w:tblStylePr>
    <w:tblStylePr w:type="nwCell">
      <w:rPr>
        <w:color w:val="181818" w:themeColor="text1"/>
      </w:rPr>
    </w:tblStylePr>
  </w:style>
  <w:style w:type="table" w:styleId="ColorfulShading-Accent6">
    <w:name w:val="Colorful Shading Accent 6"/>
    <w:basedOn w:val="TableNormal"/>
    <w:uiPriority w:val="71"/>
    <w:unhideWhenUsed/>
    <w:rsid w:val="00D27ABD"/>
    <w:rPr>
      <w:color w:val="181818" w:themeColor="text1"/>
    </w:rPr>
    <w:tblPr>
      <w:tblStyleRowBandSize w:val="1"/>
      <w:tblStyleColBandSize w:val="1"/>
      <w:tblBorders>
        <w:top w:val="single" w:sz="24" w:space="0" w:color="FF8C0A" w:themeColor="accent5"/>
        <w:left w:val="single" w:sz="4" w:space="0" w:color="FF3232" w:themeColor="accent6"/>
        <w:bottom w:val="single" w:sz="4" w:space="0" w:color="FF3232" w:themeColor="accent6"/>
        <w:right w:val="single" w:sz="4" w:space="0" w:color="FF3232" w:themeColor="accent6"/>
        <w:insideH w:val="single" w:sz="4" w:space="0" w:color="FFFFFF" w:themeColor="background1"/>
        <w:insideV w:val="single" w:sz="4" w:space="0" w:color="FFFFFF" w:themeColor="background1"/>
      </w:tblBorders>
    </w:tblPr>
    <w:tcPr>
      <w:shd w:val="clear" w:color="auto" w:fill="FFEAEA" w:themeFill="accent6" w:themeFillTint="19"/>
    </w:tcPr>
    <w:tblStylePr w:type="firstRow">
      <w:rPr>
        <w:b/>
        <w:bCs/>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70000" w:themeFill="accent6" w:themeFillShade="99"/>
      </w:tcPr>
    </w:tblStylePr>
    <w:tblStylePr w:type="firstCol">
      <w:rPr>
        <w:color w:val="FFFFFF" w:themeColor="background1"/>
      </w:rPr>
      <w:tblPr/>
      <w:tcPr>
        <w:tcBorders>
          <w:top w:val="nil"/>
          <w:left w:val="nil"/>
          <w:bottom w:val="nil"/>
          <w:right w:val="nil"/>
          <w:insideH w:val="single" w:sz="4" w:space="0" w:color="B70000" w:themeColor="accent6" w:themeShade="99"/>
          <w:insideV w:val="nil"/>
        </w:tcBorders>
        <w:shd w:val="clear" w:color="auto" w:fill="B7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70000" w:themeFill="accent6" w:themeFillShade="99"/>
      </w:tcPr>
    </w:tblStylePr>
    <w:tblStylePr w:type="band1Vert">
      <w:tblPr/>
      <w:tcPr>
        <w:shd w:val="clear" w:color="auto" w:fill="FFADAD" w:themeFill="accent6" w:themeFillTint="66"/>
      </w:tcPr>
    </w:tblStylePr>
    <w:tblStylePr w:type="band1Horz">
      <w:tblPr/>
      <w:tcPr>
        <w:shd w:val="clear" w:color="auto" w:fill="FF989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rPr>
      <w:sz w:val="20"/>
      <w:szCs w:val="20"/>
    </w:rPr>
  </w:style>
  <w:style w:type="character" w:customStyle="1" w:styleId="CommentTextChar">
    <w:name w:val="Comment Text Char"/>
    <w:basedOn w:val="DefaultParagraphFont"/>
    <w:link w:val="CommentText"/>
    <w:uiPriority w:val="99"/>
    <w:semiHidden/>
    <w:rsid w:val="00822F74"/>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822F74"/>
    <w:rPr>
      <w:b/>
      <w:bCs/>
      <w:sz w:val="20"/>
      <w:szCs w:val="20"/>
      <w:lang w:val="en-US"/>
    </w:rPr>
  </w:style>
  <w:style w:type="table" w:styleId="DarkList">
    <w:name w:val="Dark List"/>
    <w:basedOn w:val="TableNormal"/>
    <w:uiPriority w:val="70"/>
    <w:unhideWhenUsed/>
    <w:rsid w:val="00D27ABD"/>
    <w:rPr>
      <w:color w:val="FFFFFF"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11111"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unhideWhenUsed/>
    <w:rsid w:val="00D27ABD"/>
    <w:rPr>
      <w:color w:val="FFFFFF"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1B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unhideWhenUsed/>
    <w:rsid w:val="00D27ABD"/>
    <w:rPr>
      <w:color w:val="FFFFFF" w:themeColor="background1"/>
    </w:rPr>
    <w:tblPr>
      <w:tblStyleRowBandSize w:val="1"/>
      <w:tblStyleColBandSize w:val="1"/>
    </w:tblPr>
    <w:tcPr>
      <w:shd w:val="clear" w:color="auto" w:fill="0FC37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7603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B915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B9155" w:themeFill="accent2" w:themeFillShade="BF"/>
      </w:tcPr>
    </w:tblStylePr>
    <w:tblStylePr w:type="band1Vert">
      <w:tblPr/>
      <w:tcPr>
        <w:tcBorders>
          <w:top w:val="nil"/>
          <w:left w:val="nil"/>
          <w:bottom w:val="nil"/>
          <w:right w:val="nil"/>
          <w:insideH w:val="nil"/>
          <w:insideV w:val="nil"/>
        </w:tcBorders>
        <w:shd w:val="clear" w:color="auto" w:fill="0B9155" w:themeFill="accent2" w:themeFillShade="BF"/>
      </w:tcPr>
    </w:tblStylePr>
    <w:tblStylePr w:type="band1Horz">
      <w:tblPr/>
      <w:tcPr>
        <w:tcBorders>
          <w:top w:val="nil"/>
          <w:left w:val="nil"/>
          <w:bottom w:val="nil"/>
          <w:right w:val="nil"/>
          <w:insideH w:val="nil"/>
          <w:insideV w:val="nil"/>
        </w:tcBorders>
        <w:shd w:val="clear" w:color="auto" w:fill="0B9155" w:themeFill="accent2" w:themeFillShade="BF"/>
      </w:tcPr>
    </w:tblStylePr>
  </w:style>
  <w:style w:type="table" w:styleId="DarkList-Accent3">
    <w:name w:val="Dark List Accent 3"/>
    <w:basedOn w:val="TableNormal"/>
    <w:uiPriority w:val="70"/>
    <w:unhideWhenUsed/>
    <w:rsid w:val="00D27ABD"/>
    <w:rPr>
      <w:color w:val="FFFFFF" w:themeColor="background1"/>
    </w:rPr>
    <w:tblPr>
      <w:tblStyleRowBandSize w:val="1"/>
      <w:tblStyleColBandSize w:val="1"/>
    </w:tblPr>
    <w:tcPr>
      <w:shd w:val="clear" w:color="auto" w:fill="AF78D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5B297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83DB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83DB9" w:themeFill="accent3" w:themeFillShade="BF"/>
      </w:tcPr>
    </w:tblStylePr>
    <w:tblStylePr w:type="band1Vert">
      <w:tblPr/>
      <w:tcPr>
        <w:tcBorders>
          <w:top w:val="nil"/>
          <w:left w:val="nil"/>
          <w:bottom w:val="nil"/>
          <w:right w:val="nil"/>
          <w:insideH w:val="nil"/>
          <w:insideV w:val="nil"/>
        </w:tcBorders>
        <w:shd w:val="clear" w:color="auto" w:fill="883DB9" w:themeFill="accent3" w:themeFillShade="BF"/>
      </w:tcPr>
    </w:tblStylePr>
    <w:tblStylePr w:type="band1Horz">
      <w:tblPr/>
      <w:tcPr>
        <w:tcBorders>
          <w:top w:val="nil"/>
          <w:left w:val="nil"/>
          <w:bottom w:val="nil"/>
          <w:right w:val="nil"/>
          <w:insideH w:val="nil"/>
          <w:insideV w:val="nil"/>
        </w:tcBorders>
        <w:shd w:val="clear" w:color="auto" w:fill="883DB9" w:themeFill="accent3" w:themeFillShade="BF"/>
      </w:tcPr>
    </w:tblStylePr>
  </w:style>
  <w:style w:type="table" w:styleId="DarkList-Accent4">
    <w:name w:val="Dark List Accent 4"/>
    <w:basedOn w:val="TableNormal"/>
    <w:uiPriority w:val="70"/>
    <w:unhideWhenUsed/>
    <w:rsid w:val="00D27ABD"/>
    <w:rPr>
      <w:color w:val="FFFFFF"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7AE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unhideWhenUsed/>
    <w:rsid w:val="00D27ABD"/>
    <w:rPr>
      <w:color w:val="FFFFFF" w:themeColor="background1"/>
    </w:rPr>
    <w:tblPr>
      <w:tblStyleRowBandSize w:val="1"/>
      <w:tblStyleColBandSize w:val="1"/>
    </w:tblPr>
    <w:tcPr>
      <w:shd w:val="clear" w:color="auto" w:fill="FF8C0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34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669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66900" w:themeFill="accent5" w:themeFillShade="BF"/>
      </w:tcPr>
    </w:tblStylePr>
    <w:tblStylePr w:type="band1Vert">
      <w:tblPr/>
      <w:tcPr>
        <w:tcBorders>
          <w:top w:val="nil"/>
          <w:left w:val="nil"/>
          <w:bottom w:val="nil"/>
          <w:right w:val="nil"/>
          <w:insideH w:val="nil"/>
          <w:insideV w:val="nil"/>
        </w:tcBorders>
        <w:shd w:val="clear" w:color="auto" w:fill="C66900" w:themeFill="accent5" w:themeFillShade="BF"/>
      </w:tcPr>
    </w:tblStylePr>
    <w:tblStylePr w:type="band1Horz">
      <w:tblPr/>
      <w:tcPr>
        <w:tcBorders>
          <w:top w:val="nil"/>
          <w:left w:val="nil"/>
          <w:bottom w:val="nil"/>
          <w:right w:val="nil"/>
          <w:insideH w:val="nil"/>
          <w:insideV w:val="nil"/>
        </w:tcBorders>
        <w:shd w:val="clear" w:color="auto" w:fill="C66900" w:themeFill="accent5" w:themeFillShade="BF"/>
      </w:tcPr>
    </w:tblStylePr>
  </w:style>
  <w:style w:type="table" w:styleId="DarkList-Accent6">
    <w:name w:val="Dark List Accent 6"/>
    <w:basedOn w:val="TableNormal"/>
    <w:uiPriority w:val="70"/>
    <w:unhideWhenUsed/>
    <w:rsid w:val="00D27ABD"/>
    <w:rPr>
      <w:color w:val="FFFFFF" w:themeColor="background1"/>
    </w:rPr>
    <w:tblPr>
      <w:tblStyleRowBandSize w:val="1"/>
      <w:tblStyleColBandSize w:val="1"/>
    </w:tblPr>
    <w:tcPr>
      <w:shd w:val="clear" w:color="auto" w:fill="FF323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97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0000" w:themeFill="accent6" w:themeFillShade="BF"/>
      </w:tcPr>
    </w:tblStylePr>
    <w:tblStylePr w:type="band1Vert">
      <w:tblPr/>
      <w:tcPr>
        <w:tcBorders>
          <w:top w:val="nil"/>
          <w:left w:val="nil"/>
          <w:bottom w:val="nil"/>
          <w:right w:val="nil"/>
          <w:insideH w:val="nil"/>
          <w:insideV w:val="nil"/>
        </w:tcBorders>
        <w:shd w:val="clear" w:color="auto" w:fill="E40000" w:themeFill="accent6" w:themeFillShade="BF"/>
      </w:tcPr>
    </w:tblStylePr>
    <w:tblStylePr w:type="band1Horz">
      <w:tblPr/>
      <w:tcPr>
        <w:tcBorders>
          <w:top w:val="nil"/>
          <w:left w:val="nil"/>
          <w:bottom w:val="nil"/>
          <w:right w:val="nil"/>
          <w:insideH w:val="nil"/>
          <w:insideV w:val="nil"/>
        </w:tcBorders>
        <w:shd w:val="clear" w:color="auto" w:fill="E40000"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822F74"/>
    <w:rPr>
      <w:lang w:val="en-US"/>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2F74"/>
    <w:rPr>
      <w:rFonts w:ascii="Segoe UI" w:hAnsi="Segoe UI" w:cs="Segoe UI"/>
      <w:sz w:val="16"/>
      <w:szCs w:val="16"/>
      <w:lang w:val="en-US"/>
    </w:rPr>
  </w:style>
  <w:style w:type="paragraph" w:styleId="E-mailSignature">
    <w:name w:val="E-mail Signature"/>
    <w:basedOn w:val="Normal"/>
    <w:link w:val="E-mailSignatureChar"/>
    <w:uiPriority w:val="99"/>
    <w:semiHidden/>
    <w:rsid w:val="00D27ABD"/>
  </w:style>
  <w:style w:type="character" w:customStyle="1" w:styleId="E-mailSignatureChar">
    <w:name w:val="E-mail Signature Char"/>
    <w:basedOn w:val="DefaultParagraphFont"/>
    <w:link w:val="E-mailSignature"/>
    <w:uiPriority w:val="99"/>
    <w:semiHidden/>
    <w:rsid w:val="00822F74"/>
    <w:rPr>
      <w:lang w:val="en-US"/>
    </w:rPr>
  </w:style>
  <w:style w:type="character" w:styleId="Emphasis">
    <w:name w:val="Emphasis"/>
    <w:basedOn w:val="DefaultParagraphFont"/>
    <w:uiPriority w:val="20"/>
    <w:qFormat/>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rPr>
      <w:rFonts w:asciiTheme="majorHAnsi" w:eastAsiaTheme="majorEastAsia" w:hAnsiTheme="majorHAnsi" w:cstheme="majorBidi"/>
      <w:sz w:val="20"/>
      <w:szCs w:val="20"/>
    </w:rPr>
  </w:style>
  <w:style w:type="character" w:styleId="FollowedHyperlink">
    <w:name w:val="FollowedHyperlink"/>
    <w:basedOn w:val="DefaultParagraphFont"/>
    <w:uiPriority w:val="9"/>
    <w:rsid w:val="00D27ABD"/>
    <w:rPr>
      <w:color w:val="040969"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3CDFF" w:themeColor="accent1" w:themeTint="66"/>
        <w:left w:val="single" w:sz="4" w:space="0" w:color="93CDFF" w:themeColor="accent1" w:themeTint="66"/>
        <w:bottom w:val="single" w:sz="4" w:space="0" w:color="93CDFF" w:themeColor="accent1" w:themeTint="66"/>
        <w:right w:val="single" w:sz="4" w:space="0" w:color="93CDFF" w:themeColor="accent1" w:themeTint="66"/>
        <w:insideH w:val="single" w:sz="4" w:space="0" w:color="93CDFF" w:themeColor="accent1" w:themeTint="66"/>
        <w:insideV w:val="single" w:sz="4" w:space="0" w:color="93CDFF" w:themeColor="accent1" w:themeTint="66"/>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2" w:space="0" w:color="5DB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8FF6C8" w:themeColor="accent2" w:themeTint="66"/>
        <w:left w:val="single" w:sz="4" w:space="0" w:color="8FF6C8" w:themeColor="accent2" w:themeTint="66"/>
        <w:bottom w:val="single" w:sz="4" w:space="0" w:color="8FF6C8" w:themeColor="accent2" w:themeTint="66"/>
        <w:right w:val="single" w:sz="4" w:space="0" w:color="8FF6C8" w:themeColor="accent2" w:themeTint="66"/>
        <w:insideH w:val="single" w:sz="4" w:space="0" w:color="8FF6C8" w:themeColor="accent2" w:themeTint="66"/>
        <w:insideV w:val="single" w:sz="4" w:space="0" w:color="8FF6C8" w:themeColor="accent2" w:themeTint="66"/>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2" w:space="0" w:color="57F2A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DEC9ED" w:themeColor="accent3" w:themeTint="66"/>
        <w:left w:val="single" w:sz="4" w:space="0" w:color="DEC9ED" w:themeColor="accent3" w:themeTint="66"/>
        <w:bottom w:val="single" w:sz="4" w:space="0" w:color="DEC9ED" w:themeColor="accent3" w:themeTint="66"/>
        <w:right w:val="single" w:sz="4" w:space="0" w:color="DEC9ED" w:themeColor="accent3" w:themeTint="66"/>
        <w:insideH w:val="single" w:sz="4" w:space="0" w:color="DEC9ED" w:themeColor="accent3" w:themeTint="66"/>
        <w:insideV w:val="single" w:sz="4" w:space="0" w:color="DEC9ED" w:themeColor="accent3" w:themeTint="66"/>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2" w:space="0" w:color="CEAEE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FFD09D" w:themeColor="accent5" w:themeTint="66"/>
        <w:left w:val="single" w:sz="4" w:space="0" w:color="FFD09D" w:themeColor="accent5" w:themeTint="66"/>
        <w:bottom w:val="single" w:sz="4" w:space="0" w:color="FFD09D" w:themeColor="accent5" w:themeTint="66"/>
        <w:right w:val="single" w:sz="4" w:space="0" w:color="FFD09D" w:themeColor="accent5" w:themeTint="66"/>
        <w:insideH w:val="single" w:sz="4" w:space="0" w:color="FFD09D" w:themeColor="accent5" w:themeTint="66"/>
        <w:insideV w:val="single" w:sz="4" w:space="0" w:color="FFD09D" w:themeColor="accent5" w:themeTint="66"/>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2" w:space="0" w:color="FFB96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FFADAD" w:themeColor="accent6" w:themeTint="66"/>
        <w:left w:val="single" w:sz="4" w:space="0" w:color="FFADAD" w:themeColor="accent6" w:themeTint="66"/>
        <w:bottom w:val="single" w:sz="4" w:space="0" w:color="FFADAD" w:themeColor="accent6" w:themeTint="66"/>
        <w:right w:val="single" w:sz="4" w:space="0" w:color="FFADAD" w:themeColor="accent6" w:themeTint="66"/>
        <w:insideH w:val="single" w:sz="4" w:space="0" w:color="FFADAD" w:themeColor="accent6" w:themeTint="66"/>
        <w:insideV w:val="single" w:sz="4" w:space="0" w:color="FFADAD" w:themeColor="accent6" w:themeTint="66"/>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2" w:space="0" w:color="FF84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FFFFF" w:themeFill="background1"/>
      </w:tcPr>
    </w:tblStylePr>
    <w:tblStylePr w:type="lastRow">
      <w:rPr>
        <w:b/>
        <w:bCs/>
      </w:rPr>
      <w:tblPr/>
      <w:tcPr>
        <w:tcBorders>
          <w:top w:val="double" w:sz="2" w:space="0" w:color="74747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5DB4FF" w:themeColor="accent1" w:themeTint="99"/>
        <w:bottom w:val="single" w:sz="2" w:space="0" w:color="5DB4FF" w:themeColor="accent1" w:themeTint="99"/>
        <w:insideH w:val="single" w:sz="2" w:space="0" w:color="5DB4FF" w:themeColor="accent1" w:themeTint="99"/>
        <w:insideV w:val="single" w:sz="2" w:space="0" w:color="5DB4FF" w:themeColor="accent1" w:themeTint="99"/>
      </w:tblBorders>
    </w:tblPr>
    <w:tblStylePr w:type="firstRow">
      <w:rPr>
        <w:b/>
        <w:bCs/>
      </w:rPr>
      <w:tblPr/>
      <w:tcPr>
        <w:tcBorders>
          <w:top w:val="nil"/>
          <w:bottom w:val="single" w:sz="12" w:space="0" w:color="5DB4FF" w:themeColor="accent1" w:themeTint="99"/>
          <w:insideH w:val="nil"/>
          <w:insideV w:val="nil"/>
        </w:tcBorders>
        <w:shd w:val="clear" w:color="auto" w:fill="FFFFFF" w:themeFill="background1"/>
      </w:tcPr>
    </w:tblStylePr>
    <w:tblStylePr w:type="lastRow">
      <w:rPr>
        <w:b/>
        <w:bCs/>
      </w:rPr>
      <w:tblPr/>
      <w:tcPr>
        <w:tcBorders>
          <w:top w:val="double" w:sz="2" w:space="0" w:color="5D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57F2AD" w:themeColor="accent2" w:themeTint="99"/>
        <w:bottom w:val="single" w:sz="2" w:space="0" w:color="57F2AD" w:themeColor="accent2" w:themeTint="99"/>
        <w:insideH w:val="single" w:sz="2" w:space="0" w:color="57F2AD" w:themeColor="accent2" w:themeTint="99"/>
        <w:insideV w:val="single" w:sz="2" w:space="0" w:color="57F2AD" w:themeColor="accent2" w:themeTint="99"/>
      </w:tblBorders>
    </w:tblPr>
    <w:tblStylePr w:type="firstRow">
      <w:rPr>
        <w:b/>
        <w:bCs/>
      </w:rPr>
      <w:tblPr/>
      <w:tcPr>
        <w:tcBorders>
          <w:top w:val="nil"/>
          <w:bottom w:val="single" w:sz="12" w:space="0" w:color="57F2AD" w:themeColor="accent2" w:themeTint="99"/>
          <w:insideH w:val="nil"/>
          <w:insideV w:val="nil"/>
        </w:tcBorders>
        <w:shd w:val="clear" w:color="auto" w:fill="FFFFFF" w:themeFill="background1"/>
      </w:tcPr>
    </w:tblStylePr>
    <w:tblStylePr w:type="lastRow">
      <w:rPr>
        <w:b/>
        <w:bCs/>
      </w:rPr>
      <w:tblPr/>
      <w:tcPr>
        <w:tcBorders>
          <w:top w:val="double" w:sz="2" w:space="0" w:color="57F2A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CEAEE4" w:themeColor="accent3" w:themeTint="99"/>
        <w:bottom w:val="single" w:sz="2" w:space="0" w:color="CEAEE4" w:themeColor="accent3" w:themeTint="99"/>
        <w:insideH w:val="single" w:sz="2" w:space="0" w:color="CEAEE4" w:themeColor="accent3" w:themeTint="99"/>
        <w:insideV w:val="single" w:sz="2" w:space="0" w:color="CEAEE4" w:themeColor="accent3" w:themeTint="99"/>
      </w:tblBorders>
    </w:tblPr>
    <w:tblStylePr w:type="firstRow">
      <w:rPr>
        <w:b/>
        <w:bCs/>
      </w:rPr>
      <w:tblPr/>
      <w:tcPr>
        <w:tcBorders>
          <w:top w:val="nil"/>
          <w:bottom w:val="single" w:sz="12" w:space="0" w:color="CEAEE4" w:themeColor="accent3" w:themeTint="99"/>
          <w:insideH w:val="nil"/>
          <w:insideV w:val="nil"/>
        </w:tcBorders>
        <w:shd w:val="clear" w:color="auto" w:fill="FFFFFF" w:themeFill="background1"/>
      </w:tcPr>
    </w:tblStylePr>
    <w:tblStylePr w:type="lastRow">
      <w:rPr>
        <w:b/>
        <w:bCs/>
      </w:rPr>
      <w:tblPr/>
      <w:tcPr>
        <w:tcBorders>
          <w:top w:val="double" w:sz="2" w:space="0" w:color="CEAEE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FFFFF" w:themeFill="background1"/>
      </w:tcPr>
    </w:tblStylePr>
    <w:tblStylePr w:type="lastRow">
      <w:rPr>
        <w:b/>
        <w:bCs/>
      </w:rPr>
      <w:tblPr/>
      <w:tcPr>
        <w:tcBorders>
          <w:top w:val="double" w:sz="2" w:space="0" w:color="FCE38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FFB96C" w:themeColor="accent5" w:themeTint="99"/>
        <w:bottom w:val="single" w:sz="2" w:space="0" w:color="FFB96C" w:themeColor="accent5" w:themeTint="99"/>
        <w:insideH w:val="single" w:sz="2" w:space="0" w:color="FFB96C" w:themeColor="accent5" w:themeTint="99"/>
        <w:insideV w:val="single" w:sz="2" w:space="0" w:color="FFB96C" w:themeColor="accent5" w:themeTint="99"/>
      </w:tblBorders>
    </w:tblPr>
    <w:tblStylePr w:type="firstRow">
      <w:rPr>
        <w:b/>
        <w:bCs/>
      </w:rPr>
      <w:tblPr/>
      <w:tcPr>
        <w:tcBorders>
          <w:top w:val="nil"/>
          <w:bottom w:val="single" w:sz="12" w:space="0" w:color="FFB96C" w:themeColor="accent5" w:themeTint="99"/>
          <w:insideH w:val="nil"/>
          <w:insideV w:val="nil"/>
        </w:tcBorders>
        <w:shd w:val="clear" w:color="auto" w:fill="FFFFFF" w:themeFill="background1"/>
      </w:tcPr>
    </w:tblStylePr>
    <w:tblStylePr w:type="lastRow">
      <w:rPr>
        <w:b/>
        <w:bCs/>
      </w:rPr>
      <w:tblPr/>
      <w:tcPr>
        <w:tcBorders>
          <w:top w:val="double" w:sz="2" w:space="0" w:color="FFB96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FF8484" w:themeColor="accent6" w:themeTint="99"/>
        <w:bottom w:val="single" w:sz="2" w:space="0" w:color="FF8484" w:themeColor="accent6" w:themeTint="99"/>
        <w:insideH w:val="single" w:sz="2" w:space="0" w:color="FF8484" w:themeColor="accent6" w:themeTint="99"/>
        <w:insideV w:val="single" w:sz="2" w:space="0" w:color="FF8484" w:themeColor="accent6" w:themeTint="99"/>
      </w:tblBorders>
    </w:tblPr>
    <w:tblStylePr w:type="firstRow">
      <w:rPr>
        <w:b/>
        <w:bCs/>
      </w:rPr>
      <w:tblPr/>
      <w:tcPr>
        <w:tcBorders>
          <w:top w:val="nil"/>
          <w:bottom w:val="single" w:sz="12" w:space="0" w:color="FF8484" w:themeColor="accent6" w:themeTint="99"/>
          <w:insideH w:val="nil"/>
          <w:insideV w:val="nil"/>
        </w:tcBorders>
        <w:shd w:val="clear" w:color="auto" w:fill="FFFFFF" w:themeFill="background1"/>
      </w:tcPr>
    </w:tblStylePr>
    <w:tblStylePr w:type="lastRow">
      <w:rPr>
        <w:b/>
        <w:bCs/>
      </w:rPr>
      <w:tblPr/>
      <w:tcPr>
        <w:tcBorders>
          <w:top w:val="double" w:sz="2" w:space="0" w:color="FF84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insideV w:val="nil"/>
        </w:tcBorders>
        <w:shd w:val="clear" w:color="auto" w:fill="0082F0" w:themeFill="accent1"/>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insideV w:val="nil"/>
        </w:tcBorders>
        <w:shd w:val="clear" w:color="auto" w:fill="0FC373" w:themeFill="accent2"/>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insideV w:val="nil"/>
        </w:tcBorders>
        <w:shd w:val="clear" w:color="auto" w:fill="AF78D2" w:themeFill="accent3"/>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insideV w:val="nil"/>
        </w:tcBorders>
        <w:shd w:val="clear" w:color="auto" w:fill="FF8C0A" w:themeFill="accent5"/>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insideV w:val="nil"/>
        </w:tcBorders>
        <w:shd w:val="clear" w:color="auto" w:fill="FF3232" w:themeFill="accent6"/>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1818"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1818"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1818"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E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2F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2F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2F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A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C37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C37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C37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C373" w:themeFill="accent2"/>
      </w:tcPr>
    </w:tblStylePr>
    <w:tblStylePr w:type="band1Vert">
      <w:tblPr/>
      <w:tcPr>
        <w:shd w:val="clear" w:color="auto" w:fill="8FF6C8" w:themeFill="accent2" w:themeFillTint="66"/>
      </w:tcPr>
    </w:tblStylePr>
    <w:tblStylePr w:type="band1Horz">
      <w:tblPr/>
      <w:tcPr>
        <w:shd w:val="clear" w:color="auto" w:fill="8FF6C8"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4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F78D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F78D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F78D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F78D2" w:themeFill="accent3"/>
      </w:tcPr>
    </w:tblStylePr>
    <w:tblStylePr w:type="band1Vert">
      <w:tblPr/>
      <w:tcPr>
        <w:shd w:val="clear" w:color="auto" w:fill="DEC9ED" w:themeFill="accent3" w:themeFillTint="66"/>
      </w:tcPr>
    </w:tblStylePr>
    <w:tblStylePr w:type="band1Horz">
      <w:tblPr/>
      <w:tcPr>
        <w:shd w:val="clear" w:color="auto" w:fill="DEC9E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D22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D22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D22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C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C0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C0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C0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C0A" w:themeFill="accent5"/>
      </w:tcPr>
    </w:tblStylePr>
    <w:tblStylePr w:type="band1Vert">
      <w:tblPr/>
      <w:tcPr>
        <w:shd w:val="clear" w:color="auto" w:fill="FFD09D" w:themeFill="accent5" w:themeFillTint="66"/>
      </w:tcPr>
    </w:tblStylePr>
    <w:tblStylePr w:type="band1Horz">
      <w:tblPr/>
      <w:tcPr>
        <w:shd w:val="clear" w:color="auto" w:fill="FFD09D"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6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323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323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323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3232" w:themeFill="accent6"/>
      </w:tcPr>
    </w:tblStylePr>
    <w:tblStylePr w:type="band1Vert">
      <w:tblPr/>
      <w:tcPr>
        <w:shd w:val="clear" w:color="auto" w:fill="FFADAD" w:themeFill="accent6" w:themeFillTint="66"/>
      </w:tcPr>
    </w:tblStylePr>
    <w:tblStylePr w:type="band1Horz">
      <w:tblPr/>
      <w:tcPr>
        <w:shd w:val="clear" w:color="auto" w:fill="FFADAD" w:themeFill="accent6" w:themeFillTint="66"/>
      </w:tcPr>
    </w:tblStylePr>
  </w:style>
  <w:style w:type="table" w:styleId="GridTable6Colo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rful-Accent1">
    <w:name w:val="Grid Table 6 Colorful Accent 1"/>
    <w:basedOn w:val="TableNormal"/>
    <w:uiPriority w:val="51"/>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rful-Accent2">
    <w:name w:val="Grid Table 6 Colorful Accent 2"/>
    <w:basedOn w:val="TableNormal"/>
    <w:uiPriority w:val="51"/>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6Colorful-Accent3">
    <w:name w:val="Grid Table 6 Colorful Accent 3"/>
    <w:basedOn w:val="TableNormal"/>
    <w:uiPriority w:val="51"/>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6Colo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rful-Accent5">
    <w:name w:val="Grid Table 6 Colorful Accent 5"/>
    <w:basedOn w:val="TableNormal"/>
    <w:uiPriority w:val="51"/>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6Colorful-Accent6">
    <w:name w:val="Grid Table 6 Colorful Accent 6"/>
    <w:basedOn w:val="TableNormal"/>
    <w:uiPriority w:val="51"/>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7Colo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rful-Accent1">
    <w:name w:val="Grid Table 7 Colorful Accent 1"/>
    <w:basedOn w:val="TableNormal"/>
    <w:uiPriority w:val="52"/>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7Colorful-Accent2">
    <w:name w:val="Grid Table 7 Colorful Accent 2"/>
    <w:basedOn w:val="TableNormal"/>
    <w:uiPriority w:val="52"/>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7Colorful-Accent3">
    <w:name w:val="Grid Table 7 Colorful Accent 3"/>
    <w:basedOn w:val="TableNormal"/>
    <w:uiPriority w:val="52"/>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7Colo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rful-Accent5">
    <w:name w:val="Grid Table 7 Colorful Accent 5"/>
    <w:basedOn w:val="TableNormal"/>
    <w:uiPriority w:val="52"/>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7Colorful-Accent6">
    <w:name w:val="Grid Table 7 Colorful Accent 6"/>
    <w:basedOn w:val="TableNormal"/>
    <w:uiPriority w:val="52"/>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rPr>
      <w:i/>
      <w:iCs/>
    </w:rPr>
  </w:style>
  <w:style w:type="character" w:customStyle="1" w:styleId="HTMLAddressChar">
    <w:name w:val="HTML Address Char"/>
    <w:basedOn w:val="DefaultParagraphFont"/>
    <w:link w:val="HTMLAddress"/>
    <w:uiPriority w:val="99"/>
    <w:semiHidden/>
    <w:rsid w:val="00822F74"/>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F74"/>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99"/>
    <w:rsid w:val="00D27ABD"/>
    <w:rPr>
      <w:color w:val="0082F0" w:themeColor="hyperlink"/>
      <w:u w:val="single"/>
      <w:lang w:val="en-US"/>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18" w:space="0" w:color="0082F0" w:themeColor="accent1"/>
          <w:right w:val="single" w:sz="8" w:space="0" w:color="0082F0" w:themeColor="accent1"/>
          <w:insideH w:val="nil"/>
          <w:insideV w:val="single" w:sz="8" w:space="0" w:color="0082F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insideH w:val="nil"/>
          <w:insideV w:val="single" w:sz="8" w:space="0" w:color="0082F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shd w:val="clear" w:color="auto" w:fill="BCE0FF" w:themeFill="accent1" w:themeFillTint="3F"/>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shd w:val="clear" w:color="auto" w:fill="BCE0FF" w:themeFill="accent1" w:themeFillTint="3F"/>
      </w:tcPr>
    </w:tblStylePr>
    <w:tblStylePr w:type="band2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tcPr>
    </w:tblStylePr>
  </w:style>
  <w:style w:type="table" w:styleId="LightGrid-Accent2">
    <w:name w:val="Light Grid Accent 2"/>
    <w:basedOn w:val="TableNormal"/>
    <w:uiPriority w:val="62"/>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18" w:space="0" w:color="0FC373" w:themeColor="accent2"/>
          <w:right w:val="single" w:sz="8" w:space="0" w:color="0FC373" w:themeColor="accent2"/>
          <w:insideH w:val="nil"/>
          <w:insideV w:val="single" w:sz="8" w:space="0" w:color="0FC37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insideH w:val="nil"/>
          <w:insideV w:val="single" w:sz="8" w:space="0" w:color="0FC37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shd w:val="clear" w:color="auto" w:fill="B9F9DD" w:themeFill="accent2" w:themeFillTint="3F"/>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shd w:val="clear" w:color="auto" w:fill="B9F9DD" w:themeFill="accent2" w:themeFillTint="3F"/>
      </w:tcPr>
    </w:tblStylePr>
    <w:tblStylePr w:type="band2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tcPr>
    </w:tblStylePr>
  </w:style>
  <w:style w:type="table" w:styleId="LightGrid-Accent3">
    <w:name w:val="Light Grid Accent 3"/>
    <w:basedOn w:val="TableNormal"/>
    <w:uiPriority w:val="62"/>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18" w:space="0" w:color="AF78D2" w:themeColor="accent3"/>
          <w:right w:val="single" w:sz="8" w:space="0" w:color="AF78D2" w:themeColor="accent3"/>
          <w:insideH w:val="nil"/>
          <w:insideV w:val="single" w:sz="8" w:space="0" w:color="AF78D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insideH w:val="nil"/>
          <w:insideV w:val="single" w:sz="8" w:space="0" w:color="AF78D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shd w:val="clear" w:color="auto" w:fill="EBDDF3" w:themeFill="accent3" w:themeFillTint="3F"/>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shd w:val="clear" w:color="auto" w:fill="EBDDF3" w:themeFill="accent3" w:themeFillTint="3F"/>
      </w:tcPr>
    </w:tblStylePr>
    <w:tblStylePr w:type="band2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tcPr>
    </w:tblStylePr>
  </w:style>
  <w:style w:type="table" w:styleId="LightGrid-Accent4">
    <w:name w:val="Light Grid Accent 4"/>
    <w:basedOn w:val="TableNormal"/>
    <w:uiPriority w:val="62"/>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18" w:space="0" w:color="FF8C0A" w:themeColor="accent5"/>
          <w:right w:val="single" w:sz="8" w:space="0" w:color="FF8C0A" w:themeColor="accent5"/>
          <w:insideH w:val="nil"/>
          <w:insideV w:val="single" w:sz="8" w:space="0" w:color="FF8C0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insideH w:val="nil"/>
          <w:insideV w:val="single" w:sz="8" w:space="0" w:color="FF8C0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shd w:val="clear" w:color="auto" w:fill="FFE2C2" w:themeFill="accent5" w:themeFillTint="3F"/>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shd w:val="clear" w:color="auto" w:fill="FFE2C2" w:themeFill="accent5" w:themeFillTint="3F"/>
      </w:tcPr>
    </w:tblStylePr>
    <w:tblStylePr w:type="band2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tcPr>
    </w:tblStylePr>
  </w:style>
  <w:style w:type="table" w:styleId="LightGrid-Accent6">
    <w:name w:val="Light Grid Accent 6"/>
    <w:basedOn w:val="TableNormal"/>
    <w:uiPriority w:val="62"/>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18" w:space="0" w:color="FF3232" w:themeColor="accent6"/>
          <w:right w:val="single" w:sz="8" w:space="0" w:color="FF3232" w:themeColor="accent6"/>
          <w:insideH w:val="nil"/>
          <w:insideV w:val="single" w:sz="8" w:space="0" w:color="FF323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insideH w:val="nil"/>
          <w:insideV w:val="single" w:sz="8" w:space="0" w:color="FF323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shd w:val="clear" w:color="auto" w:fill="FFCCCC" w:themeFill="accent6" w:themeFillTint="3F"/>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shd w:val="clear" w:color="auto" w:fill="FFCCCC" w:themeFill="accent6" w:themeFillTint="3F"/>
      </w:tcPr>
    </w:tblStylePr>
    <w:tblStylePr w:type="band2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tcPr>
    </w:tblStylePr>
  </w:style>
  <w:style w:type="table" w:styleId="LightList">
    <w:name w:val="Light List"/>
    <w:basedOn w:val="TableNormal"/>
    <w:uiPriority w:val="61"/>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FFFFF"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pPr>
        <w:spacing w:before="0" w:after="0" w:line="240" w:lineRule="auto"/>
      </w:pPr>
      <w:rPr>
        <w:b/>
        <w:bCs/>
        <w:color w:val="FFFFFF" w:themeColor="background1"/>
      </w:rPr>
      <w:tblPr/>
      <w:tcPr>
        <w:shd w:val="clear" w:color="auto" w:fill="0082F0" w:themeFill="accent1"/>
      </w:tcPr>
    </w:tblStylePr>
    <w:tblStylePr w:type="lastRow">
      <w:pPr>
        <w:spacing w:before="0" w:after="0" w:line="240" w:lineRule="auto"/>
      </w:pPr>
      <w:rPr>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tcBorders>
      </w:tcPr>
    </w:tblStylePr>
    <w:tblStylePr w:type="firstCol">
      <w:rPr>
        <w:b/>
        <w:bCs/>
      </w:rPr>
    </w:tblStylePr>
    <w:tblStylePr w:type="lastCol">
      <w:rPr>
        <w:b/>
        <w:bCs/>
      </w:r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style>
  <w:style w:type="table" w:styleId="LightList-Accent2">
    <w:name w:val="Light List Accent 2"/>
    <w:basedOn w:val="TableNormal"/>
    <w:uiPriority w:val="61"/>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pPr>
        <w:spacing w:before="0" w:after="0" w:line="240" w:lineRule="auto"/>
      </w:pPr>
      <w:rPr>
        <w:b/>
        <w:bCs/>
        <w:color w:val="FFFFFF" w:themeColor="background1"/>
      </w:rPr>
      <w:tblPr/>
      <w:tcPr>
        <w:shd w:val="clear" w:color="auto" w:fill="0FC373" w:themeFill="accent2"/>
      </w:tcPr>
    </w:tblStylePr>
    <w:tblStylePr w:type="lastRow">
      <w:pPr>
        <w:spacing w:before="0" w:after="0" w:line="240" w:lineRule="auto"/>
      </w:pPr>
      <w:rPr>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tcBorders>
      </w:tcPr>
    </w:tblStylePr>
    <w:tblStylePr w:type="firstCol">
      <w:rPr>
        <w:b/>
        <w:bCs/>
      </w:rPr>
    </w:tblStylePr>
    <w:tblStylePr w:type="lastCol">
      <w:rPr>
        <w:b/>
        <w:bCs/>
      </w:r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style>
  <w:style w:type="table" w:styleId="LightList-Accent3">
    <w:name w:val="Light List Accent 3"/>
    <w:basedOn w:val="TableNormal"/>
    <w:uiPriority w:val="61"/>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pPr>
        <w:spacing w:before="0" w:after="0" w:line="240" w:lineRule="auto"/>
      </w:pPr>
      <w:rPr>
        <w:b/>
        <w:bCs/>
        <w:color w:val="FFFFFF" w:themeColor="background1"/>
      </w:rPr>
      <w:tblPr/>
      <w:tcPr>
        <w:shd w:val="clear" w:color="auto" w:fill="AF78D2" w:themeFill="accent3"/>
      </w:tcPr>
    </w:tblStylePr>
    <w:tblStylePr w:type="lastRow">
      <w:pPr>
        <w:spacing w:before="0" w:after="0" w:line="240" w:lineRule="auto"/>
      </w:pPr>
      <w:rPr>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tcBorders>
      </w:tcPr>
    </w:tblStylePr>
    <w:tblStylePr w:type="firstCol">
      <w:rPr>
        <w:b/>
        <w:bCs/>
      </w:rPr>
    </w:tblStylePr>
    <w:tblStylePr w:type="lastCol">
      <w:rPr>
        <w:b/>
        <w:bCs/>
      </w:r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style>
  <w:style w:type="table" w:styleId="LightList-Accent4">
    <w:name w:val="Light List Accent 4"/>
    <w:basedOn w:val="TableNormal"/>
    <w:uiPriority w:val="61"/>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FFFFF"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pPr>
        <w:spacing w:before="0" w:after="0" w:line="240" w:lineRule="auto"/>
      </w:pPr>
      <w:rPr>
        <w:b/>
        <w:bCs/>
        <w:color w:val="FFFFFF" w:themeColor="background1"/>
      </w:rPr>
      <w:tblPr/>
      <w:tcPr>
        <w:shd w:val="clear" w:color="auto" w:fill="FF8C0A" w:themeFill="accent5"/>
      </w:tcPr>
    </w:tblStylePr>
    <w:tblStylePr w:type="lastRow">
      <w:pPr>
        <w:spacing w:before="0" w:after="0" w:line="240" w:lineRule="auto"/>
      </w:pPr>
      <w:rPr>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tcBorders>
      </w:tcPr>
    </w:tblStylePr>
    <w:tblStylePr w:type="firstCol">
      <w:rPr>
        <w:b/>
        <w:bCs/>
      </w:rPr>
    </w:tblStylePr>
    <w:tblStylePr w:type="lastCol">
      <w:rPr>
        <w:b/>
        <w:bCs/>
      </w:r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style>
  <w:style w:type="table" w:styleId="LightList-Accent6">
    <w:name w:val="Light List Accent 6"/>
    <w:basedOn w:val="TableNormal"/>
    <w:uiPriority w:val="61"/>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pPr>
        <w:spacing w:before="0" w:after="0" w:line="240" w:lineRule="auto"/>
      </w:pPr>
      <w:rPr>
        <w:b/>
        <w:bCs/>
        <w:color w:val="FFFFFF" w:themeColor="background1"/>
      </w:rPr>
      <w:tblPr/>
      <w:tcPr>
        <w:shd w:val="clear" w:color="auto" w:fill="FF3232" w:themeFill="accent6"/>
      </w:tcPr>
    </w:tblStylePr>
    <w:tblStylePr w:type="lastRow">
      <w:pPr>
        <w:spacing w:before="0" w:after="0" w:line="240" w:lineRule="auto"/>
      </w:pPr>
      <w:rPr>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tcBorders>
      </w:tcPr>
    </w:tblStylePr>
    <w:tblStylePr w:type="firstCol">
      <w:rPr>
        <w:b/>
        <w:bCs/>
      </w:rPr>
    </w:tblStylePr>
    <w:tblStylePr w:type="lastCol">
      <w:rPr>
        <w:b/>
        <w:bCs/>
      </w:r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style>
  <w:style w:type="table" w:styleId="LightShading">
    <w:name w:val="Light Shading"/>
    <w:basedOn w:val="TableNormal"/>
    <w:uiPriority w:val="60"/>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unhideWhenUsed/>
    <w:rsid w:val="00D27ABD"/>
    <w:rPr>
      <w:color w:val="0061B3" w:themeColor="accent1" w:themeShade="BF"/>
    </w:rPr>
    <w:tblPr>
      <w:tblStyleRowBandSize w:val="1"/>
      <w:tblStyleColBandSize w:val="1"/>
      <w:tblBorders>
        <w:top w:val="single" w:sz="8" w:space="0" w:color="0082F0" w:themeColor="accent1"/>
        <w:bottom w:val="single" w:sz="8" w:space="0" w:color="0082F0" w:themeColor="accent1"/>
      </w:tblBorders>
    </w:tblPr>
    <w:tblStylePr w:type="fir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la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unhideWhenUsed/>
    <w:rsid w:val="00D27ABD"/>
    <w:rPr>
      <w:color w:val="0B9155" w:themeColor="accent2" w:themeShade="BF"/>
    </w:rPr>
    <w:tblPr>
      <w:tblStyleRowBandSize w:val="1"/>
      <w:tblStyleColBandSize w:val="1"/>
      <w:tblBorders>
        <w:top w:val="single" w:sz="8" w:space="0" w:color="0FC373" w:themeColor="accent2"/>
        <w:bottom w:val="single" w:sz="8" w:space="0" w:color="0FC373" w:themeColor="accent2"/>
      </w:tblBorders>
    </w:tblPr>
    <w:tblStylePr w:type="fir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la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left w:val="nil"/>
          <w:right w:val="nil"/>
          <w:insideH w:val="nil"/>
          <w:insideV w:val="nil"/>
        </w:tcBorders>
        <w:shd w:val="clear" w:color="auto" w:fill="B9F9DD" w:themeFill="accent2" w:themeFillTint="3F"/>
      </w:tcPr>
    </w:tblStylePr>
  </w:style>
  <w:style w:type="table" w:styleId="LightShading-Accent3">
    <w:name w:val="Light Shading Accent 3"/>
    <w:basedOn w:val="TableNormal"/>
    <w:uiPriority w:val="60"/>
    <w:unhideWhenUsed/>
    <w:rsid w:val="00D27ABD"/>
    <w:rPr>
      <w:color w:val="883DB9" w:themeColor="accent3" w:themeShade="BF"/>
    </w:rPr>
    <w:tblPr>
      <w:tblStyleRowBandSize w:val="1"/>
      <w:tblStyleColBandSize w:val="1"/>
      <w:tblBorders>
        <w:top w:val="single" w:sz="8" w:space="0" w:color="AF78D2" w:themeColor="accent3"/>
        <w:bottom w:val="single" w:sz="8" w:space="0" w:color="AF78D2" w:themeColor="accent3"/>
      </w:tblBorders>
    </w:tblPr>
    <w:tblStylePr w:type="fir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la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left w:val="nil"/>
          <w:right w:val="nil"/>
          <w:insideH w:val="nil"/>
          <w:insideV w:val="nil"/>
        </w:tcBorders>
        <w:shd w:val="clear" w:color="auto" w:fill="EBDDF3" w:themeFill="accent3" w:themeFillTint="3F"/>
      </w:tcPr>
    </w:tblStylePr>
  </w:style>
  <w:style w:type="table" w:styleId="LightShading-Accent4">
    <w:name w:val="Light Shading Accent 4"/>
    <w:basedOn w:val="TableNormal"/>
    <w:uiPriority w:val="60"/>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unhideWhenUsed/>
    <w:rsid w:val="00D27ABD"/>
    <w:rPr>
      <w:color w:val="C66900" w:themeColor="accent5" w:themeShade="BF"/>
    </w:rPr>
    <w:tblPr>
      <w:tblStyleRowBandSize w:val="1"/>
      <w:tblStyleColBandSize w:val="1"/>
      <w:tblBorders>
        <w:top w:val="single" w:sz="8" w:space="0" w:color="FF8C0A" w:themeColor="accent5"/>
        <w:bottom w:val="single" w:sz="8" w:space="0" w:color="FF8C0A" w:themeColor="accent5"/>
      </w:tblBorders>
    </w:tblPr>
    <w:tblStylePr w:type="fir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la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left w:val="nil"/>
          <w:right w:val="nil"/>
          <w:insideH w:val="nil"/>
          <w:insideV w:val="nil"/>
        </w:tcBorders>
        <w:shd w:val="clear" w:color="auto" w:fill="FFE2C2" w:themeFill="accent5" w:themeFillTint="3F"/>
      </w:tcPr>
    </w:tblStylePr>
  </w:style>
  <w:style w:type="table" w:styleId="LightShading-Accent6">
    <w:name w:val="Light Shading Accent 6"/>
    <w:basedOn w:val="TableNormal"/>
    <w:uiPriority w:val="60"/>
    <w:unhideWhenUsed/>
    <w:rsid w:val="00D27ABD"/>
    <w:rPr>
      <w:color w:val="E40000" w:themeColor="accent6" w:themeShade="BF"/>
    </w:rPr>
    <w:tblPr>
      <w:tblStyleRowBandSize w:val="1"/>
      <w:tblStyleColBandSize w:val="1"/>
      <w:tblBorders>
        <w:top w:val="single" w:sz="8" w:space="0" w:color="FF3232" w:themeColor="accent6"/>
        <w:bottom w:val="single" w:sz="8" w:space="0" w:color="FF3232" w:themeColor="accent6"/>
      </w:tblBorders>
    </w:tblPr>
    <w:tblStylePr w:type="fir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la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left w:val="nil"/>
          <w:right w:val="nil"/>
          <w:insideH w:val="nil"/>
          <w:insideV w:val="nil"/>
        </w:tcBorders>
        <w:shd w:val="clear" w:color="auto" w:fill="FFCCCC"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99"/>
    <w:rsid w:val="000E0F11"/>
    <w:pPr>
      <w:numPr>
        <w:numId w:val="17"/>
      </w:numPr>
      <w:tabs>
        <w:tab w:val="clear" w:pos="1247"/>
        <w:tab w:val="clear" w:pos="2552"/>
        <w:tab w:val="clear" w:pos="3856"/>
        <w:tab w:val="clear" w:pos="5216"/>
        <w:tab w:val="clear" w:pos="6464"/>
        <w:tab w:val="clear" w:pos="7768"/>
      </w:tabs>
    </w:pPr>
  </w:style>
  <w:style w:type="paragraph" w:styleId="List2">
    <w:name w:val="List 2"/>
    <w:basedOn w:val="Normal"/>
    <w:uiPriority w:val="99"/>
    <w:rsid w:val="000E0F11"/>
    <w:pPr>
      <w:numPr>
        <w:numId w:val="14"/>
      </w:numPr>
      <w:tabs>
        <w:tab w:val="clear" w:pos="1247"/>
        <w:tab w:val="clear" w:pos="2552"/>
        <w:tab w:val="clear" w:pos="3856"/>
        <w:tab w:val="clear" w:pos="5216"/>
        <w:tab w:val="clear" w:pos="6464"/>
        <w:tab w:val="clear" w:pos="7768"/>
      </w:tabs>
    </w:pPr>
  </w:style>
  <w:style w:type="paragraph" w:styleId="List3">
    <w:name w:val="List 3"/>
    <w:basedOn w:val="Normal"/>
    <w:uiPriority w:val="99"/>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99"/>
    <w:qFormat/>
    <w:rsid w:val="0034744A"/>
    <w:pPr>
      <w:numPr>
        <w:numId w:val="2"/>
      </w:numPr>
      <w:tabs>
        <w:tab w:val="clear" w:pos="1247"/>
        <w:tab w:val="clear" w:pos="2552"/>
        <w:tab w:val="clear" w:pos="3856"/>
        <w:tab w:val="clear" w:pos="5216"/>
        <w:tab w:val="clear" w:pos="6464"/>
        <w:tab w:val="clear" w:pos="7768"/>
      </w:tabs>
      <w:spacing w:after="0"/>
      <w:ind w:left="641"/>
      <w:contextualSpacing/>
    </w:pPr>
  </w:style>
  <w:style w:type="paragraph" w:styleId="ListBullet3">
    <w:name w:val="List Bullet 3"/>
    <w:basedOn w:val="Normal"/>
    <w:uiPriority w:val="99"/>
    <w:rsid w:val="0034744A"/>
    <w:pPr>
      <w:numPr>
        <w:numId w:val="3"/>
      </w:numPr>
      <w:spacing w:after="0"/>
      <w:ind w:left="924" w:hanging="357"/>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rsid w:val="00D27ABD"/>
    <w:pPr>
      <w:spacing w:after="120"/>
      <w:ind w:left="283"/>
      <w:contextualSpacing/>
    </w:pPr>
  </w:style>
  <w:style w:type="paragraph" w:styleId="ListContinue2">
    <w:name w:val="List Continue 2"/>
    <w:basedOn w:val="Normal"/>
    <w:uiPriority w:val="99"/>
    <w:rsid w:val="00D27ABD"/>
    <w:pPr>
      <w:spacing w:after="120"/>
      <w:ind w:left="566"/>
      <w:contextualSpacing/>
    </w:pPr>
  </w:style>
  <w:style w:type="paragraph" w:styleId="ListContinue3">
    <w:name w:val="List Continue 3"/>
    <w:basedOn w:val="Normal"/>
    <w:uiPriority w:val="99"/>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99"/>
    <w:qFormat/>
    <w:rsid w:val="0034744A"/>
    <w:pPr>
      <w:numPr>
        <w:numId w:val="7"/>
      </w:numPr>
      <w:tabs>
        <w:tab w:val="clear" w:pos="1247"/>
        <w:tab w:val="clear" w:pos="2552"/>
        <w:tab w:val="clear" w:pos="3856"/>
        <w:tab w:val="clear" w:pos="5216"/>
        <w:tab w:val="clear" w:pos="6464"/>
        <w:tab w:val="clear" w:pos="7768"/>
      </w:tabs>
      <w:spacing w:after="0"/>
      <w:ind w:left="641" w:hanging="357"/>
      <w:contextualSpacing/>
    </w:pPr>
  </w:style>
  <w:style w:type="paragraph" w:styleId="ListNumber3">
    <w:name w:val="List Number 3"/>
    <w:basedOn w:val="Normal"/>
    <w:uiPriority w:val="99"/>
    <w:rsid w:val="0034744A"/>
    <w:pPr>
      <w:numPr>
        <w:numId w:val="8"/>
      </w:numPr>
      <w:spacing w:after="0"/>
      <w:ind w:left="924" w:hanging="357"/>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34"/>
    <w:qFormat/>
    <w:rsid w:val="00A80A87"/>
    <w:pPr>
      <w:numPr>
        <w:numId w:val="28"/>
      </w:numPr>
      <w:tabs>
        <w:tab w:val="clear" w:pos="1247"/>
        <w:tab w:val="clear" w:pos="2552"/>
        <w:tab w:val="clear" w:pos="3856"/>
        <w:tab w:val="clear" w:pos="5216"/>
        <w:tab w:val="clear" w:pos="6464"/>
        <w:tab w:val="clear" w:pos="7768"/>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5DB4FF" w:themeColor="accent1" w:themeTint="99"/>
        </w:tcBorders>
      </w:tcPr>
    </w:tblStylePr>
    <w:tblStylePr w:type="lastRow">
      <w:rPr>
        <w:b/>
        <w:bCs/>
      </w:rPr>
      <w:tblPr/>
      <w:tcPr>
        <w:tcBorders>
          <w:top w:val="sing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57F2AD" w:themeColor="accent2" w:themeTint="99"/>
        </w:tcBorders>
      </w:tcPr>
    </w:tblStylePr>
    <w:tblStylePr w:type="lastRow">
      <w:rPr>
        <w:b/>
        <w:bCs/>
      </w:rPr>
      <w:tblPr/>
      <w:tcPr>
        <w:tcBorders>
          <w:top w:val="sing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CEAEE4" w:themeColor="accent3" w:themeTint="99"/>
        </w:tcBorders>
      </w:tcPr>
    </w:tblStylePr>
    <w:tblStylePr w:type="lastRow">
      <w:rPr>
        <w:b/>
        <w:bCs/>
      </w:rPr>
      <w:tblPr/>
      <w:tcPr>
        <w:tcBorders>
          <w:top w:val="sing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FFB96C" w:themeColor="accent5" w:themeTint="99"/>
        </w:tcBorders>
      </w:tcPr>
    </w:tblStylePr>
    <w:tblStylePr w:type="lastRow">
      <w:rPr>
        <w:b/>
        <w:bCs/>
      </w:rPr>
      <w:tblPr/>
      <w:tcPr>
        <w:tcBorders>
          <w:top w:val="sing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FF8484" w:themeColor="accent6" w:themeTint="99"/>
        </w:tcBorders>
      </w:tcPr>
    </w:tblStylePr>
    <w:tblStylePr w:type="lastRow">
      <w:rPr>
        <w:b/>
        <w:bCs/>
      </w:rPr>
      <w:tblPr/>
      <w:tcPr>
        <w:tcBorders>
          <w:top w:val="sing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5DB4FF" w:themeColor="accent1" w:themeTint="99"/>
        <w:bottom w:val="single" w:sz="4" w:space="0" w:color="5DB4FF" w:themeColor="accent1" w:themeTint="99"/>
        <w:insideH w:val="single" w:sz="4" w:space="0" w:color="5DB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57F2AD" w:themeColor="accent2" w:themeTint="99"/>
        <w:bottom w:val="single" w:sz="4" w:space="0" w:color="57F2AD" w:themeColor="accent2" w:themeTint="99"/>
        <w:insideH w:val="single" w:sz="4" w:space="0" w:color="57F2A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CEAEE4" w:themeColor="accent3" w:themeTint="99"/>
        <w:bottom w:val="single" w:sz="4" w:space="0" w:color="CEAEE4" w:themeColor="accent3" w:themeTint="99"/>
        <w:insideH w:val="single" w:sz="4" w:space="0" w:color="CEAEE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FFB96C" w:themeColor="accent5" w:themeTint="99"/>
        <w:bottom w:val="single" w:sz="4" w:space="0" w:color="FFB96C" w:themeColor="accent5" w:themeTint="99"/>
        <w:insideH w:val="single" w:sz="4" w:space="0" w:color="FFB96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FF8484" w:themeColor="accent6" w:themeTint="99"/>
        <w:bottom w:val="single" w:sz="4" w:space="0" w:color="FF8484" w:themeColor="accent6" w:themeTint="99"/>
        <w:insideH w:val="single" w:sz="4" w:space="0" w:color="FF84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FFFFF"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0082F0" w:themeColor="accent1"/>
        <w:left w:val="single" w:sz="4" w:space="0" w:color="0082F0" w:themeColor="accent1"/>
        <w:bottom w:val="single" w:sz="4" w:space="0" w:color="0082F0" w:themeColor="accent1"/>
        <w:right w:val="single" w:sz="4" w:space="0" w:color="0082F0" w:themeColor="accent1"/>
      </w:tblBorders>
    </w:tblPr>
    <w:tblStylePr w:type="firstRow">
      <w:rPr>
        <w:b/>
        <w:bCs/>
        <w:color w:val="FFFFFF" w:themeColor="background1"/>
      </w:rPr>
      <w:tblPr/>
      <w:tcPr>
        <w:shd w:val="clear" w:color="auto" w:fill="0082F0" w:themeFill="accent1"/>
      </w:tcPr>
    </w:tblStylePr>
    <w:tblStylePr w:type="lastRow">
      <w:rPr>
        <w:b/>
        <w:bCs/>
      </w:rPr>
      <w:tblPr/>
      <w:tcPr>
        <w:tcBorders>
          <w:top w:val="double" w:sz="4" w:space="0" w:color="0082F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2F0" w:themeColor="accent1"/>
          <w:right w:val="single" w:sz="4" w:space="0" w:color="0082F0" w:themeColor="accent1"/>
        </w:tcBorders>
      </w:tcPr>
    </w:tblStylePr>
    <w:tblStylePr w:type="band1Horz">
      <w:tblPr/>
      <w:tcPr>
        <w:tcBorders>
          <w:top w:val="single" w:sz="4" w:space="0" w:color="0082F0" w:themeColor="accent1"/>
          <w:bottom w:val="single" w:sz="4" w:space="0" w:color="0082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2F0" w:themeColor="accent1"/>
          <w:left w:val="nil"/>
        </w:tcBorders>
      </w:tcPr>
    </w:tblStylePr>
    <w:tblStylePr w:type="swCell">
      <w:tblPr/>
      <w:tcPr>
        <w:tcBorders>
          <w:top w:val="double" w:sz="4" w:space="0" w:color="0082F0"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0FC373" w:themeColor="accent2"/>
        <w:left w:val="single" w:sz="4" w:space="0" w:color="0FC373" w:themeColor="accent2"/>
        <w:bottom w:val="single" w:sz="4" w:space="0" w:color="0FC373" w:themeColor="accent2"/>
        <w:right w:val="single" w:sz="4" w:space="0" w:color="0FC373" w:themeColor="accent2"/>
      </w:tblBorders>
    </w:tblPr>
    <w:tblStylePr w:type="firstRow">
      <w:rPr>
        <w:b/>
        <w:bCs/>
        <w:color w:val="FFFFFF" w:themeColor="background1"/>
      </w:rPr>
      <w:tblPr/>
      <w:tcPr>
        <w:shd w:val="clear" w:color="auto" w:fill="0FC373" w:themeFill="accent2"/>
      </w:tcPr>
    </w:tblStylePr>
    <w:tblStylePr w:type="lastRow">
      <w:rPr>
        <w:b/>
        <w:bCs/>
      </w:rPr>
      <w:tblPr/>
      <w:tcPr>
        <w:tcBorders>
          <w:top w:val="double" w:sz="4" w:space="0" w:color="0FC37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C373" w:themeColor="accent2"/>
          <w:right w:val="single" w:sz="4" w:space="0" w:color="0FC373" w:themeColor="accent2"/>
        </w:tcBorders>
      </w:tcPr>
    </w:tblStylePr>
    <w:tblStylePr w:type="band1Horz">
      <w:tblPr/>
      <w:tcPr>
        <w:tcBorders>
          <w:top w:val="single" w:sz="4" w:space="0" w:color="0FC373" w:themeColor="accent2"/>
          <w:bottom w:val="single" w:sz="4" w:space="0" w:color="0FC37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C373" w:themeColor="accent2"/>
          <w:left w:val="nil"/>
        </w:tcBorders>
      </w:tcPr>
    </w:tblStylePr>
    <w:tblStylePr w:type="swCell">
      <w:tblPr/>
      <w:tcPr>
        <w:tcBorders>
          <w:top w:val="double" w:sz="4" w:space="0" w:color="0FC373"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AF78D2" w:themeColor="accent3"/>
        <w:left w:val="single" w:sz="4" w:space="0" w:color="AF78D2" w:themeColor="accent3"/>
        <w:bottom w:val="single" w:sz="4" w:space="0" w:color="AF78D2" w:themeColor="accent3"/>
        <w:right w:val="single" w:sz="4" w:space="0" w:color="AF78D2" w:themeColor="accent3"/>
      </w:tblBorders>
    </w:tblPr>
    <w:tblStylePr w:type="firstRow">
      <w:rPr>
        <w:b/>
        <w:bCs/>
        <w:color w:val="FFFFFF" w:themeColor="background1"/>
      </w:rPr>
      <w:tblPr/>
      <w:tcPr>
        <w:shd w:val="clear" w:color="auto" w:fill="AF78D2" w:themeFill="accent3"/>
      </w:tcPr>
    </w:tblStylePr>
    <w:tblStylePr w:type="lastRow">
      <w:rPr>
        <w:b/>
        <w:bCs/>
      </w:rPr>
      <w:tblPr/>
      <w:tcPr>
        <w:tcBorders>
          <w:top w:val="double" w:sz="4" w:space="0" w:color="AF78D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F78D2" w:themeColor="accent3"/>
          <w:right w:val="single" w:sz="4" w:space="0" w:color="AF78D2" w:themeColor="accent3"/>
        </w:tcBorders>
      </w:tcPr>
    </w:tblStylePr>
    <w:tblStylePr w:type="band1Horz">
      <w:tblPr/>
      <w:tcPr>
        <w:tcBorders>
          <w:top w:val="single" w:sz="4" w:space="0" w:color="AF78D2" w:themeColor="accent3"/>
          <w:bottom w:val="single" w:sz="4" w:space="0" w:color="AF78D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78D2" w:themeColor="accent3"/>
          <w:left w:val="nil"/>
        </w:tcBorders>
      </w:tcPr>
    </w:tblStylePr>
    <w:tblStylePr w:type="swCell">
      <w:tblPr/>
      <w:tcPr>
        <w:tcBorders>
          <w:top w:val="double" w:sz="4" w:space="0" w:color="AF78D2"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FFFFF"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FF8C0A" w:themeColor="accent5"/>
        <w:left w:val="single" w:sz="4" w:space="0" w:color="FF8C0A" w:themeColor="accent5"/>
        <w:bottom w:val="single" w:sz="4" w:space="0" w:color="FF8C0A" w:themeColor="accent5"/>
        <w:right w:val="single" w:sz="4" w:space="0" w:color="FF8C0A" w:themeColor="accent5"/>
      </w:tblBorders>
    </w:tblPr>
    <w:tblStylePr w:type="firstRow">
      <w:rPr>
        <w:b/>
        <w:bCs/>
        <w:color w:val="FFFFFF" w:themeColor="background1"/>
      </w:rPr>
      <w:tblPr/>
      <w:tcPr>
        <w:shd w:val="clear" w:color="auto" w:fill="FF8C0A" w:themeFill="accent5"/>
      </w:tcPr>
    </w:tblStylePr>
    <w:tblStylePr w:type="lastRow">
      <w:rPr>
        <w:b/>
        <w:bCs/>
      </w:rPr>
      <w:tblPr/>
      <w:tcPr>
        <w:tcBorders>
          <w:top w:val="double" w:sz="4" w:space="0" w:color="FF8C0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C0A" w:themeColor="accent5"/>
          <w:right w:val="single" w:sz="4" w:space="0" w:color="FF8C0A" w:themeColor="accent5"/>
        </w:tcBorders>
      </w:tcPr>
    </w:tblStylePr>
    <w:tblStylePr w:type="band1Horz">
      <w:tblPr/>
      <w:tcPr>
        <w:tcBorders>
          <w:top w:val="single" w:sz="4" w:space="0" w:color="FF8C0A" w:themeColor="accent5"/>
          <w:bottom w:val="single" w:sz="4" w:space="0" w:color="FF8C0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C0A" w:themeColor="accent5"/>
          <w:left w:val="nil"/>
        </w:tcBorders>
      </w:tcPr>
    </w:tblStylePr>
    <w:tblStylePr w:type="swCell">
      <w:tblPr/>
      <w:tcPr>
        <w:tcBorders>
          <w:top w:val="double" w:sz="4" w:space="0" w:color="FF8C0A"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FF3232" w:themeColor="accent6"/>
        <w:left w:val="single" w:sz="4" w:space="0" w:color="FF3232" w:themeColor="accent6"/>
        <w:bottom w:val="single" w:sz="4" w:space="0" w:color="FF3232" w:themeColor="accent6"/>
        <w:right w:val="single" w:sz="4" w:space="0" w:color="FF3232" w:themeColor="accent6"/>
      </w:tblBorders>
    </w:tblPr>
    <w:tblStylePr w:type="firstRow">
      <w:rPr>
        <w:b/>
        <w:bCs/>
        <w:color w:val="FFFFFF" w:themeColor="background1"/>
      </w:rPr>
      <w:tblPr/>
      <w:tcPr>
        <w:shd w:val="clear" w:color="auto" w:fill="FF3232" w:themeFill="accent6"/>
      </w:tcPr>
    </w:tblStylePr>
    <w:tblStylePr w:type="lastRow">
      <w:rPr>
        <w:b/>
        <w:bCs/>
      </w:rPr>
      <w:tblPr/>
      <w:tcPr>
        <w:tcBorders>
          <w:top w:val="double" w:sz="4" w:space="0" w:color="FF323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3232" w:themeColor="accent6"/>
          <w:right w:val="single" w:sz="4" w:space="0" w:color="FF3232" w:themeColor="accent6"/>
        </w:tcBorders>
      </w:tcPr>
    </w:tblStylePr>
    <w:tblStylePr w:type="band1Horz">
      <w:tblPr/>
      <w:tcPr>
        <w:tcBorders>
          <w:top w:val="single" w:sz="4" w:space="0" w:color="FF3232" w:themeColor="accent6"/>
          <w:bottom w:val="single" w:sz="4" w:space="0" w:color="FF323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232" w:themeColor="accent6"/>
          <w:left w:val="nil"/>
        </w:tcBorders>
      </w:tcPr>
    </w:tblStylePr>
    <w:tblStylePr w:type="swCell">
      <w:tblPr/>
      <w:tcPr>
        <w:tcBorders>
          <w:top w:val="double" w:sz="4" w:space="0" w:color="FF3232"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tcBorders>
        <w:shd w:val="clear" w:color="auto" w:fill="0082F0" w:themeFill="accent1"/>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tcBorders>
        <w:shd w:val="clear" w:color="auto" w:fill="0FC373" w:themeFill="accent2"/>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tcBorders>
        <w:shd w:val="clear" w:color="auto" w:fill="AF78D2" w:themeFill="accent3"/>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tcBorders>
        <w:shd w:val="clear" w:color="auto" w:fill="FF8C0A" w:themeFill="accent5"/>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tcBorders>
        <w:shd w:val="clear" w:color="auto" w:fill="FF3232" w:themeFill="accent6"/>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5Dark">
    <w:name w:val="List Table 5 Dark"/>
    <w:basedOn w:val="TableNormal"/>
    <w:uiPriority w:val="50"/>
    <w:rsid w:val="00D27ABD"/>
    <w:rPr>
      <w:color w:val="FFFFFF"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FFFFF" w:themeColor="background1"/>
    </w:rPr>
    <w:tblPr>
      <w:tblStyleRowBandSize w:val="1"/>
      <w:tblStyleColBandSize w:val="1"/>
      <w:tblBorders>
        <w:top w:val="single" w:sz="24" w:space="0" w:color="0082F0" w:themeColor="accent1"/>
        <w:left w:val="single" w:sz="24" w:space="0" w:color="0082F0" w:themeColor="accent1"/>
        <w:bottom w:val="single" w:sz="24" w:space="0" w:color="0082F0" w:themeColor="accent1"/>
        <w:right w:val="single" w:sz="24" w:space="0" w:color="0082F0" w:themeColor="accent1"/>
      </w:tblBorders>
    </w:tblPr>
    <w:tcPr>
      <w:shd w:val="clear" w:color="auto" w:fill="0082F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FFFFF" w:themeColor="background1"/>
    </w:rPr>
    <w:tblPr>
      <w:tblStyleRowBandSize w:val="1"/>
      <w:tblStyleColBandSize w:val="1"/>
      <w:tblBorders>
        <w:top w:val="single" w:sz="24" w:space="0" w:color="0FC373" w:themeColor="accent2"/>
        <w:left w:val="single" w:sz="24" w:space="0" w:color="0FC373" w:themeColor="accent2"/>
        <w:bottom w:val="single" w:sz="24" w:space="0" w:color="0FC373" w:themeColor="accent2"/>
        <w:right w:val="single" w:sz="24" w:space="0" w:color="0FC373" w:themeColor="accent2"/>
      </w:tblBorders>
    </w:tblPr>
    <w:tcPr>
      <w:shd w:val="clear" w:color="auto" w:fill="0FC37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FFFFF" w:themeColor="background1"/>
    </w:rPr>
    <w:tblPr>
      <w:tblStyleRowBandSize w:val="1"/>
      <w:tblStyleColBandSize w:val="1"/>
      <w:tblBorders>
        <w:top w:val="single" w:sz="24" w:space="0" w:color="AF78D2" w:themeColor="accent3"/>
        <w:left w:val="single" w:sz="24" w:space="0" w:color="AF78D2" w:themeColor="accent3"/>
        <w:bottom w:val="single" w:sz="24" w:space="0" w:color="AF78D2" w:themeColor="accent3"/>
        <w:right w:val="single" w:sz="24" w:space="0" w:color="AF78D2" w:themeColor="accent3"/>
      </w:tblBorders>
    </w:tblPr>
    <w:tcPr>
      <w:shd w:val="clear" w:color="auto" w:fill="AF78D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FFFFF"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FFFFF" w:themeColor="background1"/>
    </w:rPr>
    <w:tblPr>
      <w:tblStyleRowBandSize w:val="1"/>
      <w:tblStyleColBandSize w:val="1"/>
      <w:tblBorders>
        <w:top w:val="single" w:sz="24" w:space="0" w:color="FF8C0A" w:themeColor="accent5"/>
        <w:left w:val="single" w:sz="24" w:space="0" w:color="FF8C0A" w:themeColor="accent5"/>
        <w:bottom w:val="single" w:sz="24" w:space="0" w:color="FF8C0A" w:themeColor="accent5"/>
        <w:right w:val="single" w:sz="24" w:space="0" w:color="FF8C0A" w:themeColor="accent5"/>
      </w:tblBorders>
    </w:tblPr>
    <w:tcPr>
      <w:shd w:val="clear" w:color="auto" w:fill="FF8C0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FFFFF" w:themeColor="background1"/>
    </w:rPr>
    <w:tblPr>
      <w:tblStyleRowBandSize w:val="1"/>
      <w:tblStyleColBandSize w:val="1"/>
      <w:tblBorders>
        <w:top w:val="single" w:sz="24" w:space="0" w:color="FF3232" w:themeColor="accent6"/>
        <w:left w:val="single" w:sz="24" w:space="0" w:color="FF3232" w:themeColor="accent6"/>
        <w:bottom w:val="single" w:sz="24" w:space="0" w:color="FF3232" w:themeColor="accent6"/>
        <w:right w:val="single" w:sz="24" w:space="0" w:color="FF3232" w:themeColor="accent6"/>
      </w:tblBorders>
    </w:tblPr>
    <w:tcPr>
      <w:shd w:val="clear" w:color="auto" w:fill="FF323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rful-Accent1">
    <w:name w:val="List Table 6 Colorful Accent 1"/>
    <w:basedOn w:val="TableNormal"/>
    <w:uiPriority w:val="51"/>
    <w:rsid w:val="00D27ABD"/>
    <w:rPr>
      <w:color w:val="0061B3" w:themeColor="accent1" w:themeShade="BF"/>
    </w:rPr>
    <w:tblPr>
      <w:tblStyleRowBandSize w:val="1"/>
      <w:tblStyleColBandSize w:val="1"/>
      <w:tblBorders>
        <w:top w:val="single" w:sz="4" w:space="0" w:color="0082F0" w:themeColor="accent1"/>
        <w:bottom w:val="single" w:sz="4" w:space="0" w:color="0082F0" w:themeColor="accent1"/>
      </w:tblBorders>
    </w:tblPr>
    <w:tblStylePr w:type="firstRow">
      <w:rPr>
        <w:b/>
        <w:bCs/>
      </w:rPr>
      <w:tblPr/>
      <w:tcPr>
        <w:tcBorders>
          <w:bottom w:val="single" w:sz="4" w:space="0" w:color="0082F0" w:themeColor="accent1"/>
        </w:tcBorders>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rful-Accent2">
    <w:name w:val="List Table 6 Colorful Accent 2"/>
    <w:basedOn w:val="TableNormal"/>
    <w:uiPriority w:val="51"/>
    <w:rsid w:val="00D27ABD"/>
    <w:rPr>
      <w:color w:val="0B9155" w:themeColor="accent2" w:themeShade="BF"/>
    </w:rPr>
    <w:tblPr>
      <w:tblStyleRowBandSize w:val="1"/>
      <w:tblStyleColBandSize w:val="1"/>
      <w:tblBorders>
        <w:top w:val="single" w:sz="4" w:space="0" w:color="0FC373" w:themeColor="accent2"/>
        <w:bottom w:val="single" w:sz="4" w:space="0" w:color="0FC373" w:themeColor="accent2"/>
      </w:tblBorders>
    </w:tblPr>
    <w:tblStylePr w:type="firstRow">
      <w:rPr>
        <w:b/>
        <w:bCs/>
      </w:rPr>
      <w:tblPr/>
      <w:tcPr>
        <w:tcBorders>
          <w:bottom w:val="single" w:sz="4" w:space="0" w:color="0FC373" w:themeColor="accent2"/>
        </w:tcBorders>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6Colorful-Accent3">
    <w:name w:val="List Table 6 Colorful Accent 3"/>
    <w:basedOn w:val="TableNormal"/>
    <w:uiPriority w:val="51"/>
    <w:rsid w:val="00D27ABD"/>
    <w:rPr>
      <w:color w:val="883DB9" w:themeColor="accent3" w:themeShade="BF"/>
    </w:rPr>
    <w:tblPr>
      <w:tblStyleRowBandSize w:val="1"/>
      <w:tblStyleColBandSize w:val="1"/>
      <w:tblBorders>
        <w:top w:val="single" w:sz="4" w:space="0" w:color="AF78D2" w:themeColor="accent3"/>
        <w:bottom w:val="single" w:sz="4" w:space="0" w:color="AF78D2" w:themeColor="accent3"/>
      </w:tblBorders>
    </w:tblPr>
    <w:tblStylePr w:type="firstRow">
      <w:rPr>
        <w:b/>
        <w:bCs/>
      </w:rPr>
      <w:tblPr/>
      <w:tcPr>
        <w:tcBorders>
          <w:bottom w:val="single" w:sz="4" w:space="0" w:color="AF78D2" w:themeColor="accent3"/>
        </w:tcBorders>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6Colo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rful-Accent5">
    <w:name w:val="List Table 6 Colorful Accent 5"/>
    <w:basedOn w:val="TableNormal"/>
    <w:uiPriority w:val="51"/>
    <w:rsid w:val="00D27ABD"/>
    <w:rPr>
      <w:color w:val="C66900" w:themeColor="accent5" w:themeShade="BF"/>
    </w:rPr>
    <w:tblPr>
      <w:tblStyleRowBandSize w:val="1"/>
      <w:tblStyleColBandSize w:val="1"/>
      <w:tblBorders>
        <w:top w:val="single" w:sz="4" w:space="0" w:color="FF8C0A" w:themeColor="accent5"/>
        <w:bottom w:val="single" w:sz="4" w:space="0" w:color="FF8C0A" w:themeColor="accent5"/>
      </w:tblBorders>
    </w:tblPr>
    <w:tblStylePr w:type="firstRow">
      <w:rPr>
        <w:b/>
        <w:bCs/>
      </w:rPr>
      <w:tblPr/>
      <w:tcPr>
        <w:tcBorders>
          <w:bottom w:val="single" w:sz="4" w:space="0" w:color="FF8C0A" w:themeColor="accent5"/>
        </w:tcBorders>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6Colorful-Accent6">
    <w:name w:val="List Table 6 Colorful Accent 6"/>
    <w:basedOn w:val="TableNormal"/>
    <w:uiPriority w:val="51"/>
    <w:rsid w:val="00D27ABD"/>
    <w:rPr>
      <w:color w:val="E40000" w:themeColor="accent6" w:themeShade="BF"/>
    </w:rPr>
    <w:tblPr>
      <w:tblStyleRowBandSize w:val="1"/>
      <w:tblStyleColBandSize w:val="1"/>
      <w:tblBorders>
        <w:top w:val="single" w:sz="4" w:space="0" w:color="FF3232" w:themeColor="accent6"/>
        <w:bottom w:val="single" w:sz="4" w:space="0" w:color="FF3232" w:themeColor="accent6"/>
      </w:tblBorders>
    </w:tblPr>
    <w:tblStylePr w:type="firstRow">
      <w:rPr>
        <w:b/>
        <w:bCs/>
      </w:rPr>
      <w:tblPr/>
      <w:tcPr>
        <w:tcBorders>
          <w:bottom w:val="single" w:sz="4" w:space="0" w:color="FF3232" w:themeColor="accent6"/>
        </w:tcBorders>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7Colo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2F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2F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2F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2F0" w:themeColor="accent1"/>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rPr>
      <w:color w:val="0B915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C37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C37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C37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C373" w:themeColor="accent2"/>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rPr>
      <w:color w:val="883DB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78D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F78D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78D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F78D2" w:themeColor="accent3"/>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rPr>
      <w:color w:val="C669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C0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C0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C0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C0A" w:themeColor="accent5"/>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rPr>
      <w:color w:val="E400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23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323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23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3232" w:themeColor="accent6"/>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rsid w:val="00822F74"/>
    <w:rPr>
      <w:rFonts w:ascii="Consolas" w:hAnsi="Consolas"/>
      <w:sz w:val="20"/>
      <w:szCs w:val="20"/>
      <w:lang w:val="en-US"/>
    </w:rPr>
  </w:style>
  <w:style w:type="table" w:styleId="MediumGrid1">
    <w:name w:val="Medium Grid 1"/>
    <w:basedOn w:val="TableNormal"/>
    <w:uiPriority w:val="67"/>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insideV w:val="single" w:sz="8" w:space="0" w:color="34A2FF" w:themeColor="accent1" w:themeTint="BF"/>
      </w:tblBorders>
    </w:tblPr>
    <w:tcPr>
      <w:shd w:val="clear" w:color="auto" w:fill="BCE0FF" w:themeFill="accent1" w:themeFillTint="3F"/>
    </w:tcPr>
    <w:tblStylePr w:type="firstRow">
      <w:rPr>
        <w:b/>
        <w:bCs/>
      </w:rPr>
    </w:tblStylePr>
    <w:tblStylePr w:type="lastRow">
      <w:rPr>
        <w:b/>
        <w:bCs/>
      </w:rPr>
      <w:tblPr/>
      <w:tcPr>
        <w:tcBorders>
          <w:top w:val="single" w:sz="18" w:space="0" w:color="34A2FF" w:themeColor="accent1" w:themeTint="BF"/>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insideV w:val="single" w:sz="8" w:space="0" w:color="2EEF98" w:themeColor="accent2" w:themeTint="BF"/>
      </w:tblBorders>
    </w:tblPr>
    <w:tcPr>
      <w:shd w:val="clear" w:color="auto" w:fill="B9F9DD" w:themeFill="accent2" w:themeFillTint="3F"/>
    </w:tcPr>
    <w:tblStylePr w:type="firstRow">
      <w:rPr>
        <w:b/>
        <w:bCs/>
      </w:rPr>
    </w:tblStylePr>
    <w:tblStylePr w:type="lastRow">
      <w:rPr>
        <w:b/>
        <w:bCs/>
      </w:rPr>
      <w:tblPr/>
      <w:tcPr>
        <w:tcBorders>
          <w:top w:val="single" w:sz="18" w:space="0" w:color="2EEF98" w:themeColor="accent2" w:themeTint="BF"/>
        </w:tcBorders>
      </w:tcPr>
    </w:tblStylePr>
    <w:tblStylePr w:type="firstCol">
      <w:rPr>
        <w:b/>
        <w:bCs/>
      </w:rPr>
    </w:tblStylePr>
    <w:tblStylePr w:type="lastCol">
      <w:rPr>
        <w:b/>
        <w:bCs/>
      </w:r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MediumGrid1-Accent3">
    <w:name w:val="Medium Grid 1 Accent 3"/>
    <w:basedOn w:val="TableNormal"/>
    <w:uiPriority w:val="67"/>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insideV w:val="single" w:sz="8" w:space="0" w:color="C299DD" w:themeColor="accent3" w:themeTint="BF"/>
      </w:tblBorders>
    </w:tblPr>
    <w:tcPr>
      <w:shd w:val="clear" w:color="auto" w:fill="EBDDF3" w:themeFill="accent3" w:themeFillTint="3F"/>
    </w:tcPr>
    <w:tblStylePr w:type="firstRow">
      <w:rPr>
        <w:b/>
        <w:bCs/>
      </w:rPr>
    </w:tblStylePr>
    <w:tblStylePr w:type="lastRow">
      <w:rPr>
        <w:b/>
        <w:bCs/>
      </w:rPr>
      <w:tblPr/>
      <w:tcPr>
        <w:tcBorders>
          <w:top w:val="single" w:sz="18" w:space="0" w:color="C299DD" w:themeColor="accent3" w:themeTint="BF"/>
        </w:tcBorders>
      </w:tcPr>
    </w:tblStylePr>
    <w:tblStylePr w:type="firstCol">
      <w:rPr>
        <w:b/>
        <w:bCs/>
      </w:rPr>
    </w:tblStylePr>
    <w:tblStylePr w:type="lastCol">
      <w:rPr>
        <w:b/>
        <w:bCs/>
      </w:r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MediumGrid1-Accent4">
    <w:name w:val="Medium Grid 1 Accent 4"/>
    <w:basedOn w:val="TableNormal"/>
    <w:uiPriority w:val="67"/>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insideV w:val="single" w:sz="8" w:space="0" w:color="FFA847" w:themeColor="accent5" w:themeTint="BF"/>
      </w:tblBorders>
    </w:tblPr>
    <w:tcPr>
      <w:shd w:val="clear" w:color="auto" w:fill="FFE2C2" w:themeFill="accent5" w:themeFillTint="3F"/>
    </w:tcPr>
    <w:tblStylePr w:type="firstRow">
      <w:rPr>
        <w:b/>
        <w:bCs/>
      </w:rPr>
    </w:tblStylePr>
    <w:tblStylePr w:type="lastRow">
      <w:rPr>
        <w:b/>
        <w:bCs/>
      </w:rPr>
      <w:tblPr/>
      <w:tcPr>
        <w:tcBorders>
          <w:top w:val="single" w:sz="18" w:space="0" w:color="FFA847" w:themeColor="accent5" w:themeTint="BF"/>
        </w:tcBorders>
      </w:tcPr>
    </w:tblStylePr>
    <w:tblStylePr w:type="firstCol">
      <w:rPr>
        <w:b/>
        <w:bCs/>
      </w:rPr>
    </w:tblStylePr>
    <w:tblStylePr w:type="lastCol">
      <w:rPr>
        <w:b/>
        <w:bCs/>
      </w:r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MediumGrid1-Accent6">
    <w:name w:val="Medium Grid 1 Accent 6"/>
    <w:basedOn w:val="TableNormal"/>
    <w:uiPriority w:val="67"/>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insideV w:val="single" w:sz="8" w:space="0" w:color="FF6565" w:themeColor="accent6" w:themeTint="BF"/>
      </w:tblBorders>
    </w:tblPr>
    <w:tcPr>
      <w:shd w:val="clear" w:color="auto" w:fill="FFCCCC" w:themeFill="accent6" w:themeFillTint="3F"/>
    </w:tcPr>
    <w:tblStylePr w:type="firstRow">
      <w:rPr>
        <w:b/>
        <w:bCs/>
      </w:rPr>
    </w:tblStylePr>
    <w:tblStylePr w:type="lastRow">
      <w:rPr>
        <w:b/>
        <w:bCs/>
      </w:rPr>
      <w:tblPr/>
      <w:tcPr>
        <w:tcBorders>
          <w:top w:val="single" w:sz="18" w:space="0" w:color="FF6565" w:themeColor="accent6" w:themeTint="BF"/>
        </w:tcBorders>
      </w:tcPr>
    </w:tblStylePr>
    <w:tblStylePr w:type="firstCol">
      <w:rPr>
        <w:b/>
        <w:bCs/>
      </w:rPr>
    </w:tblStylePr>
    <w:tblStylePr w:type="lastCol">
      <w:rPr>
        <w:b/>
        <w:bCs/>
      </w:r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MediumGrid2">
    <w:name w:val="Medium Grid 2"/>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sz="6" w:space="0" w:color="0082F0" w:themeColor="accent1"/>
          <w:insideV w:val="single" w:sz="6" w:space="0" w:color="0082F0" w:themeColor="accent1"/>
        </w:tcBorders>
        <w:shd w:val="clear" w:color="auto" w:fill="78C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cPr>
      <w:shd w:val="clear" w:color="auto" w:fill="B9F9DD" w:themeFill="accent2" w:themeFillTint="3F"/>
    </w:tcPr>
    <w:tblStylePr w:type="firstRow">
      <w:rPr>
        <w:b/>
        <w:bCs/>
        <w:color w:val="181818" w:themeColor="text1"/>
      </w:rPr>
      <w:tblPr/>
      <w:tcPr>
        <w:shd w:val="clear" w:color="auto" w:fill="E3FDF1"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2" w:themeFillTint="33"/>
      </w:tcPr>
    </w:tblStylePr>
    <w:tblStylePr w:type="band1Vert">
      <w:tblPr/>
      <w:tcPr>
        <w:shd w:val="clear" w:color="auto" w:fill="74F4BA" w:themeFill="accent2" w:themeFillTint="7F"/>
      </w:tcPr>
    </w:tblStylePr>
    <w:tblStylePr w:type="band1Horz">
      <w:tblPr/>
      <w:tcPr>
        <w:tcBorders>
          <w:insideH w:val="single" w:sz="6" w:space="0" w:color="0FC373" w:themeColor="accent2"/>
          <w:insideV w:val="single" w:sz="6" w:space="0" w:color="0FC373" w:themeColor="accent2"/>
        </w:tcBorders>
        <w:shd w:val="clear" w:color="auto" w:fill="74F4B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cPr>
      <w:shd w:val="clear" w:color="auto" w:fill="EBDDF3" w:themeFill="accent3" w:themeFillTint="3F"/>
    </w:tcPr>
    <w:tblStylePr w:type="firstRow">
      <w:rPr>
        <w:b/>
        <w:bCs/>
        <w:color w:val="181818" w:themeColor="text1"/>
      </w:rPr>
      <w:tblPr/>
      <w:tcPr>
        <w:shd w:val="clear" w:color="auto" w:fill="F7F1FA"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3" w:themeFillTint="33"/>
      </w:tcPr>
    </w:tblStylePr>
    <w:tblStylePr w:type="band1Vert">
      <w:tblPr/>
      <w:tcPr>
        <w:shd w:val="clear" w:color="auto" w:fill="D7BBE8" w:themeFill="accent3" w:themeFillTint="7F"/>
      </w:tcPr>
    </w:tblStylePr>
    <w:tblStylePr w:type="band1Horz">
      <w:tblPr/>
      <w:tcPr>
        <w:tcBorders>
          <w:insideH w:val="single" w:sz="6" w:space="0" w:color="AF78D2" w:themeColor="accent3"/>
          <w:insideV w:val="single" w:sz="6" w:space="0" w:color="AF78D2" w:themeColor="accent3"/>
        </w:tcBorders>
        <w:shd w:val="clear" w:color="auto" w:fill="D7BBE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cPr>
      <w:shd w:val="clear" w:color="auto" w:fill="FFE2C2" w:themeFill="accent5" w:themeFillTint="3F"/>
    </w:tcPr>
    <w:tblStylePr w:type="firstRow">
      <w:rPr>
        <w:b/>
        <w:bCs/>
        <w:color w:val="181818" w:themeColor="text1"/>
      </w:rPr>
      <w:tblPr/>
      <w:tcPr>
        <w:shd w:val="clear" w:color="auto" w:fill="FFF3E6"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5" w:themeFillTint="33"/>
      </w:tcPr>
    </w:tblStylePr>
    <w:tblStylePr w:type="band1Vert">
      <w:tblPr/>
      <w:tcPr>
        <w:shd w:val="clear" w:color="auto" w:fill="FFC584" w:themeFill="accent5" w:themeFillTint="7F"/>
      </w:tcPr>
    </w:tblStylePr>
    <w:tblStylePr w:type="band1Horz">
      <w:tblPr/>
      <w:tcPr>
        <w:tcBorders>
          <w:insideH w:val="single" w:sz="6" w:space="0" w:color="FF8C0A" w:themeColor="accent5"/>
          <w:insideV w:val="single" w:sz="6" w:space="0" w:color="FF8C0A" w:themeColor="accent5"/>
        </w:tcBorders>
        <w:shd w:val="clear" w:color="auto" w:fill="FFC58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cPr>
      <w:shd w:val="clear" w:color="auto" w:fill="FFCCCC" w:themeFill="accent6" w:themeFillTint="3F"/>
    </w:tcPr>
    <w:tblStylePr w:type="firstRow">
      <w:rPr>
        <w:b/>
        <w:bCs/>
        <w:color w:val="181818" w:themeColor="text1"/>
      </w:rPr>
      <w:tblPr/>
      <w:tcPr>
        <w:shd w:val="clear" w:color="auto" w:fill="FFEAEA"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6" w:themeFillTint="33"/>
      </w:tcPr>
    </w:tblStylePr>
    <w:tblStylePr w:type="band1Vert">
      <w:tblPr/>
      <w:tcPr>
        <w:shd w:val="clear" w:color="auto" w:fill="FF9898" w:themeFill="accent6" w:themeFillTint="7F"/>
      </w:tcPr>
    </w:tblStylePr>
    <w:tblStylePr w:type="band1Horz">
      <w:tblPr/>
      <w:tcPr>
        <w:tcBorders>
          <w:insideH w:val="single" w:sz="6" w:space="0" w:color="FF3232" w:themeColor="accent6"/>
          <w:insideV w:val="single" w:sz="6" w:space="0" w:color="FF3232" w:themeColor="accent6"/>
        </w:tcBorders>
        <w:shd w:val="clear" w:color="auto" w:fill="FF98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5C5"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1818"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1818"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8B8B"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8B8B" w:themeFill="text1" w:themeFillTint="7F"/>
      </w:tcPr>
    </w:tblStylePr>
  </w:style>
  <w:style w:type="table" w:styleId="MediumGrid3-Accent1">
    <w:name w:val="Medium Grid 3 Accent 1"/>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E0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2F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2F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8C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8C1FF" w:themeFill="accent1" w:themeFillTint="7F"/>
      </w:tcPr>
    </w:tblStylePr>
  </w:style>
  <w:style w:type="table" w:styleId="MediumGrid3-Accent2">
    <w:name w:val="Medium Grid 3 Accent 2"/>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9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C37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C37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F4B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F4BA" w:themeFill="accent2" w:themeFillTint="7F"/>
      </w:tcPr>
    </w:tblStylePr>
  </w:style>
  <w:style w:type="table" w:styleId="MediumGrid3-Accent3">
    <w:name w:val="Medium Grid 3 Accent 3"/>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DF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F78D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F78D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7BBE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7BBE8" w:themeFill="accent3" w:themeFillTint="7F"/>
      </w:tcPr>
    </w:tblStylePr>
  </w:style>
  <w:style w:type="table" w:styleId="MediumGrid3-Accent4">
    <w:name w:val="Medium Grid 3 Accent 4"/>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3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D22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D22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8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896" w:themeFill="accent4" w:themeFillTint="7F"/>
      </w:tcPr>
    </w:tblStylePr>
  </w:style>
  <w:style w:type="table" w:styleId="MediumGrid3-Accent5">
    <w:name w:val="Medium Grid 3 Accent 5"/>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2C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C0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C0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58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584" w:themeFill="accent5" w:themeFillTint="7F"/>
      </w:tcPr>
    </w:tblStylePr>
  </w:style>
  <w:style w:type="table" w:styleId="MediumGrid3-Accent6">
    <w:name w:val="Medium Grid 3 Accent 6"/>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323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323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9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898" w:themeFill="accent6" w:themeFillTint="7F"/>
      </w:tcPr>
    </w:tblStylePr>
  </w:style>
  <w:style w:type="table" w:styleId="MediumList1">
    <w:name w:val="Medium List 1"/>
    <w:basedOn w:val="TableNormal"/>
    <w:uiPriority w:val="65"/>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181818"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unhideWhenUsed/>
    <w:rsid w:val="00D27ABD"/>
    <w:rPr>
      <w:color w:val="181818" w:themeColor="text1"/>
    </w:rPr>
    <w:tblPr>
      <w:tblStyleRowBandSize w:val="1"/>
      <w:tblStyleColBandSize w:val="1"/>
      <w:tblBorders>
        <w:top w:val="single" w:sz="8" w:space="0" w:color="0082F0" w:themeColor="accent1"/>
        <w:bottom w:val="single" w:sz="8" w:space="0" w:color="0082F0" w:themeColor="accent1"/>
      </w:tblBorders>
    </w:tblPr>
    <w:tblStylePr w:type="firstRow">
      <w:rPr>
        <w:rFonts w:asciiTheme="majorHAnsi" w:eastAsiaTheme="majorEastAsia" w:hAnsiTheme="majorHAnsi" w:cstheme="majorBidi"/>
      </w:rPr>
      <w:tblPr/>
      <w:tcPr>
        <w:tcBorders>
          <w:top w:val="nil"/>
          <w:bottom w:val="single" w:sz="8" w:space="0" w:color="0082F0" w:themeColor="accent1"/>
        </w:tcBorders>
      </w:tcPr>
    </w:tblStylePr>
    <w:tblStylePr w:type="lastRow">
      <w:rPr>
        <w:b/>
        <w:bCs/>
        <w:color w:val="181818" w:themeColor="text2"/>
      </w:rPr>
      <w:tblPr/>
      <w:tcPr>
        <w:tcBorders>
          <w:top w:val="single" w:sz="8" w:space="0" w:color="0082F0" w:themeColor="accent1"/>
          <w:bottom w:val="single" w:sz="8" w:space="0" w:color="0082F0" w:themeColor="accent1"/>
        </w:tcBorders>
      </w:tcPr>
    </w:tblStylePr>
    <w:tblStylePr w:type="firstCol">
      <w:rPr>
        <w:b/>
        <w:bCs/>
      </w:rPr>
    </w:tblStylePr>
    <w:tblStylePr w:type="lastCol">
      <w:rPr>
        <w:b/>
        <w:bCs/>
      </w:rPr>
      <w:tblPr/>
      <w:tcPr>
        <w:tcBorders>
          <w:top w:val="single" w:sz="8" w:space="0" w:color="0082F0" w:themeColor="accent1"/>
          <w:bottom w:val="single" w:sz="8" w:space="0" w:color="0082F0" w:themeColor="accent1"/>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unhideWhenUsed/>
    <w:rsid w:val="00D27ABD"/>
    <w:rPr>
      <w:color w:val="181818" w:themeColor="text1"/>
    </w:rPr>
    <w:tblPr>
      <w:tblStyleRowBandSize w:val="1"/>
      <w:tblStyleColBandSize w:val="1"/>
      <w:tblBorders>
        <w:top w:val="single" w:sz="8" w:space="0" w:color="0FC373" w:themeColor="accent2"/>
        <w:bottom w:val="single" w:sz="8" w:space="0" w:color="0FC373" w:themeColor="accent2"/>
      </w:tblBorders>
    </w:tblPr>
    <w:tblStylePr w:type="firstRow">
      <w:rPr>
        <w:rFonts w:asciiTheme="majorHAnsi" w:eastAsiaTheme="majorEastAsia" w:hAnsiTheme="majorHAnsi" w:cstheme="majorBidi"/>
      </w:rPr>
      <w:tblPr/>
      <w:tcPr>
        <w:tcBorders>
          <w:top w:val="nil"/>
          <w:bottom w:val="single" w:sz="8" w:space="0" w:color="0FC373" w:themeColor="accent2"/>
        </w:tcBorders>
      </w:tcPr>
    </w:tblStylePr>
    <w:tblStylePr w:type="lastRow">
      <w:rPr>
        <w:b/>
        <w:bCs/>
        <w:color w:val="181818" w:themeColor="text2"/>
      </w:rPr>
      <w:tblPr/>
      <w:tcPr>
        <w:tcBorders>
          <w:top w:val="single" w:sz="8" w:space="0" w:color="0FC373" w:themeColor="accent2"/>
          <w:bottom w:val="single" w:sz="8" w:space="0" w:color="0FC373" w:themeColor="accent2"/>
        </w:tcBorders>
      </w:tcPr>
    </w:tblStylePr>
    <w:tblStylePr w:type="firstCol">
      <w:rPr>
        <w:b/>
        <w:bCs/>
      </w:rPr>
    </w:tblStylePr>
    <w:tblStylePr w:type="lastCol">
      <w:rPr>
        <w:b/>
        <w:bCs/>
      </w:rPr>
      <w:tblPr/>
      <w:tcPr>
        <w:tcBorders>
          <w:top w:val="single" w:sz="8" w:space="0" w:color="0FC373" w:themeColor="accent2"/>
          <w:bottom w:val="single" w:sz="8" w:space="0" w:color="0FC373" w:themeColor="accent2"/>
        </w:tcBorders>
      </w:tcPr>
    </w:tblStylePr>
    <w:tblStylePr w:type="band1Vert">
      <w:tblPr/>
      <w:tcPr>
        <w:shd w:val="clear" w:color="auto" w:fill="B9F9DD" w:themeFill="accent2" w:themeFillTint="3F"/>
      </w:tcPr>
    </w:tblStylePr>
    <w:tblStylePr w:type="band1Horz">
      <w:tblPr/>
      <w:tcPr>
        <w:shd w:val="clear" w:color="auto" w:fill="B9F9DD" w:themeFill="accent2" w:themeFillTint="3F"/>
      </w:tcPr>
    </w:tblStylePr>
  </w:style>
  <w:style w:type="table" w:styleId="MediumList1-Accent3">
    <w:name w:val="Medium List 1 Accent 3"/>
    <w:basedOn w:val="TableNormal"/>
    <w:uiPriority w:val="65"/>
    <w:unhideWhenUsed/>
    <w:rsid w:val="00D27ABD"/>
    <w:rPr>
      <w:color w:val="181818" w:themeColor="text1"/>
    </w:rPr>
    <w:tblPr>
      <w:tblStyleRowBandSize w:val="1"/>
      <w:tblStyleColBandSize w:val="1"/>
      <w:tblBorders>
        <w:top w:val="single" w:sz="8" w:space="0" w:color="AF78D2" w:themeColor="accent3"/>
        <w:bottom w:val="single" w:sz="8" w:space="0" w:color="AF78D2" w:themeColor="accent3"/>
      </w:tblBorders>
    </w:tblPr>
    <w:tblStylePr w:type="firstRow">
      <w:rPr>
        <w:rFonts w:asciiTheme="majorHAnsi" w:eastAsiaTheme="majorEastAsia" w:hAnsiTheme="majorHAnsi" w:cstheme="majorBidi"/>
      </w:rPr>
      <w:tblPr/>
      <w:tcPr>
        <w:tcBorders>
          <w:top w:val="nil"/>
          <w:bottom w:val="single" w:sz="8" w:space="0" w:color="AF78D2" w:themeColor="accent3"/>
        </w:tcBorders>
      </w:tcPr>
    </w:tblStylePr>
    <w:tblStylePr w:type="lastRow">
      <w:rPr>
        <w:b/>
        <w:bCs/>
        <w:color w:val="181818" w:themeColor="text2"/>
      </w:rPr>
      <w:tblPr/>
      <w:tcPr>
        <w:tcBorders>
          <w:top w:val="single" w:sz="8" w:space="0" w:color="AF78D2" w:themeColor="accent3"/>
          <w:bottom w:val="single" w:sz="8" w:space="0" w:color="AF78D2" w:themeColor="accent3"/>
        </w:tcBorders>
      </w:tcPr>
    </w:tblStylePr>
    <w:tblStylePr w:type="firstCol">
      <w:rPr>
        <w:b/>
        <w:bCs/>
      </w:rPr>
    </w:tblStylePr>
    <w:tblStylePr w:type="lastCol">
      <w:rPr>
        <w:b/>
        <w:bCs/>
      </w:rPr>
      <w:tblPr/>
      <w:tcPr>
        <w:tcBorders>
          <w:top w:val="single" w:sz="8" w:space="0" w:color="AF78D2" w:themeColor="accent3"/>
          <w:bottom w:val="single" w:sz="8" w:space="0" w:color="AF78D2" w:themeColor="accent3"/>
        </w:tcBorders>
      </w:tcPr>
    </w:tblStylePr>
    <w:tblStylePr w:type="band1Vert">
      <w:tblPr/>
      <w:tcPr>
        <w:shd w:val="clear" w:color="auto" w:fill="EBDDF3" w:themeFill="accent3" w:themeFillTint="3F"/>
      </w:tcPr>
    </w:tblStylePr>
    <w:tblStylePr w:type="band1Horz">
      <w:tblPr/>
      <w:tcPr>
        <w:shd w:val="clear" w:color="auto" w:fill="EBDDF3" w:themeFill="accent3" w:themeFillTint="3F"/>
      </w:tcPr>
    </w:tblStylePr>
  </w:style>
  <w:style w:type="table" w:styleId="MediumList1-Accent4">
    <w:name w:val="Medium List 1 Accent 4"/>
    <w:basedOn w:val="TableNormal"/>
    <w:uiPriority w:val="65"/>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181818"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unhideWhenUsed/>
    <w:rsid w:val="00D27ABD"/>
    <w:rPr>
      <w:color w:val="181818" w:themeColor="text1"/>
    </w:rPr>
    <w:tblPr>
      <w:tblStyleRowBandSize w:val="1"/>
      <w:tblStyleColBandSize w:val="1"/>
      <w:tblBorders>
        <w:top w:val="single" w:sz="8" w:space="0" w:color="FF8C0A" w:themeColor="accent5"/>
        <w:bottom w:val="single" w:sz="8" w:space="0" w:color="FF8C0A" w:themeColor="accent5"/>
      </w:tblBorders>
    </w:tblPr>
    <w:tblStylePr w:type="firstRow">
      <w:rPr>
        <w:rFonts w:asciiTheme="majorHAnsi" w:eastAsiaTheme="majorEastAsia" w:hAnsiTheme="majorHAnsi" w:cstheme="majorBidi"/>
      </w:rPr>
      <w:tblPr/>
      <w:tcPr>
        <w:tcBorders>
          <w:top w:val="nil"/>
          <w:bottom w:val="single" w:sz="8" w:space="0" w:color="FF8C0A" w:themeColor="accent5"/>
        </w:tcBorders>
      </w:tcPr>
    </w:tblStylePr>
    <w:tblStylePr w:type="lastRow">
      <w:rPr>
        <w:b/>
        <w:bCs/>
        <w:color w:val="181818" w:themeColor="text2"/>
      </w:rPr>
      <w:tblPr/>
      <w:tcPr>
        <w:tcBorders>
          <w:top w:val="single" w:sz="8" w:space="0" w:color="FF8C0A" w:themeColor="accent5"/>
          <w:bottom w:val="single" w:sz="8" w:space="0" w:color="FF8C0A" w:themeColor="accent5"/>
        </w:tcBorders>
      </w:tcPr>
    </w:tblStylePr>
    <w:tblStylePr w:type="firstCol">
      <w:rPr>
        <w:b/>
        <w:bCs/>
      </w:rPr>
    </w:tblStylePr>
    <w:tblStylePr w:type="lastCol">
      <w:rPr>
        <w:b/>
        <w:bCs/>
      </w:rPr>
      <w:tblPr/>
      <w:tcPr>
        <w:tcBorders>
          <w:top w:val="single" w:sz="8" w:space="0" w:color="FF8C0A" w:themeColor="accent5"/>
          <w:bottom w:val="single" w:sz="8" w:space="0" w:color="FF8C0A" w:themeColor="accent5"/>
        </w:tcBorders>
      </w:tcPr>
    </w:tblStylePr>
    <w:tblStylePr w:type="band1Vert">
      <w:tblPr/>
      <w:tcPr>
        <w:shd w:val="clear" w:color="auto" w:fill="FFE2C2" w:themeFill="accent5" w:themeFillTint="3F"/>
      </w:tcPr>
    </w:tblStylePr>
    <w:tblStylePr w:type="band1Horz">
      <w:tblPr/>
      <w:tcPr>
        <w:shd w:val="clear" w:color="auto" w:fill="FFE2C2" w:themeFill="accent5" w:themeFillTint="3F"/>
      </w:tcPr>
    </w:tblStylePr>
  </w:style>
  <w:style w:type="table" w:styleId="MediumList1-Accent6">
    <w:name w:val="Medium List 1 Accent 6"/>
    <w:basedOn w:val="TableNormal"/>
    <w:uiPriority w:val="65"/>
    <w:unhideWhenUsed/>
    <w:rsid w:val="00D27ABD"/>
    <w:rPr>
      <w:color w:val="181818" w:themeColor="text1"/>
    </w:rPr>
    <w:tblPr>
      <w:tblStyleRowBandSize w:val="1"/>
      <w:tblStyleColBandSize w:val="1"/>
      <w:tblBorders>
        <w:top w:val="single" w:sz="8" w:space="0" w:color="FF3232" w:themeColor="accent6"/>
        <w:bottom w:val="single" w:sz="8" w:space="0" w:color="FF3232" w:themeColor="accent6"/>
      </w:tblBorders>
    </w:tblPr>
    <w:tblStylePr w:type="firstRow">
      <w:rPr>
        <w:rFonts w:asciiTheme="majorHAnsi" w:eastAsiaTheme="majorEastAsia" w:hAnsiTheme="majorHAnsi" w:cstheme="majorBidi"/>
      </w:rPr>
      <w:tblPr/>
      <w:tcPr>
        <w:tcBorders>
          <w:top w:val="nil"/>
          <w:bottom w:val="single" w:sz="8" w:space="0" w:color="FF3232" w:themeColor="accent6"/>
        </w:tcBorders>
      </w:tcPr>
    </w:tblStylePr>
    <w:tblStylePr w:type="lastRow">
      <w:rPr>
        <w:b/>
        <w:bCs/>
        <w:color w:val="181818" w:themeColor="text2"/>
      </w:rPr>
      <w:tblPr/>
      <w:tcPr>
        <w:tcBorders>
          <w:top w:val="single" w:sz="8" w:space="0" w:color="FF3232" w:themeColor="accent6"/>
          <w:bottom w:val="single" w:sz="8" w:space="0" w:color="FF3232" w:themeColor="accent6"/>
        </w:tcBorders>
      </w:tcPr>
    </w:tblStylePr>
    <w:tblStylePr w:type="firstCol">
      <w:rPr>
        <w:b/>
        <w:bCs/>
      </w:rPr>
    </w:tblStylePr>
    <w:tblStylePr w:type="lastCol">
      <w:rPr>
        <w:b/>
        <w:bCs/>
      </w:rPr>
      <w:tblPr/>
      <w:tcPr>
        <w:tcBorders>
          <w:top w:val="single" w:sz="8" w:space="0" w:color="FF3232" w:themeColor="accent6"/>
          <w:bottom w:val="single" w:sz="8" w:space="0" w:color="FF3232" w:themeColor="accent6"/>
        </w:tcBorders>
      </w:tcPr>
    </w:tblStylePr>
    <w:tblStylePr w:type="band1Vert">
      <w:tblPr/>
      <w:tcPr>
        <w:shd w:val="clear" w:color="auto" w:fill="FFCCCC" w:themeFill="accent6" w:themeFillTint="3F"/>
      </w:tcPr>
    </w:tblStylePr>
    <w:tblStylePr w:type="band1Horz">
      <w:tblPr/>
      <w:tcPr>
        <w:shd w:val="clear" w:color="auto" w:fill="FFCCCC" w:themeFill="accent6" w:themeFillTint="3F"/>
      </w:tcPr>
    </w:tblStylePr>
  </w:style>
  <w:style w:type="table" w:styleId="MediumList2">
    <w:name w:val="Medium List 2"/>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81818" w:themeColor="text1"/>
          <w:insideH w:val="nil"/>
          <w:insideV w:val="nil"/>
        </w:tcBorders>
        <w:shd w:val="clear" w:color="auto" w:fill="FFFFFF" w:themeFill="background1"/>
      </w:tcPr>
    </w:tblStylePr>
    <w:tblStylePr w:type="lastCol">
      <w:tblPr/>
      <w:tcPr>
        <w:tcBorders>
          <w:top w:val="nil"/>
          <w:left w:val="single" w:sz="8" w:space="0" w:color="181818"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rPr>
        <w:sz w:val="24"/>
        <w:szCs w:val="24"/>
      </w:rPr>
      <w:tblPr/>
      <w:tcPr>
        <w:tcBorders>
          <w:top w:val="nil"/>
          <w:left w:val="nil"/>
          <w:bottom w:val="single" w:sz="24" w:space="0" w:color="0082F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2F0" w:themeColor="accent1"/>
          <w:insideH w:val="nil"/>
          <w:insideV w:val="nil"/>
        </w:tcBorders>
        <w:shd w:val="clear" w:color="auto" w:fill="FFFFFF" w:themeFill="background1"/>
      </w:tcPr>
    </w:tblStylePr>
    <w:tblStylePr w:type="lastCol">
      <w:tblPr/>
      <w:tcPr>
        <w:tcBorders>
          <w:top w:val="nil"/>
          <w:left w:val="single" w:sz="8" w:space="0" w:color="0082F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rPr>
        <w:sz w:val="24"/>
        <w:szCs w:val="24"/>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C373" w:themeColor="accent2"/>
          <w:insideH w:val="nil"/>
          <w:insideV w:val="nil"/>
        </w:tcBorders>
        <w:shd w:val="clear" w:color="auto" w:fill="FFFFFF" w:themeFill="background1"/>
      </w:tcPr>
    </w:tblStylePr>
    <w:tblStylePr w:type="lastCol">
      <w:tblPr/>
      <w:tcPr>
        <w:tcBorders>
          <w:top w:val="nil"/>
          <w:left w:val="single" w:sz="8" w:space="0" w:color="0FC37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top w:val="nil"/>
          <w:bottom w:val="nil"/>
          <w:insideH w:val="nil"/>
          <w:insideV w:val="nil"/>
        </w:tcBorders>
        <w:shd w:val="clear" w:color="auto" w:fill="B9F9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rPr>
        <w:sz w:val="24"/>
        <w:szCs w:val="24"/>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F78D2" w:themeColor="accent3"/>
          <w:insideH w:val="nil"/>
          <w:insideV w:val="nil"/>
        </w:tcBorders>
        <w:shd w:val="clear" w:color="auto" w:fill="FFFFFF" w:themeFill="background1"/>
      </w:tcPr>
    </w:tblStylePr>
    <w:tblStylePr w:type="lastCol">
      <w:tblPr/>
      <w:tcPr>
        <w:tcBorders>
          <w:top w:val="nil"/>
          <w:left w:val="single" w:sz="8" w:space="0" w:color="AF78D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top w:val="nil"/>
          <w:bottom w:val="nil"/>
          <w:insideH w:val="nil"/>
          <w:insideV w:val="nil"/>
        </w:tcBorders>
        <w:shd w:val="clear" w:color="auto" w:fill="EBDDF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D22D" w:themeColor="accent4"/>
          <w:insideH w:val="nil"/>
          <w:insideV w:val="nil"/>
        </w:tcBorders>
        <w:shd w:val="clear" w:color="auto" w:fill="FFFFFF" w:themeFill="background1"/>
      </w:tcPr>
    </w:tblStylePr>
    <w:tblStylePr w:type="lastCol">
      <w:tblPr/>
      <w:tcPr>
        <w:tcBorders>
          <w:top w:val="nil"/>
          <w:left w:val="single" w:sz="8" w:space="0" w:color="FAD22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rPr>
        <w:sz w:val="24"/>
        <w:szCs w:val="24"/>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C0A" w:themeColor="accent5"/>
          <w:insideH w:val="nil"/>
          <w:insideV w:val="nil"/>
        </w:tcBorders>
        <w:shd w:val="clear" w:color="auto" w:fill="FFFFFF" w:themeFill="background1"/>
      </w:tcPr>
    </w:tblStylePr>
    <w:tblStylePr w:type="lastCol">
      <w:tblPr/>
      <w:tcPr>
        <w:tcBorders>
          <w:top w:val="nil"/>
          <w:left w:val="single" w:sz="8" w:space="0" w:color="FF8C0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top w:val="nil"/>
          <w:bottom w:val="nil"/>
          <w:insideH w:val="nil"/>
          <w:insideV w:val="nil"/>
        </w:tcBorders>
        <w:shd w:val="clear" w:color="auto" w:fill="FFE2C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rPr>
        <w:sz w:val="24"/>
        <w:szCs w:val="24"/>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3232" w:themeColor="accent6"/>
          <w:insideH w:val="nil"/>
          <w:insideV w:val="nil"/>
        </w:tcBorders>
        <w:shd w:val="clear" w:color="auto" w:fill="FFFFFF" w:themeFill="background1"/>
      </w:tcPr>
    </w:tblStylePr>
    <w:tblStylePr w:type="lastCol">
      <w:tblPr/>
      <w:tcPr>
        <w:tcBorders>
          <w:top w:val="nil"/>
          <w:left w:val="single" w:sz="8" w:space="0" w:color="FF323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top w:val="nil"/>
          <w:bottom w:val="nil"/>
          <w:insideH w:val="nil"/>
          <w:insideV w:val="nil"/>
        </w:tcBorders>
        <w:shd w:val="clear" w:color="auto" w:fill="FFCC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FFFFF"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tblBorders>
    </w:tblPr>
    <w:tblStylePr w:type="firstRow">
      <w:pPr>
        <w:spacing w:before="0" w:after="0" w:line="240" w:lineRule="auto"/>
      </w:pPr>
      <w:rPr>
        <w:b/>
        <w:bCs/>
        <w:color w:val="FFFFFF" w:themeColor="background1"/>
      </w:rPr>
      <w:tblPr/>
      <w:tcPr>
        <w:tc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shd w:val="clear" w:color="auto" w:fill="0082F0" w:themeFill="accent1"/>
      </w:tcPr>
    </w:tblStylePr>
    <w:tblStylePr w:type="lastRow">
      <w:pPr>
        <w:spacing w:before="0" w:after="0" w:line="240" w:lineRule="auto"/>
      </w:pPr>
      <w:rPr>
        <w:b/>
        <w:bCs/>
      </w:rPr>
      <w:tblPr/>
      <w:tcPr>
        <w:tcBorders>
          <w:top w:val="double" w:sz="6"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tblBorders>
    </w:tblPr>
    <w:tblStylePr w:type="firstRow">
      <w:pPr>
        <w:spacing w:before="0" w:after="0" w:line="240" w:lineRule="auto"/>
      </w:pPr>
      <w:rPr>
        <w:b/>
        <w:bCs/>
        <w:color w:val="FFFFFF" w:themeColor="background1"/>
      </w:rPr>
      <w:tblPr/>
      <w:tcPr>
        <w:tc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shd w:val="clear" w:color="auto" w:fill="0FC373" w:themeFill="accent2"/>
      </w:tcPr>
    </w:tblStylePr>
    <w:tblStylePr w:type="lastRow">
      <w:pPr>
        <w:spacing w:before="0" w:after="0" w:line="240" w:lineRule="auto"/>
      </w:pPr>
      <w:rPr>
        <w:b/>
        <w:bCs/>
      </w:rPr>
      <w:tblPr/>
      <w:tcPr>
        <w:tcBorders>
          <w:top w:val="double" w:sz="6"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tcPr>
    </w:tblStylePr>
    <w:tblStylePr w:type="firstCol">
      <w:rPr>
        <w:b/>
        <w:bCs/>
      </w:rPr>
    </w:tblStylePr>
    <w:tblStylePr w:type="lastCol">
      <w:rPr>
        <w:b/>
        <w:bCs/>
      </w:rPr>
    </w:tblStylePr>
    <w:tblStylePr w:type="band1Vert">
      <w:tblPr/>
      <w:tcPr>
        <w:shd w:val="clear" w:color="auto" w:fill="B9F9DD" w:themeFill="accent2" w:themeFillTint="3F"/>
      </w:tcPr>
    </w:tblStylePr>
    <w:tblStylePr w:type="band1Horz">
      <w:tblPr/>
      <w:tcPr>
        <w:tcBorders>
          <w:insideH w:val="nil"/>
          <w:insideV w:val="nil"/>
        </w:tcBorders>
        <w:shd w:val="clear" w:color="auto" w:fill="B9F9D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tblBorders>
    </w:tblPr>
    <w:tblStylePr w:type="firstRow">
      <w:pPr>
        <w:spacing w:before="0" w:after="0" w:line="240" w:lineRule="auto"/>
      </w:pPr>
      <w:rPr>
        <w:b/>
        <w:bCs/>
        <w:color w:val="FFFFFF" w:themeColor="background1"/>
      </w:rPr>
      <w:tblPr/>
      <w:tcPr>
        <w:tc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shd w:val="clear" w:color="auto" w:fill="AF78D2" w:themeFill="accent3"/>
      </w:tcPr>
    </w:tblStylePr>
    <w:tblStylePr w:type="lastRow">
      <w:pPr>
        <w:spacing w:before="0" w:after="0" w:line="240" w:lineRule="auto"/>
      </w:pPr>
      <w:rPr>
        <w:b/>
        <w:bCs/>
      </w:rPr>
      <w:tblPr/>
      <w:tcPr>
        <w:tcBorders>
          <w:top w:val="double" w:sz="6"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DDF3" w:themeFill="accent3" w:themeFillTint="3F"/>
      </w:tcPr>
    </w:tblStylePr>
    <w:tblStylePr w:type="band1Horz">
      <w:tblPr/>
      <w:tcPr>
        <w:tcBorders>
          <w:insideH w:val="nil"/>
          <w:insideV w:val="nil"/>
        </w:tcBorders>
        <w:shd w:val="clear" w:color="auto" w:fill="EBDDF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FFFFF"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tblBorders>
    </w:tblPr>
    <w:tblStylePr w:type="firstRow">
      <w:pPr>
        <w:spacing w:before="0" w:after="0" w:line="240" w:lineRule="auto"/>
      </w:pPr>
      <w:rPr>
        <w:b/>
        <w:bCs/>
        <w:color w:val="FFFFFF" w:themeColor="background1"/>
      </w:rPr>
      <w:tblPr/>
      <w:tcPr>
        <w:tc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shd w:val="clear" w:color="auto" w:fill="FF8C0A" w:themeFill="accent5"/>
      </w:tcPr>
    </w:tblStylePr>
    <w:tblStylePr w:type="lastRow">
      <w:pPr>
        <w:spacing w:before="0" w:after="0" w:line="240" w:lineRule="auto"/>
      </w:pPr>
      <w:rPr>
        <w:b/>
        <w:bCs/>
      </w:rPr>
      <w:tblPr/>
      <w:tcPr>
        <w:tcBorders>
          <w:top w:val="double" w:sz="6"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2C2" w:themeFill="accent5" w:themeFillTint="3F"/>
      </w:tcPr>
    </w:tblStylePr>
    <w:tblStylePr w:type="band1Horz">
      <w:tblPr/>
      <w:tcPr>
        <w:tcBorders>
          <w:insideH w:val="nil"/>
          <w:insideV w:val="nil"/>
        </w:tcBorders>
        <w:shd w:val="clear" w:color="auto" w:fill="FFE2C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tblBorders>
    </w:tblPr>
    <w:tblStylePr w:type="firstRow">
      <w:pPr>
        <w:spacing w:before="0" w:after="0" w:line="240" w:lineRule="auto"/>
      </w:pPr>
      <w:rPr>
        <w:b/>
        <w:bCs/>
        <w:color w:val="FFFFFF" w:themeColor="background1"/>
      </w:rPr>
      <w:tblPr/>
      <w:tcPr>
        <w:tc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shd w:val="clear" w:color="auto" w:fill="FF3232" w:themeFill="accent6"/>
      </w:tcPr>
    </w:tblStylePr>
    <w:tblStylePr w:type="lastRow">
      <w:pPr>
        <w:spacing w:before="0" w:after="0" w:line="240" w:lineRule="auto"/>
      </w:pPr>
      <w:rPr>
        <w:b/>
        <w:bCs/>
      </w:rPr>
      <w:tblPr/>
      <w:tcPr>
        <w:tcBorders>
          <w:top w:val="double" w:sz="6"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CCCC" w:themeFill="accent6" w:themeFillTint="3F"/>
      </w:tcPr>
    </w:tblStylePr>
    <w:tblStylePr w:type="band1Horz">
      <w:tblPr/>
      <w:tcPr>
        <w:tcBorders>
          <w:insideH w:val="nil"/>
          <w:insideV w:val="nil"/>
        </w:tcBorders>
        <w:shd w:val="clear" w:color="auto" w:fill="FFCC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81818" w:themeFill="text1"/>
      </w:tcPr>
    </w:tblStylePr>
    <w:tblStylePr w:type="lastCol">
      <w:rPr>
        <w:b/>
        <w:bCs/>
        <w:color w:val="FFFFFF"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FFFFF"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C37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C373" w:themeFill="accent2"/>
      </w:tcPr>
    </w:tblStylePr>
    <w:tblStylePr w:type="lastCol">
      <w:rPr>
        <w:b/>
        <w:bCs/>
        <w:color w:val="FFFFFF" w:themeColor="background1"/>
      </w:rPr>
      <w:tblPr/>
      <w:tcPr>
        <w:tcBorders>
          <w:left w:val="nil"/>
          <w:right w:val="nil"/>
          <w:insideH w:val="nil"/>
          <w:insideV w:val="nil"/>
        </w:tcBorders>
        <w:shd w:val="clear" w:color="auto" w:fill="0FC37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F78D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F78D2" w:themeFill="accent3"/>
      </w:tcPr>
    </w:tblStylePr>
    <w:tblStylePr w:type="lastCol">
      <w:rPr>
        <w:b/>
        <w:bCs/>
        <w:color w:val="FFFFFF" w:themeColor="background1"/>
      </w:rPr>
      <w:tblPr/>
      <w:tcPr>
        <w:tcBorders>
          <w:left w:val="nil"/>
          <w:right w:val="nil"/>
          <w:insideH w:val="nil"/>
          <w:insideV w:val="nil"/>
        </w:tcBorders>
        <w:shd w:val="clear" w:color="auto" w:fill="AF78D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FFFFF"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C0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C0A" w:themeFill="accent5"/>
      </w:tcPr>
    </w:tblStylePr>
    <w:tblStylePr w:type="lastCol">
      <w:rPr>
        <w:b/>
        <w:bCs/>
        <w:color w:val="FFFFFF" w:themeColor="background1"/>
      </w:rPr>
      <w:tblPr/>
      <w:tcPr>
        <w:tcBorders>
          <w:left w:val="nil"/>
          <w:right w:val="nil"/>
          <w:insideH w:val="nil"/>
          <w:insideV w:val="nil"/>
        </w:tcBorders>
        <w:shd w:val="clear" w:color="auto" w:fill="FF8C0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323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3232" w:themeFill="accent6"/>
      </w:tcPr>
    </w:tblStylePr>
    <w:tblStylePr w:type="lastCol">
      <w:rPr>
        <w:b/>
        <w:bCs/>
        <w:color w:val="FFFFFF" w:themeColor="background1"/>
      </w:rPr>
      <w:tblPr/>
      <w:tcPr>
        <w:tcBorders>
          <w:left w:val="nil"/>
          <w:right w:val="nil"/>
          <w:insideH w:val="nil"/>
          <w:insideV w:val="nil"/>
        </w:tcBorders>
        <w:shd w:val="clear" w:color="auto" w:fill="FF323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2F74"/>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customStyle="1" w:styleId="NoteHeadingChar">
    <w:name w:val="Note Heading Char"/>
    <w:basedOn w:val="DefaultParagraphFont"/>
    <w:link w:val="NoteHeading"/>
    <w:uiPriority w:val="99"/>
    <w:semiHidden/>
    <w:rsid w:val="00822F74"/>
    <w:rPr>
      <w:lang w:val="en-US"/>
    </w:rPr>
  </w:style>
  <w:style w:type="table" w:styleId="PlainTable1">
    <w:name w:val="Plain Table 1"/>
    <w:basedOn w:val="TableNormal"/>
    <w:uiPriority w:val="41"/>
    <w:rsid w:val="00D27A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customStyle="1" w:styleId="PlainTextChar">
    <w:name w:val="Plain Text Char"/>
    <w:basedOn w:val="DefaultParagraphFont"/>
    <w:link w:val="PlainText"/>
    <w:uiPriority w:val="99"/>
    <w:semiHidden/>
    <w:rsid w:val="00822F74"/>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Heading">
    <w:name w:val="Heading"/>
    <w:basedOn w:val="Normal"/>
    <w:next w:val="Normal"/>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uiPriority w:val="2"/>
    <w:rsid w:val="00E5099D"/>
    <w:pPr>
      <w:keepNext w:val="0"/>
      <w:keepLines w:val="0"/>
    </w:pPr>
    <w:rPr>
      <w:rFonts w:eastAsia="Times New Roman" w:cs="Times New Roman"/>
      <w:szCs w:val="20"/>
    </w:rPr>
  </w:style>
  <w:style w:type="paragraph" w:customStyle="1" w:styleId="Listabc2">
    <w:name w:val="List abc 2"/>
    <w:basedOn w:val="Normal"/>
    <w:uiPriority w:val="5"/>
    <w:qFormat/>
    <w:rsid w:val="00856C5D"/>
    <w:pPr>
      <w:numPr>
        <w:numId w:val="22"/>
      </w:numPr>
      <w:tabs>
        <w:tab w:val="clear" w:pos="1247"/>
        <w:tab w:val="clear" w:pos="2552"/>
        <w:tab w:val="clear" w:pos="3856"/>
        <w:tab w:val="clear" w:pos="5216"/>
        <w:tab w:val="clear" w:pos="6464"/>
        <w:tab w:val="clear" w:pos="7768"/>
      </w:tabs>
    </w:pPr>
  </w:style>
  <w:style w:type="paragraph" w:customStyle="1" w:styleId="Listabc">
    <w:name w:val="List abc"/>
    <w:basedOn w:val="Normal"/>
    <w:uiPriority w:val="5"/>
    <w:qFormat/>
    <w:rsid w:val="00856C5D"/>
    <w:pPr>
      <w:numPr>
        <w:numId w:val="23"/>
      </w:numPr>
      <w:tabs>
        <w:tab w:val="clear" w:pos="1247"/>
        <w:tab w:val="clear" w:pos="2552"/>
        <w:tab w:val="clear" w:pos="3856"/>
        <w:tab w:val="clear" w:pos="5216"/>
        <w:tab w:val="clear" w:pos="6464"/>
        <w:tab w:val="clear" w:pos="7768"/>
      </w:tabs>
      <w:spacing w:after="0"/>
    </w:pPr>
  </w:style>
  <w:style w:type="paragraph" w:customStyle="1" w:styleId="ListBulletwide">
    <w:name w:val="List Bullet (wide)"/>
    <w:uiPriority w:val="3"/>
    <w:rsid w:val="00560FD0"/>
    <w:pPr>
      <w:numPr>
        <w:numId w:val="12"/>
      </w:numPr>
      <w:spacing w:after="0"/>
    </w:pPr>
    <w:rPr>
      <w:rFonts w:eastAsia="Times New Roman" w:cs="Times New Roman"/>
      <w:szCs w:val="20"/>
      <w:lang w:val="en-US"/>
    </w:rPr>
  </w:style>
  <w:style w:type="paragraph" w:customStyle="1" w:styleId="ListBullet2wide">
    <w:name w:val="List Bullet 2 (wide)"/>
    <w:uiPriority w:val="3"/>
    <w:rsid w:val="00560FD0"/>
    <w:pPr>
      <w:numPr>
        <w:numId w:val="13"/>
      </w:numPr>
    </w:pPr>
    <w:rPr>
      <w:rFonts w:eastAsia="Times New Roman" w:cs="Times New Roman"/>
      <w:szCs w:val="20"/>
      <w:lang w:val="en-US"/>
    </w:rPr>
  </w:style>
  <w:style w:type="paragraph" w:customStyle="1" w:styleId="TableStyle">
    <w:name w:val="TableStyle"/>
    <w:uiPriority w:val="8"/>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8"/>
    <w:rsid w:val="0076781E"/>
    <w:pPr>
      <w:ind w:left="0"/>
    </w:pPr>
    <w:rPr>
      <w:u w:val="single"/>
    </w:rPr>
  </w:style>
  <w:style w:type="paragraph" w:customStyle="1" w:styleId="Term-list">
    <w:name w:val="Term-list"/>
    <w:uiPriority w:val="7"/>
    <w:qFormat/>
    <w:rsid w:val="009B211C"/>
    <w:pPr>
      <w:tabs>
        <w:tab w:val="left" w:pos="2268"/>
      </w:tabs>
      <w:ind w:left="2268" w:hanging="2268"/>
    </w:pPr>
    <w:rPr>
      <w:rFonts w:eastAsia="Times New Roman" w:cs="Times New Roman"/>
      <w:szCs w:val="20"/>
      <w:lang w:val="en-US"/>
    </w:rPr>
  </w:style>
  <w:style w:type="paragraph" w:customStyle="1" w:styleId="CaptionFigureWide">
    <w:name w:val="CaptionFigur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Listnumberdoublelinefourlevels">
    <w:name w:val="List number double line four levels"/>
    <w:basedOn w:val="Normal"/>
    <w:uiPriority w:val="4"/>
    <w:rsid w:val="009B211C"/>
    <w:pPr>
      <w:numPr>
        <w:numId w:val="15"/>
      </w:numPr>
      <w:tabs>
        <w:tab w:val="clear" w:pos="1247"/>
        <w:tab w:val="clear" w:pos="2552"/>
        <w:tab w:val="clear" w:pos="3856"/>
        <w:tab w:val="clear" w:pos="5216"/>
        <w:tab w:val="clear" w:pos="6464"/>
        <w:tab w:val="clear" w:pos="7768"/>
      </w:tabs>
    </w:pPr>
  </w:style>
  <w:style w:type="paragraph" w:customStyle="1" w:styleId="Referencelist">
    <w:name w:val="Reference list"/>
    <w:basedOn w:val="Normal"/>
    <w:uiPriority w:val="6"/>
    <w:qFormat/>
    <w:rsid w:val="009B211C"/>
    <w:pPr>
      <w:numPr>
        <w:numId w:val="16"/>
      </w:numPr>
      <w:tabs>
        <w:tab w:val="clear" w:pos="7768"/>
      </w:tabs>
    </w:pPr>
  </w:style>
  <w:style w:type="paragraph" w:customStyle="1" w:styleId="Listabcdoublelinewide">
    <w:name w:val="List abc double line (wide)"/>
    <w:basedOn w:val="Normal"/>
    <w:uiPriority w:val="5"/>
    <w:rsid w:val="000E0F11"/>
    <w:pPr>
      <w:numPr>
        <w:numId w:val="18"/>
      </w:numPr>
      <w:tabs>
        <w:tab w:val="clear" w:pos="1247"/>
        <w:tab w:val="clear" w:pos="2552"/>
        <w:tab w:val="clear" w:pos="3856"/>
        <w:tab w:val="clear" w:pos="5216"/>
        <w:tab w:val="clear" w:pos="6464"/>
        <w:tab w:val="clear" w:pos="7768"/>
      </w:tabs>
    </w:pPr>
  </w:style>
  <w:style w:type="paragraph" w:customStyle="1" w:styleId="Listabcsinglelinewide">
    <w:name w:val="List abc single line (wide)"/>
    <w:basedOn w:val="Normal"/>
    <w:uiPriority w:val="5"/>
    <w:rsid w:val="000E0F11"/>
    <w:pPr>
      <w:numPr>
        <w:numId w:val="19"/>
      </w:numPr>
      <w:tabs>
        <w:tab w:val="clear" w:pos="1247"/>
        <w:tab w:val="clear" w:pos="2552"/>
        <w:tab w:val="clear" w:pos="3856"/>
        <w:tab w:val="clear" w:pos="5216"/>
        <w:tab w:val="clear" w:pos="6464"/>
        <w:tab w:val="clear" w:pos="7768"/>
      </w:tabs>
      <w:spacing w:after="0"/>
    </w:pPr>
  </w:style>
  <w:style w:type="paragraph" w:customStyle="1" w:styleId="Listnumberdoublelinewide">
    <w:name w:val="List number double line (wide)"/>
    <w:basedOn w:val="Normal"/>
    <w:uiPriority w:val="4"/>
    <w:rsid w:val="000E0F11"/>
    <w:pPr>
      <w:numPr>
        <w:numId w:val="20"/>
      </w:numPr>
      <w:tabs>
        <w:tab w:val="clear" w:pos="1247"/>
        <w:tab w:val="clear" w:pos="2552"/>
        <w:tab w:val="clear" w:pos="3856"/>
        <w:tab w:val="clear" w:pos="5216"/>
        <w:tab w:val="clear" w:pos="6464"/>
        <w:tab w:val="clear" w:pos="7768"/>
      </w:tabs>
    </w:pPr>
  </w:style>
  <w:style w:type="paragraph" w:customStyle="1" w:styleId="Listnumbersinglelinewide">
    <w:name w:val="List number single line (wide)"/>
    <w:basedOn w:val="Normal"/>
    <w:uiPriority w:val="4"/>
    <w:rsid w:val="000E0F11"/>
    <w:pPr>
      <w:numPr>
        <w:numId w:val="21"/>
      </w:numPr>
      <w:tabs>
        <w:tab w:val="clear" w:pos="1247"/>
        <w:tab w:val="clear" w:pos="2552"/>
        <w:tab w:val="clear" w:pos="3856"/>
        <w:tab w:val="clear" w:pos="5216"/>
        <w:tab w:val="clear" w:pos="6464"/>
        <w:tab w:val="clear" w:pos="7768"/>
      </w:tabs>
      <w:spacing w:after="0"/>
    </w:pPr>
  </w:style>
  <w:style w:type="paragraph" w:customStyle="1" w:styleId="CaptionEquation">
    <w:name w:val="CaptionEquation"/>
    <w:basedOn w:val="CaptionEquationWide"/>
    <w:next w:val="Normal"/>
    <w:uiPriority w:val="8"/>
    <w:rsid w:val="00911808"/>
  </w:style>
  <w:style w:type="paragraph" w:customStyle="1" w:styleId="CaptionFigure">
    <w:name w:val="CaptionFigure"/>
    <w:basedOn w:val="CaptionEquation"/>
    <w:next w:val="Normal"/>
    <w:uiPriority w:val="8"/>
    <w:rsid w:val="00911808"/>
  </w:style>
  <w:style w:type="paragraph" w:customStyle="1" w:styleId="CaptionTable">
    <w:name w:val="CaptionTable"/>
    <w:basedOn w:val="CaptionFigure"/>
    <w:next w:val="Normal"/>
    <w:uiPriority w:val="8"/>
    <w:rsid w:val="00911808"/>
  </w:style>
  <w:style w:type="paragraph" w:customStyle="1" w:styleId="Listabcsingleline">
    <w:name w:val="List abc single line"/>
    <w:basedOn w:val="Normal"/>
    <w:uiPriority w:val="5"/>
    <w:rsid w:val="001B4A75"/>
    <w:pPr>
      <w:numPr>
        <w:numId w:val="24"/>
      </w:numPr>
      <w:spacing w:after="0"/>
    </w:pPr>
  </w:style>
  <w:style w:type="paragraph" w:customStyle="1" w:styleId="Listabcdoubleline">
    <w:name w:val="List abc double line"/>
    <w:basedOn w:val="Normal"/>
    <w:uiPriority w:val="5"/>
    <w:rsid w:val="001B4A75"/>
    <w:pPr>
      <w:numPr>
        <w:numId w:val="25"/>
      </w:numPr>
    </w:pPr>
  </w:style>
  <w:style w:type="paragraph" w:customStyle="1" w:styleId="Listnumberdoubleline">
    <w:name w:val="List number double line"/>
    <w:basedOn w:val="Normal"/>
    <w:uiPriority w:val="4"/>
    <w:qFormat/>
    <w:rsid w:val="001B4A75"/>
    <w:pPr>
      <w:numPr>
        <w:numId w:val="26"/>
      </w:numPr>
    </w:pPr>
  </w:style>
  <w:style w:type="paragraph" w:customStyle="1" w:styleId="Listnumbersingleline">
    <w:name w:val="List number single line"/>
    <w:basedOn w:val="Normal"/>
    <w:uiPriority w:val="4"/>
    <w:rsid w:val="001B4A75"/>
    <w:pPr>
      <w:numPr>
        <w:numId w:val="27"/>
      </w:numPr>
      <w:spacing w:after="0"/>
    </w:pPr>
  </w:style>
  <w:style w:type="paragraph" w:customStyle="1" w:styleId="Contents">
    <w:name w:val="Contents"/>
    <w:next w:val="Text"/>
    <w:rsid w:val="00F129A9"/>
    <w:pPr>
      <w:spacing w:before="240" w:after="120"/>
      <w:ind w:left="2552"/>
    </w:pPr>
    <w:rPr>
      <w:rFonts w:ascii="Arial" w:eastAsia="Times New Roman" w:hAnsi="Arial" w:cs="Times New Roman"/>
      <w:b/>
      <w:noProof/>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B8E4BE-E541-4E1D-9D6E-6373A30191D6}"/>
      </w:docPartPr>
      <w:docPartBody>
        <w:p w:rsidR="00564611" w:rsidRDefault="00F90CE6">
          <w:r w:rsidRPr="006A0527">
            <w:rPr>
              <w:rStyle w:val="PlaceholderText"/>
            </w:rPr>
            <w:t>Click or tap here to enter text.</w:t>
          </w:r>
        </w:p>
      </w:docPartBody>
    </w:docPart>
    <w:docPart>
      <w:docPartPr>
        <w:name w:val="E162B836BF7E4D28A50547614106E868"/>
        <w:category>
          <w:name w:val="General"/>
          <w:gallery w:val="placeholder"/>
        </w:category>
        <w:types>
          <w:type w:val="bbPlcHdr"/>
        </w:types>
        <w:behaviors>
          <w:behavior w:val="content"/>
        </w:behaviors>
        <w:guid w:val="{EC46B823-E3CC-41CB-A5C6-EABD1E0C9E9E}"/>
      </w:docPartPr>
      <w:docPartBody>
        <w:p w:rsidR="002B0A62" w:rsidRDefault="00B94A2C" w:rsidP="00B94A2C">
          <w:pPr>
            <w:pStyle w:val="E162B836BF7E4D28A50547614106E868"/>
          </w:pPr>
          <w:r w:rsidRPr="006A0527">
            <w:rPr>
              <w:rStyle w:val="PlaceholderText"/>
            </w:rPr>
            <w:t>Click or tap here to enter text.</w:t>
          </w:r>
        </w:p>
      </w:docPartBody>
    </w:docPart>
    <w:docPart>
      <w:docPartPr>
        <w:name w:val="D57BF800E27E416EBA0C6A5329CD0BDA"/>
        <w:category>
          <w:name w:val="General"/>
          <w:gallery w:val="placeholder"/>
        </w:category>
        <w:types>
          <w:type w:val="bbPlcHdr"/>
        </w:types>
        <w:behaviors>
          <w:behavior w:val="content"/>
        </w:behaviors>
        <w:guid w:val="{13C358B4-157A-4E4D-B669-5B2E14FF2495}"/>
      </w:docPartPr>
      <w:docPartBody>
        <w:p w:rsidR="002B0A62" w:rsidRDefault="00B94A2C" w:rsidP="00B94A2C">
          <w:pPr>
            <w:pStyle w:val="D57BF800E27E416EBA0C6A5329CD0BDA"/>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Ericsson Hilda">
    <w:altName w:val="Calibri"/>
    <w:panose1 w:val="00000500000000000000"/>
    <w:charset w:val="00"/>
    <w:family w:val="auto"/>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0493B"/>
    <w:rsid w:val="000404AD"/>
    <w:rsid w:val="00043E39"/>
    <w:rsid w:val="00044497"/>
    <w:rsid w:val="000444C5"/>
    <w:rsid w:val="00060032"/>
    <w:rsid w:val="000C30FC"/>
    <w:rsid w:val="000E7D95"/>
    <w:rsid w:val="00147239"/>
    <w:rsid w:val="00170C68"/>
    <w:rsid w:val="00181544"/>
    <w:rsid w:val="001B5519"/>
    <w:rsid w:val="001E3D19"/>
    <w:rsid w:val="00213FF4"/>
    <w:rsid w:val="00220D96"/>
    <w:rsid w:val="00245D38"/>
    <w:rsid w:val="00256A57"/>
    <w:rsid w:val="00265F61"/>
    <w:rsid w:val="002B0A62"/>
    <w:rsid w:val="002B4402"/>
    <w:rsid w:val="002C7641"/>
    <w:rsid w:val="002E03DD"/>
    <w:rsid w:val="003329E4"/>
    <w:rsid w:val="003821E4"/>
    <w:rsid w:val="00382453"/>
    <w:rsid w:val="003A3E39"/>
    <w:rsid w:val="003C6F05"/>
    <w:rsid w:val="003D7BA5"/>
    <w:rsid w:val="003E21F8"/>
    <w:rsid w:val="004D151B"/>
    <w:rsid w:val="005603F9"/>
    <w:rsid w:val="00564611"/>
    <w:rsid w:val="00591503"/>
    <w:rsid w:val="005B152F"/>
    <w:rsid w:val="005D4975"/>
    <w:rsid w:val="005E4AA1"/>
    <w:rsid w:val="005E66E9"/>
    <w:rsid w:val="005F527F"/>
    <w:rsid w:val="006322CC"/>
    <w:rsid w:val="006B66F6"/>
    <w:rsid w:val="006C43F3"/>
    <w:rsid w:val="006F6664"/>
    <w:rsid w:val="00714249"/>
    <w:rsid w:val="007261E1"/>
    <w:rsid w:val="00745567"/>
    <w:rsid w:val="00775E07"/>
    <w:rsid w:val="007A066D"/>
    <w:rsid w:val="007D54FC"/>
    <w:rsid w:val="007F10F8"/>
    <w:rsid w:val="008400D7"/>
    <w:rsid w:val="0084135F"/>
    <w:rsid w:val="0084672C"/>
    <w:rsid w:val="00890E37"/>
    <w:rsid w:val="008B75D0"/>
    <w:rsid w:val="008C09C2"/>
    <w:rsid w:val="008E4ACE"/>
    <w:rsid w:val="008F5F2E"/>
    <w:rsid w:val="008F763F"/>
    <w:rsid w:val="009343AD"/>
    <w:rsid w:val="00957D47"/>
    <w:rsid w:val="009A5ED5"/>
    <w:rsid w:val="009C36AB"/>
    <w:rsid w:val="009D6B90"/>
    <w:rsid w:val="00A1141F"/>
    <w:rsid w:val="00A114CD"/>
    <w:rsid w:val="00A31D32"/>
    <w:rsid w:val="00A34A1B"/>
    <w:rsid w:val="00A6014D"/>
    <w:rsid w:val="00A85BB6"/>
    <w:rsid w:val="00AA7723"/>
    <w:rsid w:val="00AB06F2"/>
    <w:rsid w:val="00AB5E55"/>
    <w:rsid w:val="00B049C9"/>
    <w:rsid w:val="00B26AC6"/>
    <w:rsid w:val="00B27709"/>
    <w:rsid w:val="00B70EC6"/>
    <w:rsid w:val="00B94A2C"/>
    <w:rsid w:val="00B96921"/>
    <w:rsid w:val="00BB1370"/>
    <w:rsid w:val="00C215A4"/>
    <w:rsid w:val="00C421D6"/>
    <w:rsid w:val="00C56B42"/>
    <w:rsid w:val="00C56B5B"/>
    <w:rsid w:val="00C62F8C"/>
    <w:rsid w:val="00C72D4A"/>
    <w:rsid w:val="00CD3C51"/>
    <w:rsid w:val="00CF2E4E"/>
    <w:rsid w:val="00D936D9"/>
    <w:rsid w:val="00DF0B83"/>
    <w:rsid w:val="00DF2EEA"/>
    <w:rsid w:val="00E14C62"/>
    <w:rsid w:val="00E25A5C"/>
    <w:rsid w:val="00E57E4C"/>
    <w:rsid w:val="00E8371F"/>
    <w:rsid w:val="00E84FD6"/>
    <w:rsid w:val="00E87A9F"/>
    <w:rsid w:val="00E96C26"/>
    <w:rsid w:val="00ED00EF"/>
    <w:rsid w:val="00F06CE5"/>
    <w:rsid w:val="00F24A66"/>
    <w:rsid w:val="00F25B76"/>
    <w:rsid w:val="00F66BB2"/>
    <w:rsid w:val="00F73669"/>
    <w:rsid w:val="00F73821"/>
    <w:rsid w:val="00F90CE6"/>
    <w:rsid w:val="00FA0AEE"/>
    <w:rsid w:val="00FC1889"/>
    <w:rsid w:val="00FC2E80"/>
    <w:rsid w:val="00FE77E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36AB"/>
    <w:rPr>
      <w:color w:val="auto"/>
    </w:rPr>
  </w:style>
  <w:style w:type="paragraph" w:customStyle="1" w:styleId="E162B836BF7E4D28A50547614106E868">
    <w:name w:val="E162B836BF7E4D28A50547614106E868"/>
    <w:rsid w:val="00B94A2C"/>
  </w:style>
  <w:style w:type="paragraph" w:customStyle="1" w:styleId="D57BF800E27E416EBA0C6A5329CD0BDA">
    <w:name w:val="D57BF800E27E416EBA0C6A5329CD0BDA"/>
    <w:rsid w:val="00B94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Ericsson">
      <a:dk1>
        <a:srgbClr val="181818"/>
      </a:dk1>
      <a:lt1>
        <a:srgbClr val="FFFFFF"/>
      </a:lt1>
      <a:dk2>
        <a:srgbClr val="181818"/>
      </a:dk2>
      <a:lt2>
        <a:srgbClr val="E0E0E0"/>
      </a:lt2>
      <a:accent1>
        <a:srgbClr val="0082F0"/>
      </a:accent1>
      <a:accent2>
        <a:srgbClr val="0FC373"/>
      </a:accent2>
      <a:accent3>
        <a:srgbClr val="AF78D2"/>
      </a:accent3>
      <a:accent4>
        <a:srgbClr val="FAD22D"/>
      </a:accent4>
      <a:accent5>
        <a:srgbClr val="FF8C0A"/>
      </a:accent5>
      <a:accent6>
        <a:srgbClr val="FF3232"/>
      </a:accent6>
      <a:hlink>
        <a:srgbClr val="0082F0"/>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type":"richTextContentControl","id":"ad89b48d-014c-40c7-af8f-9fd3e298a80c","elementConfiguration":{"binding":"Form.ConfidentialityClass.Confidentiality","removeAndKeepContent":false,"disableUpdates":false,"type":"text"}},{"type":"richTextContentControl","id":"ced1921e-d18f-4418-b96d-c9c63bf7e57f","elementConfiguration":{"binding":"Form.ExternalConfidentialityLabel.ExternalConfidentiality","removeAndKeepContent":false,"disableUpdates":false,"type":"text"}},{"type":"richTextContentControl","id":"d0414304-06e2-4f31-95a0-8adc51c26448","elementConfiguration":{"binding":"Form.Prepared","removeAndKeepContent":false,"disableUpdates":false,"type":"text"}},{"type":"richTextContentControl","id":"40d8dee2-f9f2-4615-a7ba-231b9495a35c","elementConfiguration":{"binding":"Form.ApprovedBy","removeAndKeepContent":false,"disableUpdates":false,"type":"text"}},{"type":"richTextContentControl","id":"e58f0444-0808-4eaa-8315-daadb390c65c","elementConfiguration":{"binding":"Form.Checked","removeAndKeepContent":false,"disableUpdates":false,"type":"text"}},{"type":"richTextContentControl","id":"58553998-53c9-4422-8340-8e298fdc3146","elementConfiguration":{"binding":"Form.DocumentNumber","removeAndKeepContent":false,"disableUpdates":false,"type":"text"}},{"type":"richTextContentControl","id":"036d656d-7189-48b6-beae-c7abbca80960","elementConfiguration":{"binding":"Form.LanguageCode.LanguageCode","visibility":{"action":"hide","binding":"Form.DocumentNumber","operator":"equals","compareValue":""},"removeAndKeepContent":false,"disableUpdates":false,"type":"text"}},{"type":"richTextContentControl","id":"d9f9b7b1-17d8-41cf-884a-723f97ab1a63","elementConfiguration":{"binding":"Form.Revision","removeAndKeepContent":false,"disableUpdates":false,"type":"text"}},{"type":"richTextContentControl","id":"bc8ec6c0-188f-4a7c-9db3-b93b76423af5","elementConfiguration":{"format":"{{DateFormats.GeneralDate}}","binding":"Form.Date","removeAndKeepContent":false,"disableUpdates":false,"type":"date"}},{"type":"richTextContentControl","id":"f987c7bb-ff97-40b6-a49a-7f7574e33137","elementConfiguration":{"binding":"Form.Reference","removeAndKeepContent":false,"disableUpdates":false,"type":"text"}},{"type":"richTextContentControl","id":"8a09d276-8c59-44e7-93e8-4e44fee32744","elementConfiguration":{"binding":"Form.ConfidentialityClass.Confidentiality","visibility":{"action":"hide","operator":"equals","compareValue":"None"},"removeAndKeepContent":false,"disableUpdates":false,"type":"text"}},{"type":"richTextContentControl","id":"4f5f3efc-ac2a-45d7-b5f7-4f269200cba4","elementConfiguration":{"binding":"Form.ExternalConfidentialityLabel.ExternalConfidentiality","visibility":{"action":"hide","operator":"equals","compareValue":"None"},"removeAndKeepContent":false,"disableUpdates":false,"type":"text"}},{"type":"richTextContentControl","id":"a2b15923-47d2-4622-a41c-84d70ad4244f","elementConfiguration":{"binding":"Form.Prepared","removeAndKeepContent":false,"disableUpdates":false,"type":"text"}},{"type":"richTextContentControl","id":"09574352-3a59-464e-bab2-2e0ab1370a9b","elementConfiguration":{"binding":"Form.ApprovedBy","removeAndKeepContent":false,"disableUpdates":false,"type":"text"}},{"type":"richTextContentControl","id":"2c69f603-efd7-435a-bc47-ac0d79d274e8","elementConfiguration":{"binding":"Form.Checked","removeAndKeepContent":false,"disableUpdates":false,"type":"text"}},{"type":"richTextContentControl","id":"2f23c7b3-385e-4248-a04d-62a74bc26cbe","elementConfiguration":{"binding":"Form.DocumentNumber","removeAndKeepContent":false,"disableUpdates":false,"type":"text"}},{"type":"richTextContentControl","id":"820facb6-7fec-4301-95be-deb6115560f4","elementConfiguration":{"binding":"Form.LanguageCode.LanguageCode","visibility":{"action":"hide","binding":"Form.DocumentNumber","operator":"equals","compareValue":""},"removeAndKeepContent":false,"disableUpdates":false,"type":"text"}},{"type":"richTextContentControl","id":"4b77a2c6-c330-4a36-96b3-c753f76423ba","elementConfiguration":{"binding":"Form.Revision","removeAndKeepContent":false,"disableUpdates":false,"type":"text"}},{"type":"richTextContentControl","id":"5c851a04-7ce4-4219-8f0d-4bd5bdfbc872","elementConfiguration":{"format":"{{DateFormats.GeneralDate}}","binding":"Form.Date","removeAndKeepContent":false,"disableUpdates":false,"type":"date"}},{"type":"richTextContentControl","id":"b02bf175-a280-4a26-a8eb-dda8187e4ba6","elementConfiguration":{"binding":"Form.Reference","removeAndKeepContent":false,"disableUpdates":false,"type":"text"}},{"type":"richTextContentControl","id":"6d2844f5-ecaf-4de9-9b63-7ceaae91eabe","elementConfiguration":{"binding":"Form.AdministrativeInformation","visibility":{"action":"hide","operator":"equals","compareValue":""},"removeAndKeepContent":false,"disableUpdates":false,"type":"text"}},{"type":"richTextContentControl","id":"a6aa3b4a-1b7e-409e-aeff-8b030348b665","elementConfiguration":{"binding":"Form.DocumentTitle","removeAndKeepContent":false,"disableUpdates":false,"type":"text"}}],"transformationConfigurations":[{"propertyName":"SecurityClass","propertyValue":"{{Form.ConfidentialityClass.Confidentiality}}","disableUpdates":false,"type":"customDocumentProperty"},{"propertyName":"ExtConf","propertyValue":"{{Form.ExternalConfidentialityLabel.ExternalConfidentiality}}","disableUpdates":false,"type":"customDocumentProperty"},{"propertyName":"Prepared","propertyValue":"{{Form.Prepared}}","disableUpdates":false,"type":"customDocumentProperty"},{"propertyName":"ApprovedBy","propertyValue":"{{Form.ApprovedBy}}","disableUpdates":false,"type":"customDocumentProperty"},{"propertyName":"Checked","propertyValue":"{{Form.Checked}}","disableUpdates":false,"type":"customDocumentProperty"},{"propertyName":"Date","propertyValue":"{{Form.Date}}","disableUpdates":false,"type":"customDocumentProperty"},{"propertyName":"Reference","propertyValue":"{{Form.Reference}}","disableUpdates":false,"type":"customDocumentProperty"},{"propertyName":"Title","propertyValue":"{{Form.DocumentTitle}}","disableUpdates":false,"type":"customDocumentProperty"},{"propertyName":"Keyword","propertyValue":"{{Form.Keywords}}","disableUpdates":false,"type":"customDocumentProperty"},{"propertyName":"DocNo","propertyValue":"{{Form.DocumentNumber}}","disableUpdates":false,"type":"customDocumentProperty"},{"propertyName":"AdmInfo","propertyValue":"{{Form.AdministrativeInformation}}","disableUpdates":false,"type":"customDocumentProperty"},{"propertyName":"Language","propertyValue":"EnglishUS","disableUpdates":false,"type":"customDocumentProperty"},{"propertyName":"TemplateID","propertyValue":"FALSE","disableUpdates":false,"type":"customDocumentProperty"},{"propertyName":"ConfCtrl","propertyValue":"FALSE","disableUpdates":false,"type":"customDocumentProperty"},{"propertyName":"Conf","propertyValue":"{{Form.ConfidentialityClass.Confidentiality}}","disableUpdates":false,"type":"customDocumentProperty"},{"propertyName":"TemplateName","propertyValue":"CXC 172 4735/5","disableUpdates":false,"type":"customDocumentProperty"},{"propertyName":"TemplateVersion","propertyValue":"R3A","disableUpdates":false,"type":"customDocumentProperty"},{"propertyName":"title","propertyValue":"{{Form.DocumentTitle}}","disableUpdates":false,"type":"documentProperty"},{"propertyName":"keywords","propertyValue":"{{Form.Keywords}}","disableUpdates":false,"type":"documentProperty"},{"propertyName":"creator","propertyValue":"{{Form.Prepared}}","disableUpdates":false,"type":"documentProperty"},{"propertyName":"company","propertyValue":"Ericsson","disableUpdates":false,"type":"documentProperty"},{"propertyName":"Revision","propertyValue":"{{Form.Revision}}","disableUpdates":false,"type":"customDocumentProperty"},{"propertyName":"description","propertyValue":"{{Form.DocumentNumber}}\nRev {{Form.Revision}}","disableUpdates":false,"type":"documentProperty"},{"propertyName":"DocumentType","propertyValue":"StandardPortrait","disableUpdates":false,"type":"customDocumentProperty"},{"paperWidth":"{{Form.PageSetup.PaperWidth}}","paperHeight":"{{Form.PageSetup.PaperHeight}}","originalValues":{"topMargin":2722,"rightMargin":737,"bottomMargin":1418,"leftMargin":2495,"gutter":0,"gutterPosition":"left","orientation":"portrait","paperWidth":11906,"paperHeight":16838,"headerFromEdge":601,"footerFromEdge":720},"disableUpdates":true,"type":"pageSetup"},{"language":"{{DocumentLanguage}}","disableUpdates":true,"type":"proofingLanguage"}],"isBaseTemplate":false,"templateName":"User Guide","templateDescription":"Description manual to users on how to use the system","enableDocumentContentUpdater":true,"version":"1.10"}]]></TemplafyTemplateConfiguration>
</file>

<file path=customXml/item2.xml><?xml version="1.0" encoding="utf-8"?>
<Sources xmlns:b="http://schemas.openxmlformats.org/officeDocument/2006/bibliography" xmlns="http://schemas.openxmlformats.org/officeDocument/2006/bibliography" SelectedStyle="\APASixthEditionOfficeOnline.xsl" StyleName="APA" Version="6"/>
</file>

<file path=customXml/item3.xml><?xml version="1.0" encoding="utf-8"?>
<TemplafyFormConfiguration><![CDATA[{"formFields":[{"dataSource":"Page Setup","displayColumn":"paperSize","hideIfNoUserInteractionRequired":false,"distinct":true,"required":false,"autoSelectFirstOption":true,"helpTexts":{"prefix":"","postfix":""},"spacing":{},"type":"dropDown","name":"PageSetup","label":"Page Setup (Word)","fullyQualifiedName":"PageSetup"},{"required":true,"placeholder":"","lines":0,"helpTexts":{"prefix":"","postfix":""},"spacing":{},"type":"textBox","name":"DocumentTitle","label":"Document Title","fullyQualifiedName":"DocumentTitle"},{"dataSource":"Confidentiality","displayColumn":"confidentiality","defaultValue":"1","hideIfNoUserInteractionRequired":false,"distinct":true,"required":true,"autoSelectFirstOption":false,"helpTexts":{"prefix":"","postfix":""},"spacing":{},"type":"dropDown","name":"ConfidentialityClass","label":"Confidentiality Class","fullyQualifiedName":"ConfidentialityClass"},{"dataSource":"External Confidentiality label","displayColumn":"externalConfidentiality","hideIfNoUserInteractionRequired":false,"distinct":true,"required":false,"autoSelectFirstOption":false,"helpTexts":{"prefix":"","postfix":"(If no external confidentiality class then please choose the blank value)"},"spacing":{},"type":"dropDown","name":"ExternalConfidentialityLabel","label":"External Confidentiality label","fullyQualifiedName":"ExternalConfidentialityLabel"},{"required":false,"placeholder":"","lines":0,"helpTexts":{"prefix":"","postfix":"(Commonly assigned by EriDoc)"},"spacing":{},"type":"textBox","name":"DocumentNumber","label":"Document Number","fullyQualifiedName":"DocumentNumber"},{"dataSource":"Language code","displayColumn":"showName","defaultValue":"1","hideIfNoUserInteractionRequired":false,"distinct":true,"required":false,"autoSelectFirstOption":false,"helpTexts":{"prefix":"","postfix":"(The language code will be appended to the Document No.)"},"spacing":{},"type":"dropDown","name":"LanguageCode","label":"Language Code","fullyQualifiedName":"LanguageCode"},{"column":"revision","required":false,"placeholder":"","autoSelectFirstOption":false,"helpTexts":{"prefix":"","postfix":""},"spacing":{},"dataSource":"Revision","type":"comboBox","name":"Revision","label":"Revision","fullyQualifiedName":"Revision"},{"required":false,"helpTexts":{"prefix":"","postfix":""},"spacing":{},"type":"datePicker","name":"Date","label":"Date","fullyQualifiedName":"Date"},{"required":false,"placeholder":"","lines":0,"defaultValue":"{{UserProfile.Prepared}}","helpTexts":{"prefix":"","postfix":""},"spacing":{},"type":"textBox","name":"Prepared","label":"Prepared By (Subject Responsible)","fullyQualifiedName":"Prepared"},{"required":false,"placeholder":"","lines":0,"helpTexts":{"prefix":"","postfix":""},"spacing":{},"type":"textBox","name":"ApprovedBy","label":"Approved By (Document Responsible)","fullyQualifiedName":"ApprovedBy"},{"required":false,"placeholder":"","lines":0,"helpTexts":{"prefix":"","postfix":""},"spacing":{},"type":"textBox","name":"Checked","label":"Checked","fullyQualifiedName":"Checked"},{"required":false,"placeholder":"","lines":0,"helpTexts":{"prefix":"","postfix":"(Overwritten with EriDoc values at check-in)"},"spacing":{},"type":"textBox","name":"Reference","label":"Reference","fullyQualifiedName":"Reference"},{"required":false,"placeholder":"","lines":0,"helpTexts":{"prefix":"","postfix":""},"spacing":{},"type":"textBox","name":"Keywords","label":"Keywords","fullyQualifiedName":"Keywords"},{"required":false,"placeholder":"","lines":2,"helpTexts":{"prefix":"","postfix":""},"spacing":{},"type":"textBox","name":"AdministrativeInformation","label":"Administrative information","fullyQualifiedName":"AdministrativeInformation"}],"formDataEntries":[{"name":"PageSetup","value":"5wlu7ZdPxHQj1W0w+yTNSg=="},{"name":"DocumentTitle","value":"5TGKYQkGAxnZSfzGM/1PcGf6MF15thoq4ZC1viM/C/zf0VGbcruhlAheboic+h20"},{"name":"ConfidentialityClass","value":"5wlu7ZdPxHQj1W0w+yTNSg=="},{"name":"DocumentNumber","value":"r9d8iidRBMJoWoSawp+LrA=="},{"name":"LanguageCode","value":"5wlu7ZdPxHQj1W0w+yTNSg=="},{"name":"Revision","value":"McRZznB02w7visdFQkartg=="},{"name":"Date","value":"1StavQJeFtFQMrPw40n+eA=="},{"name":"Prepared","value":"mzuQayBTZwT71fJu9dMR/6x+7Gw1ms1Uedq3KCgFs0A="},{"name":"ApprovedBy","value":"McRZznB02w7visdFQkartg=="},{"name":"Checked","value":"McRZznB02w7visdFQkartg=="},{"name":"Reference","value":"McRZznB02w7visdFQkartg=="}]}]]></TemplafyFormConfiguration>
</file>

<file path=customXml/itemProps1.xml><?xml version="1.0" encoding="utf-8"?>
<ds:datastoreItem xmlns:ds="http://schemas.openxmlformats.org/officeDocument/2006/customXml" ds:itemID="{AB6DF92D-4215-48A5-9096-9434B4572EB0}">
  <ds:schemaRefs/>
</ds:datastoreItem>
</file>

<file path=customXml/itemProps2.xml><?xml version="1.0" encoding="utf-8"?>
<ds:datastoreItem xmlns:ds="http://schemas.openxmlformats.org/officeDocument/2006/customXml" ds:itemID="{9B942C15-E326-4C95-863E-581AC8737977}">
  <ds:schemaRefs>
    <ds:schemaRef ds:uri="http://schemas.openxmlformats.org/officeDocument/2006/bibliography"/>
  </ds:schemaRefs>
</ds:datastoreItem>
</file>

<file path=customXml/itemProps3.xml><?xml version="1.0" encoding="utf-8"?>
<ds:datastoreItem xmlns:ds="http://schemas.openxmlformats.org/officeDocument/2006/customXml" ds:itemID="{F868E80E-0F5D-4B2F-8B75-DF6F6F7E5859}">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89</TotalTime>
  <Pages>3</Pages>
  <Words>62</Words>
  <Characters>411</Characters>
  <Application>Microsoft Office Word</Application>
  <DocSecurity>0</DocSecurity>
  <Lines>19</Lines>
  <Paragraphs>9</Paragraphs>
  <ScaleCrop>false</ScaleCrop>
  <HeadingPairs>
    <vt:vector size="2" baseType="variant">
      <vt:variant>
        <vt:lpstr>Title</vt:lpstr>
      </vt:variant>
      <vt:variant>
        <vt:i4>1</vt:i4>
      </vt:variant>
    </vt:vector>
  </HeadingPairs>
  <TitlesOfParts>
    <vt:vector size="1" baseType="lpstr">
      <vt:lpstr>SSB Retuning Automations - User Guide</vt:lpstr>
    </vt:vector>
  </TitlesOfParts>
  <Company>Ericsson</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User Guide - SSB Retuning Automations</dc:title>
  <dc:creator>EJAITUR Jaime Tur</dc:creator>
  <cp:keywords/>
  <dc:description>PA
Rev  </dc:description>
  <cp:lastModifiedBy>Jaime Tur</cp:lastModifiedBy>
  <cp:revision>43</cp:revision>
  <dcterms:created xsi:type="dcterms:W3CDTF">2026-01-29T21:58:00Z</dcterms:created>
  <dcterms:modified xsi:type="dcterms:W3CDTF">2026-02-18T03:08:00Z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entity">
    <vt:lpwstr> </vt:lpwstr>
  </property>
  <property fmtid="{D5CDD505-2E9C-101B-9397-08002B2CF9AE}" pid="3" name="SecurityClass">
    <vt:lpwstr>Ericsson Internal</vt:lpwstr>
  </property>
  <property fmtid="{D5CDD505-2E9C-101B-9397-08002B2CF9AE}" pid="4" name="ExtConf">
    <vt:lpwstr/>
  </property>
  <property fmtid="{D5CDD505-2E9C-101B-9397-08002B2CF9AE}" pid="5" name="Checked">
    <vt:lpwstr> </vt:lpwstr>
  </property>
  <property fmtid="{D5CDD505-2E9C-101B-9397-08002B2CF9AE}" pid="6" name="Reference">
    <vt:lpwstr> </vt:lpwstr>
  </property>
  <property fmtid="{D5CDD505-2E9C-101B-9397-08002B2CF9AE}" pid="7" name="Keyword">
    <vt:lpwstr/>
  </property>
  <property fmtid="{D5CDD505-2E9C-101B-9397-08002B2CF9AE}" pid="8" name="AdmInfo">
    <vt:lpwstr/>
  </property>
  <property fmtid="{D5CDD505-2E9C-101B-9397-08002B2CF9AE}" pid="9" name="Language">
    <vt:lpwstr>EnglishUS</vt:lpwstr>
  </property>
  <property fmtid="{D5CDD505-2E9C-101B-9397-08002B2CF9AE}" pid="10" name="TemplateID">
    <vt:lpwstr>FALSE</vt:lpwstr>
  </property>
  <property fmtid="{D5CDD505-2E9C-101B-9397-08002B2CF9AE}" pid="11" name="ConfCtrl">
    <vt:lpwstr>FALSE</vt:lpwstr>
  </property>
  <property fmtid="{D5CDD505-2E9C-101B-9397-08002B2CF9AE}" pid="12" name="Conf">
    <vt:lpwstr>Ericsson Internal</vt:lpwstr>
  </property>
  <property fmtid="{D5CDD505-2E9C-101B-9397-08002B2CF9AE}" pid="13" name="TemplateName">
    <vt:lpwstr>CXC 172 4735/5</vt:lpwstr>
  </property>
  <property fmtid="{D5CDD505-2E9C-101B-9397-08002B2CF9AE}" pid="14" name="TemplateVersion">
    <vt:lpwstr>R3A</vt:lpwstr>
  </property>
  <property fmtid="{D5CDD505-2E9C-101B-9397-08002B2CF9AE}" pid="15" name="DocumentType">
    <vt:lpwstr>StandardPortrait</vt:lpwstr>
  </property>
  <property fmtid="{D5CDD505-2E9C-101B-9397-08002B2CF9AE}" pid="16" name="DocName">
    <vt:lpwstr>TEMPLATE</vt:lpwstr>
  </property>
  <property fmtid="{D5CDD505-2E9C-101B-9397-08002B2CF9AE}" pid="17" name="BSubject">
    <vt:lpwstr>Process, Information &amp; Master Data Management</vt:lpwstr>
  </property>
  <property fmtid="{D5CDD505-2E9C-101B-9397-08002B2CF9AE}" pid="18" name="BCategory">
    <vt:lpwstr>IT &amp; Test Environments</vt:lpwstr>
  </property>
  <property fmtid="{D5CDD505-2E9C-101B-9397-08002B2CF9AE}" pid="19" name="Title">
    <vt:lpwstr>Technical User Guide - SSB Retuning Automations</vt:lpwstr>
  </property>
  <property fmtid="{D5CDD505-2E9C-101B-9397-08002B2CF9AE}" pid="20" name="DocNo">
    <vt:lpwstr>PA</vt:lpwstr>
  </property>
  <property fmtid="{D5CDD505-2E9C-101B-9397-08002B2CF9AE}" pid="21" name="DocType">
    <vt:lpwstr>User Guide</vt:lpwstr>
  </property>
  <property fmtid="{D5CDD505-2E9C-101B-9397-08002B2CF9AE}" pid="22" name="Prepared">
    <vt:lpwstr>EJAITUR Jaime Tur</vt:lpwstr>
  </property>
  <property fmtid="{D5CDD505-2E9C-101B-9397-08002B2CF9AE}" pid="23" name="Date">
    <vt:lpwstr>2026-02-15</vt:lpwstr>
  </property>
  <property fmtid="{D5CDD505-2E9C-101B-9397-08002B2CF9AE}" pid="24" name="ApprovedBy">
    <vt:lpwstr> </vt:lpwstr>
  </property>
  <property fmtid="{D5CDD505-2E9C-101B-9397-08002B2CF9AE}" pid="25" name="Revision">
    <vt:lpwstr> </vt:lpwstr>
  </property>
  <property fmtid="{D5CDD505-2E9C-101B-9397-08002B2CF9AE}" pid="26" name="TemplafyTenantId">
    <vt:lpwstr>ericsson</vt:lpwstr>
  </property>
  <property fmtid="{D5CDD505-2E9C-101B-9397-08002B2CF9AE}" pid="27" name="TemplafyTemplateId">
    <vt:lpwstr>637903483030661504</vt:lpwstr>
  </property>
  <property fmtid="{D5CDD505-2E9C-101B-9397-08002B2CF9AE}" pid="28" name="TemplafyUserProfileId">
    <vt:lpwstr>637104385324803998</vt:lpwstr>
  </property>
  <property fmtid="{D5CDD505-2E9C-101B-9397-08002B2CF9AE}" pid="29" name="TemplafyLanguageCode">
    <vt:lpwstr>en-US</vt:lpwstr>
  </property>
</Properties>
</file>