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4"/>
        </w:rPr>
        <w:t>Guia Imperativo para Estruturar o AIOS-Lite</w:t>
        <w:br/>
        <w:t>com Rules, Skills, MCPs e Subagentes</w:t>
      </w:r>
    </w:p>
    <w:p>
      <w:pPr>
        <w:spacing w:after="360"/>
        <w:jc w:val="center"/>
      </w:pPr>
      <w:r>
        <w:rPr>
          <w:i/>
          <w:sz w:val="22"/>
        </w:rPr>
        <w:t>Manual prático para ensinar a implementação do padrão e avaliar impacto em custo, qualidade e escalabilidade do Agent Squad.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vAlign w:val="center"/>
          </w:tcPr>
          <w:p>
            <w:pPr>
              <w:spacing w:after="0" w:line="264" w:lineRule="auto"/>
            </w:pPr>
            <w:r>
              <w:t>Objetivo deste documento: ensine o projeto aios-lite a separar contexto estático, capacidades reutilizáveis, integrações externas e execução paralela. Evite contexto inflado. Carregue apenas o necessário. Transforme especializações em skills e reserve subagentes para investigação e paralelismo.</w:t>
            </w:r>
          </w:p>
        </w:tc>
      </w:tr>
    </w:tbl>
    <w:p/>
    <w:p>
      <w:pPr>
        <w:pStyle w:val="Heading1"/>
      </w:pPr>
      <w:r>
        <w:t>1. Comece pela mentalidade correta</w:t>
      </w:r>
    </w:p>
    <w:p>
      <w:pPr>
        <w:spacing w:after="120" w:line="264" w:lineRule="auto"/>
      </w:pPr>
      <w:r>
        <w:t>Pare de tratar o contexto do agente como depósito de tudo. Trate o contexto como memória operacional de curto prazo. Carregue somente o que for necessário para a tarefa atual.</w:t>
      </w:r>
    </w:p>
    <w:p>
      <w:pPr>
        <w:pStyle w:val="ListBullet"/>
        <w:spacing w:after="40"/>
      </w:pPr>
      <w:r>
        <w:t>Não jogue toda a documentação no prompt base.</w:t>
      </w:r>
    </w:p>
    <w:p>
      <w:pPr>
        <w:pStyle w:val="ListBullet"/>
        <w:spacing w:after="40"/>
      </w:pPr>
      <w:r>
        <w:t>Não carregue exemplos, regras e workflows desnecessários ao iniciar a conversa.</w:t>
      </w:r>
    </w:p>
    <w:p>
      <w:pPr>
        <w:pStyle w:val="ListBullet"/>
        <w:spacing w:after="40"/>
      </w:pPr>
      <w:r>
        <w:t>Não use subagentes como substitutos de skills.</w:t>
      </w:r>
    </w:p>
    <w:p>
      <w:pPr>
        <w:pStyle w:val="ListBullet"/>
        <w:spacing w:after="40"/>
      </w:pPr>
      <w:r>
        <w:t>Não misture contexto estático com dados dinâmicos.</w:t>
      </w:r>
    </w:p>
    <w:p>
      <w:pPr>
        <w:pStyle w:val="ListBullet"/>
        <w:spacing w:after="40"/>
      </w:pPr>
      <w:r>
        <w:t>Prefira progressive disclosure: mostre ao agente só o que ele precisa no momento certo.</w:t>
      </w:r>
    </w:p>
    <w:p>
      <w:pPr>
        <w:pStyle w:val="Heading1"/>
      </w:pPr>
      <w:r>
        <w:t>2. Defina o papel de cada camada</w:t>
      </w:r>
    </w:p>
    <w:p>
      <w:pPr>
        <w:spacing w:after="120" w:line="264" w:lineRule="auto"/>
      </w:pPr>
      <w:r>
        <w:t>Implemente a arquitetura do AIOS-Lite em quatro camadas claras. Não misture responsabilidades.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t>Camada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t>Função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t>Ação imperativa no AIOS-Lite</w:t>
            </w:r>
          </w:p>
        </w:tc>
      </w:tr>
      <w:tr>
        <w:tc>
          <w:tcPr>
            <w:tcW w:type="dxa" w:w="3312"/>
            <w:vAlign w:val="center"/>
          </w:tcPr>
          <w:p>
            <w:r>
              <w:t>Rules / agents.md</w:t>
            </w:r>
          </w:p>
        </w:tc>
        <w:tc>
          <w:tcPr>
            <w:tcW w:type="dxa" w:w="3312"/>
            <w:vAlign w:val="center"/>
          </w:tcPr>
          <w:p>
            <w:r>
              <w:t>Base estática do projeto</w:t>
            </w:r>
          </w:p>
        </w:tc>
        <w:tc>
          <w:tcPr>
            <w:tcW w:type="dxa" w:w="3312"/>
            <w:vAlign w:val="center"/>
          </w:tcPr>
          <w:p>
            <w:r>
              <w:t>Explique o que é o projeto, a arquitetura de alto nível, as convenções essenciais e onde buscar documentação complementar.</w:t>
            </w:r>
          </w:p>
        </w:tc>
      </w:tr>
      <w:tr>
        <w:tc>
          <w:tcPr>
            <w:tcW w:type="dxa" w:w="3312"/>
            <w:vAlign w:val="center"/>
          </w:tcPr>
          <w:p>
            <w:r>
              <w:t>Skills</w:t>
            </w:r>
          </w:p>
        </w:tc>
        <w:tc>
          <w:tcPr>
            <w:tcW w:type="dxa" w:w="3312"/>
            <w:vAlign w:val="center"/>
          </w:tcPr>
          <w:p>
            <w:r>
              <w:t>Capacidades reutilizáveis</w:t>
            </w:r>
          </w:p>
        </w:tc>
        <w:tc>
          <w:tcPr>
            <w:tcW w:type="dxa" w:w="3312"/>
            <w:vAlign w:val="center"/>
          </w:tcPr>
          <w:p>
            <w:r>
              <w:t>Encapsule habilidades recorrentes como criar módulo, gerar testes, revisar arquitetura, montar spec, integrar API ou gerar copy.</w:t>
            </w:r>
          </w:p>
        </w:tc>
      </w:tr>
      <w:tr>
        <w:tc>
          <w:tcPr>
            <w:tcW w:type="dxa" w:w="3312"/>
            <w:vAlign w:val="center"/>
          </w:tcPr>
          <w:p>
            <w:r>
              <w:t>MCPs</w:t>
            </w:r>
          </w:p>
        </w:tc>
        <w:tc>
          <w:tcPr>
            <w:tcW w:type="dxa" w:w="3312"/>
            <w:vAlign w:val="center"/>
          </w:tcPr>
          <w:p>
            <w:r>
              <w:t>Acesso ao mundo externo</w:t>
            </w:r>
          </w:p>
        </w:tc>
        <w:tc>
          <w:tcPr>
            <w:tcW w:type="dxa" w:w="3312"/>
            <w:vAlign w:val="center"/>
          </w:tcPr>
          <w:p>
            <w:r>
              <w:t>Conecte Jira, GitHub, Confluence, APIs e outras fontes dinâmicas. Use skills para padronizar o uso desses acessos.</w:t>
            </w:r>
          </w:p>
        </w:tc>
      </w:tr>
      <w:tr>
        <w:tc>
          <w:tcPr>
            <w:tcW w:type="dxa" w:w="3312"/>
            <w:vAlign w:val="center"/>
          </w:tcPr>
          <w:p>
            <w:r>
              <w:t>Subagentes</w:t>
            </w:r>
          </w:p>
        </w:tc>
        <w:tc>
          <w:tcPr>
            <w:tcW w:type="dxa" w:w="3312"/>
            <w:vAlign w:val="center"/>
          </w:tcPr>
          <w:p>
            <w:r>
              <w:t>Execução isolada e paralela</w:t>
            </w:r>
          </w:p>
        </w:tc>
        <w:tc>
          <w:tcPr>
            <w:tcW w:type="dxa" w:w="3312"/>
            <w:vAlign w:val="center"/>
          </w:tcPr>
          <w:p>
            <w:r>
              <w:t>Delegue investigação, leitura ampla, sumarização, comparação de módulos e análise pesada sem poluir o contexto principal.</w:t>
            </w:r>
          </w:p>
        </w:tc>
      </w:tr>
    </w:tbl>
    <w:p/>
    <w:p>
      <w:pPr>
        <w:pStyle w:val="Heading1"/>
      </w:pPr>
      <w:r>
        <w:t>3. Escreva um agents.md curto e útil</w:t>
      </w:r>
    </w:p>
    <w:p>
      <w:pPr>
        <w:spacing w:after="120" w:line="264" w:lineRule="auto"/>
      </w:pPr>
      <w:r>
        <w:t>Crie um arquivo principal curto. Limite o conteúdo ao mapa do projeto. Não tente despejar toda a inteligência nele.</w:t>
      </w:r>
    </w:p>
    <w:p>
      <w:pPr>
        <w:pStyle w:val="ListBullet"/>
        <w:spacing w:after="40"/>
      </w:pPr>
      <w:r>
        <w:t>Explique em poucas linhas o propósito do AIOS-Lite.</w:t>
      </w:r>
    </w:p>
    <w:p>
      <w:pPr>
        <w:pStyle w:val="ListBullet"/>
        <w:spacing w:after="40"/>
      </w:pPr>
      <w:r>
        <w:t>Descreva os módulos principais.</w:t>
      </w:r>
    </w:p>
    <w:p>
      <w:pPr>
        <w:pStyle w:val="ListBullet"/>
        <w:spacing w:after="40"/>
      </w:pPr>
      <w:r>
        <w:t>Liste as convenções obrigatórias.</w:t>
      </w:r>
    </w:p>
    <w:p>
      <w:pPr>
        <w:pStyle w:val="ListBullet"/>
        <w:spacing w:after="40"/>
      </w:pPr>
      <w:r>
        <w:t>Aponte para documentos específicos por domínio.</w:t>
      </w:r>
    </w:p>
    <w:p>
      <w:pPr>
        <w:pStyle w:val="ListBullet"/>
        <w:spacing w:after="40"/>
      </w:pPr>
      <w:r>
        <w:t>Mantenha o arquivo enxuto o suficiente para ser carregado sem desperdiçar contexto.</w:t>
      </w:r>
    </w:p>
    <w:p>
      <w:pPr>
        <w:spacing w:after="120" w:line="264" w:lineRule="auto"/>
      </w:pPr>
      <w:r>
        <w:t>Use a seguinte lógica: o arquivo principal apresenta o mapa; os detalhes ficam em documentos especializados.</w:t>
      </w:r>
    </w:p>
    <w:p>
      <w:r>
        <w:rPr>
          <w:b/>
        </w:rPr>
        <w:t>Exemplo de índice recomendado:</w:t>
      </w:r>
    </w:p>
    <w:p>
      <w:pPr>
        <w:pStyle w:val="ListBullet"/>
        <w:spacing w:after="40"/>
        <w:ind w:left="360"/>
      </w:pPr>
      <w:r>
        <w:t>visão-geral-do-projeto.md</w:t>
      </w:r>
    </w:p>
    <w:p>
      <w:pPr>
        <w:pStyle w:val="ListBullet"/>
        <w:spacing w:after="40"/>
        <w:ind w:left="360"/>
      </w:pPr>
      <w:r>
        <w:t>backend-laravel.md</w:t>
      </w:r>
    </w:p>
    <w:p>
      <w:pPr>
        <w:pStyle w:val="ListBullet"/>
        <w:spacing w:after="40"/>
        <w:ind w:left="360"/>
      </w:pPr>
      <w:r>
        <w:t>frontend-livewire.md</w:t>
      </w:r>
    </w:p>
    <w:p>
      <w:pPr>
        <w:pStyle w:val="ListBullet"/>
        <w:spacing w:after="40"/>
        <w:ind w:left="360"/>
      </w:pPr>
      <w:r>
        <w:t>database-patterns.md</w:t>
      </w:r>
    </w:p>
    <w:p>
      <w:pPr>
        <w:pStyle w:val="ListBullet"/>
        <w:spacing w:after="40"/>
        <w:ind w:left="360"/>
      </w:pPr>
      <w:r>
        <w:t>testing-standards.md</w:t>
      </w:r>
    </w:p>
    <w:p>
      <w:pPr>
        <w:pStyle w:val="ListBullet"/>
        <w:spacing w:after="40"/>
        <w:ind w:left="360"/>
      </w:pPr>
      <w:r>
        <w:t>agent-orchestration.md</w:t>
      </w:r>
    </w:p>
    <w:p>
      <w:pPr>
        <w:pStyle w:val="ListBullet"/>
        <w:spacing w:after="40"/>
        <w:ind w:left="360"/>
      </w:pPr>
      <w:r>
        <w:t>copy-generation.md</w:t>
      </w:r>
    </w:p>
    <w:p>
      <w:pPr>
        <w:pStyle w:val="Heading1"/>
      </w:pPr>
      <w:r>
        <w:t>4. Transforme especializações em skills</w:t>
      </w:r>
    </w:p>
    <w:p>
      <w:pPr>
        <w:spacing w:after="120" w:line="264" w:lineRule="auto"/>
      </w:pPr>
      <w:r>
        <w:t>Pare de criar agentes especializados para toda tarefa recorrente. Extraia essas especializações para skills. Faça isso sempre que a necessidade principal for “saber fazer algo” e não “investigar algo em processo separado”.</w:t>
      </w:r>
    </w:p>
    <w:p>
      <w:pPr>
        <w:pStyle w:val="ListBullet"/>
        <w:spacing w:after="40"/>
      </w:pPr>
      <w:r>
        <w:t>Crie skill para gerar módulo Laravel seguindo o padrão do projeto.</w:t>
      </w:r>
    </w:p>
    <w:p>
      <w:pPr>
        <w:pStyle w:val="ListBullet"/>
        <w:spacing w:after="40"/>
      </w:pPr>
      <w:r>
        <w:t>Crie skill para montar componente Livewire padronizado.</w:t>
      </w:r>
    </w:p>
    <w:p>
      <w:pPr>
        <w:pStyle w:val="ListBullet"/>
        <w:spacing w:after="40"/>
      </w:pPr>
      <w:r>
        <w:t>Crie skill para gerar migrations, actions, services e testes.</w:t>
      </w:r>
    </w:p>
    <w:p>
      <w:pPr>
        <w:pStyle w:val="ListBullet"/>
        <w:spacing w:after="40"/>
      </w:pPr>
      <w:r>
        <w:t>Crie skill para revisar impacto de mudança em banco de dados.</w:t>
      </w:r>
    </w:p>
    <w:p>
      <w:pPr>
        <w:pStyle w:val="ListBullet"/>
        <w:spacing w:after="40"/>
      </w:pPr>
      <w:r>
        <w:t>Crie skill para gerar anúncios, personas, mapas de empatia e copies estruturadas.</w:t>
      </w:r>
    </w:p>
    <w:p>
      <w:pPr>
        <w:pStyle w:val="ListBullet"/>
        <w:spacing w:after="40"/>
      </w:pPr>
      <w:r>
        <w:t>Crie skill para transformar conversas ou specs em blueprint técnico.</w:t>
      </w:r>
    </w:p>
    <w:p>
      <w:pPr>
        <w:spacing w:after="120" w:line="264" w:lineRule="auto"/>
      </w:pPr>
      <w:r>
        <w:t>Sempre que uma tarefa se repetir e puder ser transferida entre projetos, transforme-a em skill.</w:t>
      </w:r>
    </w:p>
    <w:p>
      <w:pPr>
        <w:pStyle w:val="Heading1"/>
      </w:pPr>
      <w:r>
        <w:t>5. Use MCPs como ponte e não como inteligência</w:t>
      </w:r>
    </w:p>
    <w:p>
      <w:pPr>
        <w:spacing w:after="120" w:line="264" w:lineRule="auto"/>
      </w:pPr>
      <w:r>
        <w:t>Conecte o AIOS-Lite com sistemas externos por MCP, mas não obrigue o agente a lembrar toda configuração a cada execução. Encapsule o uso do MCP em skills.</w:t>
      </w:r>
    </w:p>
    <w:p>
      <w:pPr>
        <w:pStyle w:val="ListBullet"/>
        <w:spacing w:after="40"/>
      </w:pPr>
      <w:r>
        <w:t>Padronize o acesso a Jira, GitHub e Confluence.</w:t>
      </w:r>
    </w:p>
    <w:p>
      <w:pPr>
        <w:pStyle w:val="ListBullet"/>
        <w:spacing w:after="40"/>
      </w:pPr>
      <w:r>
        <w:t>Defina o formato esperado de entrada e saída em cada skill que usa MCP.</w:t>
      </w:r>
    </w:p>
    <w:p>
      <w:pPr>
        <w:pStyle w:val="ListBullet"/>
        <w:spacing w:after="40"/>
      </w:pPr>
      <w:r>
        <w:t>Evite obrigar o agente a reconstruir URLs, parâmetros, templates e fluxos toda vez.</w:t>
      </w:r>
    </w:p>
    <w:p>
      <w:pPr>
        <w:pStyle w:val="ListBullet"/>
        <w:spacing w:after="40"/>
      </w:pPr>
      <w:r>
        <w:t>Use MCP para dados dinâmicos e skills para comportamento repetível.</w:t>
      </w:r>
    </w:p>
    <w:p>
      <w:pPr>
        <w:pStyle w:val="Heading1"/>
      </w:pPr>
      <w:r>
        <w:t>6. Reserve subagentes para investigação e paralelismo</w:t>
      </w:r>
    </w:p>
    <w:p>
      <w:pPr>
        <w:spacing w:after="120" w:line="264" w:lineRule="auto"/>
      </w:pPr>
      <w:r>
        <w:t>Use subagentes para processos isolados. Não os transforme em depósitos de instruções gigantes. Delegue exploração pesada, leitura ampla e análise paralela.</w:t>
      </w:r>
    </w:p>
    <w:p>
      <w:pPr>
        <w:pStyle w:val="ListBullet"/>
        <w:spacing w:after="40"/>
      </w:pPr>
      <w:r>
        <w:t>Mande o subagente avaliar múltiplos módulos em paralelo.</w:t>
      </w:r>
    </w:p>
    <w:p>
      <w:pPr>
        <w:pStyle w:val="ListBullet"/>
        <w:spacing w:after="40"/>
      </w:pPr>
      <w:r>
        <w:t>Mande o subagente pesquisar arquivos, resumir achados e devolver só a síntese.</w:t>
      </w:r>
    </w:p>
    <w:p>
      <w:pPr>
        <w:pStyle w:val="ListBullet"/>
        <w:spacing w:after="40"/>
      </w:pPr>
      <w:r>
        <w:t>Mande o subagente comparar implementações antigas e novas.</w:t>
      </w:r>
    </w:p>
    <w:p>
      <w:pPr>
        <w:pStyle w:val="ListBullet"/>
        <w:spacing w:after="40"/>
      </w:pPr>
      <w:r>
        <w:t>Mande o subagente analisar impacto arquitetural antes de implementar.</w:t>
      </w:r>
    </w:p>
    <w:p>
      <w:pPr>
        <w:spacing w:after="120" w:line="264" w:lineRule="auto"/>
      </w:pPr>
      <w:r>
        <w:t>Sempre pergunte: esta necessidade é uma habilidade ou uma investigação? Se for habilidade, use skill. Se for investigação isolada, use subagente.</w:t>
      </w:r>
    </w:p>
    <w:p>
      <w:pPr>
        <w:pStyle w:val="Heading1"/>
      </w:pPr>
      <w:r>
        <w:t>7. Aplique progressive disclosure no AIOS-Lite</w:t>
      </w:r>
    </w:p>
    <w:p>
      <w:pPr>
        <w:spacing w:after="120" w:line="264" w:lineRule="auto"/>
      </w:pPr>
      <w:r>
        <w:t>Carregue informações por camadas. Não inicialize o agente com tudo. Faça o AIOS-Lite descobrir e puxar apenas o necessário.</w:t>
      </w:r>
    </w:p>
    <w:p>
      <w:pPr>
        <w:pStyle w:val="ListBullet"/>
        <w:spacing w:after="40"/>
      </w:pPr>
      <w:r>
        <w:t>Inicie com visão geral, convenções essenciais e índice de módulos.</w:t>
      </w:r>
    </w:p>
    <w:p>
      <w:pPr>
        <w:pStyle w:val="ListBullet"/>
        <w:spacing w:after="40"/>
      </w:pPr>
      <w:r>
        <w:t>Puxe documentação detalhada apenas sob demanda.</w:t>
      </w:r>
    </w:p>
    <w:p>
      <w:pPr>
        <w:pStyle w:val="ListBullet"/>
        <w:spacing w:after="40"/>
      </w:pPr>
      <w:r>
        <w:t>Ative skill apenas quando a tarefa pedir a capacidade correspondente.</w:t>
      </w:r>
    </w:p>
    <w:p>
      <w:pPr>
        <w:pStyle w:val="ListBullet"/>
        <w:spacing w:after="40"/>
      </w:pPr>
      <w:r>
        <w:t>Use subagente para leitura e exploração sem inflar a conversa principal.</w:t>
      </w:r>
    </w:p>
    <w:p>
      <w:pPr>
        <w:pStyle w:val="ListBullet"/>
        <w:spacing w:after="40"/>
      </w:pPr>
      <w:r>
        <w:t>Traga de volta apenas a síntese necessária para decidir e executar.</w:t>
      </w:r>
    </w:p>
    <w:p>
      <w:pPr>
        <w:pStyle w:val="Heading1"/>
      </w:pPr>
      <w:r>
        <w:t>8. Estruture o AIOS-Lite como orquestrador leve</w:t>
      </w:r>
    </w:p>
    <w:p>
      <w:pPr>
        <w:spacing w:after="120" w:line="264" w:lineRule="auto"/>
      </w:pPr>
      <w:r>
        <w:t>Posicione o AIOS-Lite como núcleo leve de orquestração. Não construa um superagente monolítico. Construa um sistema que sabe delegar.</w:t>
      </w:r>
    </w:p>
    <w:p>
      <w:pPr>
        <w:pStyle w:val="ListBullet"/>
        <w:spacing w:after="40"/>
      </w:pPr>
      <w:r>
        <w:t>Mantenha o core pequeno.</w:t>
      </w:r>
    </w:p>
    <w:p>
      <w:pPr>
        <w:pStyle w:val="ListBullet"/>
        <w:spacing w:after="40"/>
      </w:pPr>
      <w:r>
        <w:t>Concentre as regras de entendimento no mínimo necessário.</w:t>
      </w:r>
    </w:p>
    <w:p>
      <w:pPr>
        <w:pStyle w:val="ListBullet"/>
        <w:spacing w:after="40"/>
      </w:pPr>
      <w:r>
        <w:t>Distribua especializações em skills.</w:t>
      </w:r>
    </w:p>
    <w:p>
      <w:pPr>
        <w:pStyle w:val="ListBullet"/>
        <w:spacing w:after="40"/>
      </w:pPr>
      <w:r>
        <w:t>Use MCPs para contexto dinâmico externo.</w:t>
      </w:r>
    </w:p>
    <w:p>
      <w:pPr>
        <w:pStyle w:val="ListBullet"/>
        <w:spacing w:after="40"/>
      </w:pPr>
      <w:r>
        <w:t>Use subagentes para exploração, não para “personalidade”.</w:t>
      </w:r>
    </w:p>
    <w:p>
      <w:pPr>
        <w:pStyle w:val="Heading1"/>
      </w:pPr>
      <w:r>
        <w:t>9. Implemente um padrão de pastas que escale</w:t>
      </w:r>
    </w:p>
    <w:p>
      <w:pPr>
        <w:spacing w:after="120" w:line="264" w:lineRule="auto"/>
      </w:pPr>
      <w:r>
        <w:t>Adote uma estrutura previsível. Facilite manutenção, leitura e evolução do projeto.</w:t>
      </w:r>
    </w:p>
    <w:p>
      <w:pPr>
        <w:pStyle w:val="NoSpacing"/>
        <w:ind w:left="288"/>
      </w:pPr>
      <w:r>
        <w:rPr>
          <w:rFonts w:ascii="Courier New" w:hAnsi="Courier New"/>
          <w:sz w:val="19"/>
        </w:rPr>
        <w:t>aios-lite/</w:t>
        <w:br/>
      </w:r>
      <w:r>
        <w:rPr>
          <w:rFonts w:ascii="Courier New" w:hAnsi="Courier New"/>
          <w:sz w:val="19"/>
        </w:rPr>
        <w:t xml:space="preserve">  agents.md</w:t>
        <w:br/>
      </w:r>
      <w:r>
        <w:rPr>
          <w:rFonts w:ascii="Courier New" w:hAnsi="Courier New"/>
          <w:sz w:val="19"/>
        </w:rPr>
        <w:t xml:space="preserve">  docs/</w:t>
        <w:br/>
      </w:r>
      <w:r>
        <w:rPr>
          <w:rFonts w:ascii="Courier New" w:hAnsi="Courier New"/>
          <w:sz w:val="19"/>
        </w:rPr>
        <w:t xml:space="preserve">    architecture/</w:t>
        <w:br/>
      </w:r>
      <w:r>
        <w:rPr>
          <w:rFonts w:ascii="Courier New" w:hAnsi="Courier New"/>
          <w:sz w:val="19"/>
        </w:rPr>
        <w:t xml:space="preserve">    backend/</w:t>
        <w:br/>
      </w:r>
      <w:r>
        <w:rPr>
          <w:rFonts w:ascii="Courier New" w:hAnsi="Courier New"/>
          <w:sz w:val="19"/>
        </w:rPr>
        <w:t xml:space="preserve">    frontend/</w:t>
        <w:br/>
      </w:r>
      <w:r>
        <w:rPr>
          <w:rFonts w:ascii="Courier New" w:hAnsi="Courier New"/>
          <w:sz w:val="19"/>
        </w:rPr>
        <w:t xml:space="preserve">    database/</w:t>
        <w:br/>
      </w:r>
      <w:r>
        <w:rPr>
          <w:rFonts w:ascii="Courier New" w:hAnsi="Courier New"/>
          <w:sz w:val="19"/>
        </w:rPr>
        <w:t xml:space="preserve">    testing/</w:t>
        <w:br/>
      </w:r>
      <w:r>
        <w:rPr>
          <w:rFonts w:ascii="Courier New" w:hAnsi="Courier New"/>
          <w:sz w:val="19"/>
        </w:rPr>
        <w:t xml:space="preserve">    prompting/</w:t>
        <w:br/>
      </w:r>
      <w:r>
        <w:rPr>
          <w:rFonts w:ascii="Courier New" w:hAnsi="Courier New"/>
          <w:sz w:val="19"/>
        </w:rPr>
        <w:t xml:space="preserve">  skills/</w:t>
        <w:br/>
      </w:r>
      <w:r>
        <w:rPr>
          <w:rFonts w:ascii="Courier New" w:hAnsi="Courier New"/>
          <w:sz w:val="19"/>
        </w:rPr>
        <w:t xml:space="preserve">    backend/</w:t>
        <w:br/>
      </w:r>
      <w:r>
        <w:rPr>
          <w:rFonts w:ascii="Courier New" w:hAnsi="Courier New"/>
          <w:sz w:val="19"/>
        </w:rPr>
        <w:t xml:space="preserve">    frontend/</w:t>
        <w:br/>
      </w:r>
      <w:r>
        <w:rPr>
          <w:rFonts w:ascii="Courier New" w:hAnsi="Courier New"/>
          <w:sz w:val="19"/>
        </w:rPr>
        <w:t xml:space="preserve">    testing/</w:t>
        <w:br/>
      </w:r>
      <w:r>
        <w:rPr>
          <w:rFonts w:ascii="Courier New" w:hAnsi="Courier New"/>
          <w:sz w:val="19"/>
        </w:rPr>
        <w:t xml:space="preserve">    product/</w:t>
        <w:br/>
      </w:r>
      <w:r>
        <w:rPr>
          <w:rFonts w:ascii="Courier New" w:hAnsi="Courier New"/>
          <w:sz w:val="19"/>
        </w:rPr>
        <w:t xml:space="preserve">    copywriting/</w:t>
        <w:br/>
      </w:r>
      <w:r>
        <w:rPr>
          <w:rFonts w:ascii="Courier New" w:hAnsi="Courier New"/>
          <w:sz w:val="19"/>
        </w:rPr>
        <w:t xml:space="preserve">    squad/</w:t>
        <w:br/>
      </w:r>
      <w:r>
        <w:rPr>
          <w:rFonts w:ascii="Courier New" w:hAnsi="Courier New"/>
          <w:sz w:val="19"/>
        </w:rPr>
        <w:t xml:space="preserve">  mcps/</w:t>
        <w:br/>
      </w:r>
      <w:r>
        <w:rPr>
          <w:rFonts w:ascii="Courier New" w:hAnsi="Courier New"/>
          <w:sz w:val="19"/>
        </w:rPr>
        <w:t xml:space="preserve">    jira/</w:t>
        <w:br/>
      </w:r>
      <w:r>
        <w:rPr>
          <w:rFonts w:ascii="Courier New" w:hAnsi="Courier New"/>
          <w:sz w:val="19"/>
        </w:rPr>
        <w:t xml:space="preserve">    github/</w:t>
        <w:br/>
      </w:r>
      <w:r>
        <w:rPr>
          <w:rFonts w:ascii="Courier New" w:hAnsi="Courier New"/>
          <w:sz w:val="19"/>
        </w:rPr>
        <w:t xml:space="preserve">    confluence/</w:t>
        <w:br/>
      </w:r>
      <w:r>
        <w:rPr>
          <w:rFonts w:ascii="Courier New" w:hAnsi="Courier New"/>
          <w:sz w:val="19"/>
        </w:rPr>
        <w:t xml:space="preserve">  templates/</w:t>
        <w:br/>
      </w:r>
      <w:r>
        <w:rPr>
          <w:rFonts w:ascii="Courier New" w:hAnsi="Courier New"/>
          <w:sz w:val="19"/>
        </w:rPr>
        <w:t xml:space="preserve">  examples/</w:t>
        <w:br/>
      </w:r>
    </w:p>
    <w:p>
      <w:pPr>
        <w:pStyle w:val="Heading1"/>
      </w:pPr>
      <w:r>
        <w:t>10. Ensine o Agent Squad a criar novas squads</w:t>
      </w:r>
    </w:p>
    <w:p>
      <w:pPr>
        <w:spacing w:after="120" w:line="264" w:lineRule="auto"/>
      </w:pPr>
      <w:r>
        <w:t>Faça o Agent Squad operar como gerador de squads baseado neste padrão. Não permita que ele crie squads monolíticas. Ensine-o a montar squads modulares, com núcleo enxuto, skills especializadas e capacidade de expansão controlada.</w:t>
      </w:r>
    </w:p>
    <w:p>
      <w:pPr>
        <w:pStyle w:val="ListBullet"/>
        <w:spacing w:after="40"/>
      </w:pPr>
      <w:r>
        <w:t>Defina um blueprint obrigatório para criação de cada squad.</w:t>
      </w:r>
    </w:p>
    <w:p>
      <w:pPr>
        <w:pStyle w:val="ListBullet"/>
        <w:spacing w:after="40"/>
      </w:pPr>
      <w:r>
        <w:t>Exija um agents.md específico da squad com missão, limites e mapa dos módulos.</w:t>
      </w:r>
    </w:p>
    <w:p>
      <w:pPr>
        <w:pStyle w:val="ListBullet"/>
        <w:spacing w:after="40"/>
      </w:pPr>
      <w:r>
        <w:t>Exija a lista de skills da squad por domínio.</w:t>
      </w:r>
    </w:p>
    <w:p>
      <w:pPr>
        <w:pStyle w:val="ListBullet"/>
        <w:spacing w:after="40"/>
      </w:pPr>
      <w:r>
        <w:t>Exija a lista de MCPs necessários e a justificativa de uso.</w:t>
      </w:r>
    </w:p>
    <w:p>
      <w:pPr>
        <w:pStyle w:val="ListBullet"/>
        <w:spacing w:after="40"/>
      </w:pPr>
      <w:r>
        <w:t>Exija critérios para quando usar subagentes na squad.</w:t>
      </w:r>
    </w:p>
    <w:p>
      <w:pPr>
        <w:pStyle w:val="ListBullet"/>
        <w:spacing w:after="40"/>
      </w:pPr>
      <w:r>
        <w:t>Exija convenções de saída, validação e revisão.</w:t>
      </w:r>
    </w:p>
    <w:p>
      <w:pPr>
        <w:spacing w:after="120" w:line="264" w:lineRule="auto"/>
      </w:pPr>
      <w:r>
        <w:t>Use o Agent Squad como fábrica de squads padronizadas. Faça cada nova squad nascer já obedecendo ao mesmo modelo arquitetural. Isso aumenta consistência, reduz improviso e acelera evolução.</w:t>
      </w:r>
    </w:p>
    <w:p>
      <w:pPr>
        <w:pStyle w:val="Heading1"/>
      </w:pPr>
      <w:r>
        <w:t>11. Blueprint mínimo para uma nova squad</w:t>
      </w:r>
    </w:p>
    <w:p>
      <w:pPr>
        <w:spacing w:after="120" w:line="264" w:lineRule="auto"/>
      </w:pPr>
      <w:r>
        <w:t>Sempre gere novas squads seguindo este checklist imperativo.</w:t>
      </w:r>
    </w:p>
    <w:p>
      <w:pPr>
        <w:pStyle w:val="ListBullet"/>
        <w:spacing w:after="40"/>
      </w:pPr>
      <w:r>
        <w:t>Defina a missão da squad em uma frase clara.</w:t>
      </w:r>
    </w:p>
    <w:p>
      <w:pPr>
        <w:pStyle w:val="ListBullet"/>
        <w:spacing w:after="40"/>
      </w:pPr>
      <w:r>
        <w:t>Delimite o que a squad faz e o que ela não faz.</w:t>
      </w:r>
    </w:p>
    <w:p>
      <w:pPr>
        <w:pStyle w:val="ListBullet"/>
        <w:spacing w:after="40"/>
      </w:pPr>
      <w:r>
        <w:t>Crie um agents.md curto com arquitetura, convenções e índice documental.</w:t>
      </w:r>
    </w:p>
    <w:p>
      <w:pPr>
        <w:pStyle w:val="ListBullet"/>
        <w:spacing w:after="40"/>
      </w:pPr>
      <w:r>
        <w:t>Separe skills por responsabilidade real.</w:t>
      </w:r>
    </w:p>
    <w:p>
      <w:pPr>
        <w:pStyle w:val="ListBullet"/>
        <w:spacing w:after="40"/>
      </w:pPr>
      <w:r>
        <w:t>Associe MCPs somente quando houver necessidade externa concreta.</w:t>
      </w:r>
    </w:p>
    <w:p>
      <w:pPr>
        <w:pStyle w:val="ListBullet"/>
        <w:spacing w:after="40"/>
      </w:pPr>
      <w:r>
        <w:t>Defina onde subagentes entram para investigação ou paralelismo.</w:t>
      </w:r>
    </w:p>
    <w:p>
      <w:pPr>
        <w:pStyle w:val="ListBullet"/>
        <w:spacing w:after="40"/>
      </w:pPr>
      <w:r>
        <w:t>Defina formato de entregáveis da squad.</w:t>
      </w:r>
    </w:p>
    <w:p>
      <w:pPr>
        <w:pStyle w:val="ListBullet"/>
        <w:spacing w:after="40"/>
      </w:pPr>
      <w:r>
        <w:t>Defina regras de revisão antes da entrega.</w:t>
      </w:r>
    </w:p>
    <w:p>
      <w:pPr>
        <w:pStyle w:val="ListBullet"/>
        <w:spacing w:after="40"/>
      </w:pPr>
      <w:r>
        <w:t>Teste a squad em tarefas simples, médias e complexas.</w:t>
      </w:r>
    </w:p>
    <w:p>
      <w:pPr>
        <w:pStyle w:val="ListBullet"/>
        <w:spacing w:after="40"/>
      </w:pPr>
      <w:r>
        <w:t>Meça custo, tempo, consistência e qualidade final.</w:t>
      </w:r>
    </w:p>
    <w:p>
      <w:pPr>
        <w:pStyle w:val="Heading1"/>
      </w:pPr>
      <w:r>
        <w:t>12. Análise de impacto para o AIOS-Lite</w:t>
      </w:r>
    </w:p>
    <w:p>
      <w:pPr>
        <w:spacing w:after="120" w:line="264" w:lineRule="auto"/>
      </w:pPr>
      <w:r>
        <w:t>A adoção desse padrão tende a melhorar o AIOS-Lite em três frentes: economia, qualidade final e escalabilidade operacional.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t>Frente</w:t>
            </w:r>
          </w:p>
        </w:tc>
        <w:tc>
          <w:tcPr>
            <w:tcW w:type="dxa" w:w="2484"/>
            <w:shd w:fill="D9EAF7"/>
          </w:tcPr>
          <w:p>
            <w:r>
              <w:t>Impacto esperado</w:t>
            </w:r>
          </w:p>
        </w:tc>
        <w:tc>
          <w:tcPr>
            <w:tcW w:type="dxa" w:w="2484"/>
            <w:shd w:fill="D9EAF7"/>
          </w:tcPr>
          <w:p>
            <w:r>
              <w:t>Por que melhora</w:t>
            </w:r>
          </w:p>
        </w:tc>
        <w:tc>
          <w:tcPr>
            <w:tcW w:type="dxa" w:w="2484"/>
            <w:shd w:fill="D9EAF7"/>
          </w:tcPr>
          <w:p>
            <w:r>
              <w:t>Risco se não aplicar</w:t>
            </w:r>
          </w:p>
        </w:tc>
      </w:tr>
      <w:tr>
        <w:tc>
          <w:tcPr>
            <w:tcW w:type="dxa" w:w="2484"/>
            <w:vAlign w:val="center"/>
          </w:tcPr>
          <w:p>
            <w:r>
              <w:t>Economia de contexto e custo</w:t>
            </w:r>
          </w:p>
        </w:tc>
        <w:tc>
          <w:tcPr>
            <w:tcW w:type="dxa" w:w="2484"/>
            <w:vAlign w:val="center"/>
          </w:tcPr>
          <w:p>
            <w:r>
              <w:t>Melhora alta</w:t>
            </w:r>
          </w:p>
        </w:tc>
        <w:tc>
          <w:tcPr>
            <w:tcW w:type="dxa" w:w="2484"/>
            <w:vAlign w:val="center"/>
          </w:tcPr>
          <w:p>
            <w:r>
              <w:t>Menos contexto carregado à toa, menos retrabalho e menos repetição de instruções.</w:t>
            </w:r>
          </w:p>
        </w:tc>
        <w:tc>
          <w:tcPr>
            <w:tcW w:type="dxa" w:w="2484"/>
            <w:vAlign w:val="center"/>
          </w:tcPr>
          <w:p>
            <w:r>
              <w:t>Contexto inflado, custo maior, perda de foco e degradação de resposta.</w:t>
            </w:r>
          </w:p>
        </w:tc>
      </w:tr>
      <w:tr>
        <w:tc>
          <w:tcPr>
            <w:tcW w:type="dxa" w:w="2484"/>
            <w:vAlign w:val="center"/>
          </w:tcPr>
          <w:p>
            <w:r>
              <w:t>Qualidade final das entregas</w:t>
            </w:r>
          </w:p>
        </w:tc>
        <w:tc>
          <w:tcPr>
            <w:tcW w:type="dxa" w:w="2484"/>
            <w:vAlign w:val="center"/>
          </w:tcPr>
          <w:p>
            <w:r>
              <w:t>Melhora alta</w:t>
            </w:r>
          </w:p>
        </w:tc>
        <w:tc>
          <w:tcPr>
            <w:tcW w:type="dxa" w:w="2484"/>
            <w:vAlign w:val="center"/>
          </w:tcPr>
          <w:p>
            <w:r>
              <w:t>Mais clareza de responsabilidade, mais consistência e menos improviso estrutural.</w:t>
            </w:r>
          </w:p>
        </w:tc>
        <w:tc>
          <w:tcPr>
            <w:tcW w:type="dxa" w:w="2484"/>
            <w:vAlign w:val="center"/>
          </w:tcPr>
          <w:p>
            <w:r>
              <w:t>Outputs irregulares, comportamento imprevisível e mais correções manuais.</w:t>
            </w:r>
          </w:p>
        </w:tc>
      </w:tr>
      <w:tr>
        <w:tc>
          <w:tcPr>
            <w:tcW w:type="dxa" w:w="2484"/>
            <w:vAlign w:val="center"/>
          </w:tcPr>
          <w:p>
            <w:r>
              <w:t>Capacidade de expansão do Agent Squad</w:t>
            </w:r>
          </w:p>
        </w:tc>
        <w:tc>
          <w:tcPr>
            <w:tcW w:type="dxa" w:w="2484"/>
            <w:vAlign w:val="center"/>
          </w:tcPr>
          <w:p>
            <w:r>
              <w:t>Melhora muito alta</w:t>
            </w:r>
          </w:p>
        </w:tc>
        <w:tc>
          <w:tcPr>
            <w:tcW w:type="dxa" w:w="2484"/>
            <w:vAlign w:val="center"/>
          </w:tcPr>
          <w:p>
            <w:r>
              <w:t>Permite criar squads reutilizáveis, com blueprint previsível e fácil manutenção.</w:t>
            </w:r>
          </w:p>
        </w:tc>
        <w:tc>
          <w:tcPr>
            <w:tcW w:type="dxa" w:w="2484"/>
            <w:vAlign w:val="center"/>
          </w:tcPr>
          <w:p>
            <w:r>
              <w:t>Squads monolíticas, difíceis de evoluir, copiar e governar.</w:t>
            </w:r>
          </w:p>
        </w:tc>
      </w:tr>
    </w:tbl>
    <w:p/>
    <w:p>
      <w:pPr>
        <w:spacing w:after="120" w:line="264" w:lineRule="auto"/>
      </w:pPr>
      <w:r>
        <w:t>Na prática, o maior ganho não é apenas economizar token. O maior ganho é reduzir entropia arquitetural. O sistema fica mais compreensível, mais reutilizável e mais confiável.</w:t>
      </w:r>
    </w:p>
    <w:p>
      <w:pPr>
        <w:pStyle w:val="Heading1"/>
      </w:pPr>
      <w:r>
        <w:t>13. Conclusão objetiva</w:t>
      </w:r>
    </w:p>
    <w:p>
      <w:pPr>
        <w:spacing w:after="120" w:line="264" w:lineRule="auto"/>
      </w:pPr>
      <w:r>
        <w:t>Implemente este padrão no AIOS-Lite. Reduza o núcleo. Quebre conhecimento por domínio. Transforme especializações em skills. Use MCPs como ponte externa. Use subagentes para investigação isolada. Faça o Agent Squad gerar novas squads já obedecendo a esse modelo.</w:t>
      </w:r>
    </w:p>
    <w:p>
      <w:pPr>
        <w:spacing w:after="120" w:line="264" w:lineRule="auto"/>
      </w:pPr>
      <w:r>
        <w:t>Se você aplicar isso com disciplina, a tendência é obter melhor economia, melhor qualidade final e uma capacidade muito maior de multiplicar squads sem transformar o ecossistema em um conjunto de agentes confusos e difíceis de manter.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C3E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