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7E675" w14:textId="5F18D079" w:rsidR="00AE2406" w:rsidRPr="00AE2406" w:rsidRDefault="00226C6F" w:rsidP="00AE2406">
      <w:pPr>
        <w:rPr>
          <w:sz w:val="20"/>
          <w:szCs w:val="20"/>
        </w:rPr>
      </w:pPr>
      <w:r w:rsidRPr="00226C6F">
        <w:rPr>
          <w:b/>
          <w:bCs/>
          <w:sz w:val="20"/>
          <w:szCs w:val="20"/>
        </w:rPr>
        <w:t xml:space="preserve">Portfolio Risk Analysis - </w:t>
      </w:r>
      <w:r w:rsidR="00AE2406" w:rsidRPr="00AE2406">
        <w:rPr>
          <w:b/>
          <w:bCs/>
          <w:sz w:val="20"/>
          <w:szCs w:val="20"/>
        </w:rPr>
        <w:t>Key Findings</w:t>
      </w:r>
    </w:p>
    <w:p w14:paraId="2F4451B9" w14:textId="5AA3143A" w:rsidR="00107DAC" w:rsidRPr="00226C6F" w:rsidRDefault="00AE2406" w:rsidP="00107DAC">
      <w:pPr>
        <w:pStyle w:val="ListParagraph"/>
        <w:numPr>
          <w:ilvl w:val="0"/>
          <w:numId w:val="11"/>
        </w:numPr>
        <w:rPr>
          <w:b/>
          <w:bCs/>
          <w:sz w:val="20"/>
          <w:szCs w:val="20"/>
        </w:rPr>
      </w:pPr>
      <w:r w:rsidRPr="00226C6F">
        <w:rPr>
          <w:b/>
          <w:bCs/>
          <w:sz w:val="20"/>
          <w:szCs w:val="20"/>
        </w:rPr>
        <w:t>Risk Contributions</w:t>
      </w:r>
    </w:p>
    <w:p w14:paraId="66D0F968" w14:textId="69F737ED" w:rsidR="00AE2406" w:rsidRPr="00226C6F" w:rsidRDefault="00107DAC" w:rsidP="00107DAC">
      <w:pPr>
        <w:ind w:left="360"/>
        <w:jc w:val="center"/>
        <w:rPr>
          <w:b/>
          <w:bCs/>
          <w:sz w:val="20"/>
          <w:szCs w:val="20"/>
        </w:rPr>
      </w:pPr>
      <w:r w:rsidRPr="00226C6F">
        <w:rPr>
          <w:noProof/>
          <w:sz w:val="20"/>
          <w:szCs w:val="20"/>
        </w:rPr>
        <w:drawing>
          <wp:inline distT="0" distB="0" distL="0" distR="0" wp14:anchorId="613EFF41" wp14:editId="44B9A786">
            <wp:extent cx="3090930" cy="3090930"/>
            <wp:effectExtent l="0" t="0" r="0" b="0"/>
            <wp:docPr id="669766896" name="Picture 7" descr="A graph of a number of financia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66896" name="Picture 7" descr="A graph of a number of financial data&#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7152" cy="3097152"/>
                    </a:xfrm>
                    <a:prstGeom prst="rect">
                      <a:avLst/>
                    </a:prstGeom>
                    <a:noFill/>
                    <a:ln>
                      <a:noFill/>
                    </a:ln>
                  </pic:spPr>
                </pic:pic>
              </a:graphicData>
            </a:graphic>
          </wp:inline>
        </w:drawing>
      </w:r>
    </w:p>
    <w:p w14:paraId="0DC6FC5C" w14:textId="411AE551" w:rsidR="0063250E" w:rsidRPr="00AE2406" w:rsidRDefault="00AE2406" w:rsidP="00226C6F">
      <w:pPr>
        <w:numPr>
          <w:ilvl w:val="0"/>
          <w:numId w:val="6"/>
        </w:numPr>
        <w:rPr>
          <w:sz w:val="20"/>
          <w:szCs w:val="20"/>
        </w:rPr>
      </w:pPr>
      <w:r w:rsidRPr="00AE2406">
        <w:rPr>
          <w:b/>
          <w:bCs/>
          <w:sz w:val="20"/>
          <w:szCs w:val="20"/>
        </w:rPr>
        <w:t>High-Risk Assets</w:t>
      </w:r>
      <w:r w:rsidRPr="00AE2406">
        <w:rPr>
          <w:sz w:val="20"/>
          <w:szCs w:val="20"/>
        </w:rPr>
        <w:t>: Major contributors to portfolio risk include Taiwan Semiconductor Manufacturing Co., Tencent Holdings, Samsung Electronics, and Alibaba Group.</w:t>
      </w:r>
    </w:p>
    <w:p w14:paraId="0EA0CED9" w14:textId="78E55070" w:rsidR="0063250E" w:rsidRPr="00226C6F" w:rsidRDefault="0063250E" w:rsidP="00391E2B">
      <w:pPr>
        <w:jc w:val="center"/>
        <w:rPr>
          <w:sz w:val="20"/>
          <w:szCs w:val="20"/>
        </w:rPr>
      </w:pPr>
      <w:r w:rsidRPr="00226C6F">
        <w:rPr>
          <w:noProof/>
          <w:sz w:val="20"/>
          <w:szCs w:val="20"/>
        </w:rPr>
        <w:drawing>
          <wp:inline distT="0" distB="0" distL="0" distR="0" wp14:anchorId="0E2A5750" wp14:editId="762EF92A">
            <wp:extent cx="2616200" cy="1571625"/>
            <wp:effectExtent l="0" t="0" r="0" b="9525"/>
            <wp:docPr id="1933594569" name="Picture 3" descr="A graph of a graph showing the average risk by s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94569" name="Picture 3" descr="A graph of a graph showing the average risk by sect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6200" cy="1571625"/>
                    </a:xfrm>
                    <a:prstGeom prst="rect">
                      <a:avLst/>
                    </a:prstGeom>
                    <a:noFill/>
                    <a:ln>
                      <a:noFill/>
                    </a:ln>
                  </pic:spPr>
                </pic:pic>
              </a:graphicData>
            </a:graphic>
          </wp:inline>
        </w:drawing>
      </w:r>
      <w:r w:rsidRPr="00226C6F">
        <w:rPr>
          <w:noProof/>
          <w:sz w:val="20"/>
          <w:szCs w:val="20"/>
        </w:rPr>
        <w:drawing>
          <wp:inline distT="0" distB="0" distL="0" distR="0" wp14:anchorId="5475E8AF" wp14:editId="0508B991">
            <wp:extent cx="2617200" cy="1570320"/>
            <wp:effectExtent l="0" t="0" r="0" b="0"/>
            <wp:docPr id="20320665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66581"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17200" cy="1570320"/>
                    </a:xfrm>
                    <a:prstGeom prst="rect">
                      <a:avLst/>
                    </a:prstGeom>
                    <a:noFill/>
                    <a:ln>
                      <a:noFill/>
                    </a:ln>
                  </pic:spPr>
                </pic:pic>
              </a:graphicData>
            </a:graphic>
          </wp:inline>
        </w:drawing>
      </w:r>
    </w:p>
    <w:p w14:paraId="39FD67C0" w14:textId="7C96B4B0" w:rsidR="00A17CAB" w:rsidRPr="00226C6F" w:rsidRDefault="00AE2406" w:rsidP="00107DAC">
      <w:pPr>
        <w:numPr>
          <w:ilvl w:val="0"/>
          <w:numId w:val="6"/>
        </w:numPr>
        <w:rPr>
          <w:sz w:val="20"/>
          <w:szCs w:val="20"/>
        </w:rPr>
      </w:pPr>
      <w:r w:rsidRPr="00AE2406">
        <w:rPr>
          <w:b/>
          <w:bCs/>
          <w:sz w:val="20"/>
          <w:szCs w:val="20"/>
        </w:rPr>
        <w:t>Sector Breakdown</w:t>
      </w:r>
      <w:r w:rsidRPr="00AE2406">
        <w:rPr>
          <w:sz w:val="20"/>
          <w:szCs w:val="20"/>
        </w:rPr>
        <w:t xml:space="preserve">: </w:t>
      </w:r>
      <w:r w:rsidR="001C5F3B" w:rsidRPr="00226C6F">
        <w:rPr>
          <w:sz w:val="20"/>
          <w:szCs w:val="20"/>
        </w:rPr>
        <w:t>Although the healthcare sector exhibits the highest average total risk among the individual components of the portfolio, its overall contribution to the portfolio's total risk is minimal. This apparent paradox arises from the interplay of diversification effects and correlations between the healthcare sector and other assets within the portfolio. In essence, while healthcare assets may be volatile on their own, their risk does not translate significantly into the aggregate portfolio risk, likely due to low or negative correlations with other sectors.</w:t>
      </w:r>
    </w:p>
    <w:p w14:paraId="01E70FCE" w14:textId="4EDC2DEB" w:rsidR="00107DAC" w:rsidRPr="00226C6F" w:rsidRDefault="00CE2C7D" w:rsidP="00107DAC">
      <w:pPr>
        <w:ind w:left="720"/>
        <w:jc w:val="center"/>
        <w:rPr>
          <w:sz w:val="20"/>
          <w:szCs w:val="20"/>
        </w:rPr>
      </w:pPr>
      <w:r w:rsidRPr="00226C6F">
        <w:rPr>
          <w:noProof/>
          <w:sz w:val="20"/>
          <w:szCs w:val="20"/>
        </w:rPr>
        <w:drawing>
          <wp:inline distT="0" distB="0" distL="0" distR="0" wp14:anchorId="6FDA71C6" wp14:editId="52C0ACFF">
            <wp:extent cx="4127679" cy="1803400"/>
            <wp:effectExtent l="0" t="0" r="6350" b="6350"/>
            <wp:docPr id="188298570" name="Picture 9"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8570" name="Picture 9" descr="A map of the worl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7679" cy="1803400"/>
                    </a:xfrm>
                    <a:prstGeom prst="rect">
                      <a:avLst/>
                    </a:prstGeom>
                    <a:noFill/>
                    <a:ln>
                      <a:noFill/>
                    </a:ln>
                  </pic:spPr>
                </pic:pic>
              </a:graphicData>
            </a:graphic>
          </wp:inline>
        </w:drawing>
      </w:r>
    </w:p>
    <w:p w14:paraId="3D744B12" w14:textId="17E801CA" w:rsidR="00107DAC" w:rsidRPr="00226C6F" w:rsidRDefault="00AE2406" w:rsidP="00AE2406">
      <w:pPr>
        <w:numPr>
          <w:ilvl w:val="0"/>
          <w:numId w:val="6"/>
        </w:numPr>
        <w:rPr>
          <w:sz w:val="20"/>
          <w:szCs w:val="20"/>
        </w:rPr>
      </w:pPr>
      <w:r w:rsidRPr="00AE2406">
        <w:rPr>
          <w:b/>
          <w:bCs/>
          <w:sz w:val="20"/>
          <w:szCs w:val="20"/>
        </w:rPr>
        <w:lastRenderedPageBreak/>
        <w:t>Geographical Contributions</w:t>
      </w:r>
      <w:r w:rsidRPr="00AE2406">
        <w:rPr>
          <w:sz w:val="20"/>
          <w:szCs w:val="20"/>
        </w:rPr>
        <w:t xml:space="preserve">: A map analysis reveals significant risk </w:t>
      </w:r>
      <w:r w:rsidR="001C5F3B" w:rsidRPr="00226C6F">
        <w:rPr>
          <w:sz w:val="20"/>
          <w:szCs w:val="20"/>
        </w:rPr>
        <w:t>exposure</w:t>
      </w:r>
      <w:r w:rsidRPr="00AE2406">
        <w:rPr>
          <w:sz w:val="20"/>
          <w:szCs w:val="20"/>
        </w:rPr>
        <w:t xml:space="preserve"> in countries like India, Taiwan, and </w:t>
      </w:r>
      <w:r w:rsidR="00391E2B" w:rsidRPr="00226C6F">
        <w:rPr>
          <w:sz w:val="20"/>
          <w:szCs w:val="20"/>
        </w:rPr>
        <w:t>South Korea</w:t>
      </w:r>
      <w:r w:rsidRPr="00AE2406">
        <w:rPr>
          <w:sz w:val="20"/>
          <w:szCs w:val="20"/>
        </w:rPr>
        <w:t>, with varying levels of risk across regions.</w:t>
      </w:r>
    </w:p>
    <w:p w14:paraId="4ECAFFBF" w14:textId="72DB4C11" w:rsidR="00107DAC" w:rsidRPr="00226C6F" w:rsidRDefault="00107DAC" w:rsidP="00CE2C7D">
      <w:pPr>
        <w:ind w:left="360"/>
        <w:rPr>
          <w:sz w:val="20"/>
          <w:szCs w:val="20"/>
        </w:rPr>
      </w:pPr>
    </w:p>
    <w:p w14:paraId="10CCB615" w14:textId="1871EBDE" w:rsidR="00391E2B" w:rsidRPr="00226C6F" w:rsidRDefault="00AE2406" w:rsidP="00391E2B">
      <w:pPr>
        <w:pStyle w:val="ListParagraph"/>
        <w:numPr>
          <w:ilvl w:val="0"/>
          <w:numId w:val="11"/>
        </w:numPr>
        <w:rPr>
          <w:b/>
          <w:bCs/>
          <w:sz w:val="20"/>
          <w:szCs w:val="20"/>
        </w:rPr>
      </w:pPr>
      <w:r w:rsidRPr="00226C6F">
        <w:rPr>
          <w:b/>
          <w:bCs/>
          <w:sz w:val="20"/>
          <w:szCs w:val="20"/>
        </w:rPr>
        <w:t>Portfolio Performance Dynamics</w:t>
      </w:r>
    </w:p>
    <w:p w14:paraId="760545DB" w14:textId="77777777" w:rsidR="00391E2B" w:rsidRPr="00226C6F" w:rsidRDefault="00391E2B" w:rsidP="00391E2B">
      <w:pPr>
        <w:pStyle w:val="ListParagraph"/>
        <w:rPr>
          <w:b/>
          <w:bCs/>
          <w:sz w:val="20"/>
          <w:szCs w:val="20"/>
        </w:rPr>
      </w:pPr>
    </w:p>
    <w:p w14:paraId="460069CE" w14:textId="08A3D91C" w:rsidR="00AE2406" w:rsidRPr="00226C6F" w:rsidRDefault="00391E2B" w:rsidP="00391E2B">
      <w:pPr>
        <w:pStyle w:val="ListParagraph"/>
        <w:rPr>
          <w:b/>
          <w:bCs/>
          <w:sz w:val="20"/>
          <w:szCs w:val="20"/>
        </w:rPr>
      </w:pPr>
      <w:r w:rsidRPr="00226C6F">
        <w:rPr>
          <w:noProof/>
          <w:sz w:val="20"/>
          <w:szCs w:val="20"/>
        </w:rPr>
        <w:drawing>
          <wp:inline distT="0" distB="0" distL="0" distR="0" wp14:anchorId="5C961B87" wp14:editId="2009599F">
            <wp:extent cx="2616835" cy="1570990"/>
            <wp:effectExtent l="0" t="0" r="0" b="0"/>
            <wp:docPr id="19490556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6835" cy="1570990"/>
                    </a:xfrm>
                    <a:prstGeom prst="rect">
                      <a:avLst/>
                    </a:prstGeom>
                    <a:noFill/>
                    <a:ln>
                      <a:noFill/>
                    </a:ln>
                  </pic:spPr>
                </pic:pic>
              </a:graphicData>
            </a:graphic>
          </wp:inline>
        </w:drawing>
      </w:r>
      <w:r w:rsidRPr="00226C6F">
        <w:rPr>
          <w:noProof/>
          <w:sz w:val="20"/>
          <w:szCs w:val="20"/>
        </w:rPr>
        <w:drawing>
          <wp:inline distT="0" distB="0" distL="0" distR="0" wp14:anchorId="7EA29256" wp14:editId="77D4212B">
            <wp:extent cx="2617200" cy="1572061"/>
            <wp:effectExtent l="0" t="0" r="0" b="9525"/>
            <wp:docPr id="1587420208" name="Picture 8" descr="A bar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20208" name="Picture 8" descr="A bar graph with blue and white strip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200" cy="1572061"/>
                    </a:xfrm>
                    <a:prstGeom prst="rect">
                      <a:avLst/>
                    </a:prstGeom>
                    <a:noFill/>
                    <a:ln>
                      <a:noFill/>
                    </a:ln>
                  </pic:spPr>
                </pic:pic>
              </a:graphicData>
            </a:graphic>
          </wp:inline>
        </w:drawing>
      </w:r>
    </w:p>
    <w:p w14:paraId="60043868" w14:textId="58F162B8" w:rsidR="00391E2B" w:rsidRPr="00226C6F" w:rsidRDefault="00AE2406" w:rsidP="00391E2B">
      <w:pPr>
        <w:numPr>
          <w:ilvl w:val="0"/>
          <w:numId w:val="7"/>
        </w:numPr>
        <w:rPr>
          <w:sz w:val="20"/>
          <w:szCs w:val="20"/>
        </w:rPr>
      </w:pPr>
      <w:r w:rsidRPr="00AE2406">
        <w:rPr>
          <w:b/>
          <w:bCs/>
          <w:sz w:val="20"/>
          <w:szCs w:val="20"/>
        </w:rPr>
        <w:t>Tracking Error Analysis</w:t>
      </w:r>
      <w:r w:rsidRPr="00AE2406">
        <w:rPr>
          <w:sz w:val="20"/>
          <w:szCs w:val="20"/>
        </w:rPr>
        <w:t>:</w:t>
      </w:r>
      <w:r w:rsidR="00391E2B" w:rsidRPr="00226C6F">
        <w:rPr>
          <w:sz w:val="20"/>
          <w:szCs w:val="20"/>
        </w:rPr>
        <w:t xml:space="preserve"> </w:t>
      </w:r>
      <w:r w:rsidR="00391E2B" w:rsidRPr="00226C6F">
        <w:rPr>
          <w:sz w:val="20"/>
          <w:szCs w:val="20"/>
        </w:rPr>
        <w:t>As demonstrated above, both consumer sectors have the highest average contribution to the portfolio's tracking error, despite having a lower active weight compared to other sectors in the portfolio. This suggests that these sectors are disproportionately influencing the portfolio's deviation from the benchmark. In other words, even though their allocation within the portfolio is relatively small, the consumer sectors are driving a significant portion of the tracking error due to factors such as higher volatility, distinctive return profiles, or greater deviations from the benchmark weights. This highlights the importance of closely monitoring these sectors, as their impact on the portfolio's active risk is not directly proportional to their allocation.</w:t>
      </w:r>
    </w:p>
    <w:p w14:paraId="411D69E6" w14:textId="77777777" w:rsidR="00391E2B" w:rsidRPr="00226C6F" w:rsidRDefault="00391E2B" w:rsidP="00391E2B">
      <w:pPr>
        <w:rPr>
          <w:b/>
          <w:bCs/>
          <w:sz w:val="20"/>
          <w:szCs w:val="20"/>
        </w:rPr>
      </w:pPr>
    </w:p>
    <w:p w14:paraId="6D85FBFA" w14:textId="4B34A767" w:rsidR="00391E2B" w:rsidRPr="00226C6F" w:rsidRDefault="00AE2406" w:rsidP="00391E2B">
      <w:pPr>
        <w:pStyle w:val="ListParagraph"/>
        <w:numPr>
          <w:ilvl w:val="0"/>
          <w:numId w:val="11"/>
        </w:numPr>
        <w:rPr>
          <w:b/>
          <w:bCs/>
          <w:sz w:val="20"/>
          <w:szCs w:val="20"/>
        </w:rPr>
      </w:pPr>
      <w:r w:rsidRPr="00226C6F">
        <w:rPr>
          <w:b/>
          <w:bCs/>
          <w:sz w:val="20"/>
          <w:szCs w:val="20"/>
        </w:rPr>
        <w:t xml:space="preserve">ESG </w:t>
      </w:r>
      <w:r w:rsidR="00226C6F">
        <w:rPr>
          <w:b/>
          <w:bCs/>
          <w:sz w:val="20"/>
          <w:szCs w:val="20"/>
        </w:rPr>
        <w:t xml:space="preserve">Metrics over time </w:t>
      </w:r>
    </w:p>
    <w:p w14:paraId="3CBB677C" w14:textId="60CB06D4" w:rsidR="00107DAC" w:rsidRPr="00226C6F" w:rsidRDefault="00226C6F" w:rsidP="00391E2B">
      <w:pPr>
        <w:pStyle w:val="ListParagraph"/>
        <w:jc w:val="center"/>
        <w:rPr>
          <w:b/>
          <w:bCs/>
          <w:sz w:val="20"/>
          <w:szCs w:val="20"/>
        </w:rPr>
      </w:pPr>
      <w:r w:rsidRPr="00226C6F">
        <w:rPr>
          <w:noProof/>
          <w:sz w:val="20"/>
          <w:szCs w:val="20"/>
        </w:rPr>
        <w:drawing>
          <wp:anchor distT="0" distB="0" distL="114300" distR="114300" simplePos="0" relativeHeight="251662336" behindDoc="0" locked="0" layoutInCell="1" allowOverlap="1" wp14:anchorId="118547CF" wp14:editId="298AF408">
            <wp:simplePos x="0" y="0"/>
            <wp:positionH relativeFrom="column">
              <wp:posOffset>250905</wp:posOffset>
            </wp:positionH>
            <wp:positionV relativeFrom="paragraph">
              <wp:posOffset>31562</wp:posOffset>
            </wp:positionV>
            <wp:extent cx="3046121" cy="1829372"/>
            <wp:effectExtent l="0" t="0" r="1905" b="0"/>
            <wp:wrapSquare wrapText="bothSides"/>
            <wp:docPr id="797193734" name="Picture 6" descr="A graph showing the average esg score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93734" name="Picture 6" descr="A graph showing the average esg score over ti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6121" cy="1829372"/>
                    </a:xfrm>
                    <a:prstGeom prst="rect">
                      <a:avLst/>
                    </a:prstGeom>
                    <a:noFill/>
                    <a:ln>
                      <a:noFill/>
                    </a:ln>
                  </pic:spPr>
                </pic:pic>
              </a:graphicData>
            </a:graphic>
          </wp:anchor>
        </w:drawing>
      </w:r>
    </w:p>
    <w:p w14:paraId="7D4673AC" w14:textId="7E2EA04B" w:rsidR="0010677B" w:rsidRPr="00226C6F" w:rsidRDefault="00AE2406" w:rsidP="0010677B">
      <w:pPr>
        <w:numPr>
          <w:ilvl w:val="0"/>
          <w:numId w:val="8"/>
        </w:numPr>
        <w:rPr>
          <w:sz w:val="20"/>
          <w:szCs w:val="20"/>
        </w:rPr>
      </w:pPr>
      <w:r w:rsidRPr="00AE2406">
        <w:rPr>
          <w:b/>
          <w:bCs/>
          <w:sz w:val="20"/>
          <w:szCs w:val="20"/>
        </w:rPr>
        <w:t>Overall Trends</w:t>
      </w:r>
      <w:r w:rsidRPr="00AE2406">
        <w:rPr>
          <w:sz w:val="20"/>
          <w:szCs w:val="20"/>
        </w:rPr>
        <w:t xml:space="preserve">: The weighted average ESG score steadily improved over time, reflecting progress in </w:t>
      </w:r>
      <w:r w:rsidR="00226C6F">
        <w:rPr>
          <w:sz w:val="20"/>
          <w:szCs w:val="20"/>
        </w:rPr>
        <w:t xml:space="preserve">metrics that </w:t>
      </w:r>
    </w:p>
    <w:p w14:paraId="267A1C75" w14:textId="77777777" w:rsidR="00226C6F" w:rsidRPr="00226C6F" w:rsidRDefault="00226C6F" w:rsidP="00226C6F">
      <w:pPr>
        <w:ind w:left="720"/>
        <w:rPr>
          <w:sz w:val="20"/>
          <w:szCs w:val="20"/>
        </w:rPr>
      </w:pPr>
    </w:p>
    <w:p w14:paraId="339B4CED" w14:textId="77777777" w:rsidR="00226C6F" w:rsidRPr="00226C6F" w:rsidRDefault="00226C6F" w:rsidP="00226C6F">
      <w:pPr>
        <w:ind w:left="720"/>
        <w:rPr>
          <w:sz w:val="20"/>
          <w:szCs w:val="20"/>
        </w:rPr>
      </w:pPr>
    </w:p>
    <w:p w14:paraId="25DA49EA" w14:textId="667DBDB5" w:rsidR="00226C6F" w:rsidRDefault="00226C6F" w:rsidP="00226C6F">
      <w:pPr>
        <w:rPr>
          <w:sz w:val="20"/>
          <w:szCs w:val="20"/>
        </w:rPr>
      </w:pPr>
    </w:p>
    <w:p w14:paraId="05F6BFB7" w14:textId="77777777" w:rsidR="00D27C22" w:rsidRPr="00226C6F" w:rsidRDefault="00D27C22" w:rsidP="00226C6F">
      <w:pPr>
        <w:rPr>
          <w:sz w:val="20"/>
          <w:szCs w:val="20"/>
        </w:rPr>
      </w:pPr>
    </w:p>
    <w:p w14:paraId="28D6D6A1" w14:textId="558F4B6B" w:rsidR="00107DAC" w:rsidRPr="00226C6F" w:rsidRDefault="00D27C22" w:rsidP="00107DAC">
      <w:pPr>
        <w:numPr>
          <w:ilvl w:val="0"/>
          <w:numId w:val="8"/>
        </w:numPr>
        <w:rPr>
          <w:sz w:val="20"/>
          <w:szCs w:val="20"/>
        </w:rPr>
      </w:pPr>
      <w:r w:rsidRPr="00226C6F">
        <w:rPr>
          <w:noProof/>
          <w:sz w:val="20"/>
          <w:szCs w:val="20"/>
        </w:rPr>
        <w:drawing>
          <wp:anchor distT="0" distB="0" distL="114300" distR="114300" simplePos="0" relativeHeight="251663360" behindDoc="0" locked="0" layoutInCell="1" allowOverlap="1" wp14:anchorId="51F37AD4" wp14:editId="0A146B41">
            <wp:simplePos x="0" y="0"/>
            <wp:positionH relativeFrom="column">
              <wp:posOffset>293004</wp:posOffset>
            </wp:positionH>
            <wp:positionV relativeFrom="paragraph">
              <wp:posOffset>50755</wp:posOffset>
            </wp:positionV>
            <wp:extent cx="3045600" cy="1525354"/>
            <wp:effectExtent l="0" t="0" r="2540" b="0"/>
            <wp:wrapSquare wrapText="bothSides"/>
            <wp:docPr id="688239993" name="Picture 5"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39993" name="Picture 5" descr="A graph of a number of different colored lin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600" cy="1525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406" w:rsidRPr="00AE2406">
        <w:rPr>
          <w:b/>
          <w:bCs/>
          <w:sz w:val="20"/>
          <w:szCs w:val="20"/>
        </w:rPr>
        <w:t>Component Breakdown</w:t>
      </w:r>
      <w:r w:rsidR="00AE2406" w:rsidRPr="00AE2406">
        <w:rPr>
          <w:sz w:val="20"/>
          <w:szCs w:val="20"/>
        </w:rPr>
        <w:t>:</w:t>
      </w:r>
      <w:r w:rsidR="00A17CAB" w:rsidRPr="00226C6F">
        <w:rPr>
          <w:noProof/>
          <w:sz w:val="20"/>
          <w:szCs w:val="20"/>
        </w:rPr>
        <w:t xml:space="preserve"> </w:t>
      </w:r>
    </w:p>
    <w:p w14:paraId="13FD1972" w14:textId="3729B19B" w:rsidR="00AE2406" w:rsidRPr="00AE2406" w:rsidRDefault="00AE2406" w:rsidP="00AE2406">
      <w:pPr>
        <w:numPr>
          <w:ilvl w:val="1"/>
          <w:numId w:val="8"/>
        </w:numPr>
        <w:rPr>
          <w:sz w:val="20"/>
          <w:szCs w:val="20"/>
        </w:rPr>
      </w:pPr>
      <w:r w:rsidRPr="00AE2406">
        <w:rPr>
          <w:b/>
          <w:bCs/>
          <w:sz w:val="20"/>
          <w:szCs w:val="20"/>
        </w:rPr>
        <w:t>Governance</w:t>
      </w:r>
      <w:r w:rsidRPr="00AE2406">
        <w:rPr>
          <w:sz w:val="20"/>
          <w:szCs w:val="20"/>
        </w:rPr>
        <w:t>: A key driver of improvement, with consistent gains throughout 2023 and 2024.</w:t>
      </w:r>
    </w:p>
    <w:p w14:paraId="6FC5F1F8" w14:textId="2D46B2B1" w:rsidR="00AE2406" w:rsidRPr="00AE2406" w:rsidRDefault="00AE2406" w:rsidP="00AE2406">
      <w:pPr>
        <w:numPr>
          <w:ilvl w:val="1"/>
          <w:numId w:val="8"/>
        </w:numPr>
        <w:rPr>
          <w:sz w:val="20"/>
          <w:szCs w:val="20"/>
        </w:rPr>
      </w:pPr>
      <w:r w:rsidRPr="00AE2406">
        <w:rPr>
          <w:b/>
          <w:bCs/>
          <w:sz w:val="20"/>
          <w:szCs w:val="20"/>
        </w:rPr>
        <w:t>Environment</w:t>
      </w:r>
      <w:r w:rsidRPr="00AE2406">
        <w:rPr>
          <w:sz w:val="20"/>
          <w:szCs w:val="20"/>
        </w:rPr>
        <w:t>: Fluctuating scores indicate uneven progress in environmental compliance.</w:t>
      </w:r>
    </w:p>
    <w:p w14:paraId="17E0A2D8" w14:textId="71F2C80A" w:rsidR="00AE2406" w:rsidRPr="00AE2406" w:rsidRDefault="00AE2406" w:rsidP="00AE2406">
      <w:pPr>
        <w:numPr>
          <w:ilvl w:val="1"/>
          <w:numId w:val="8"/>
        </w:numPr>
        <w:rPr>
          <w:sz w:val="20"/>
          <w:szCs w:val="20"/>
        </w:rPr>
      </w:pPr>
      <w:r w:rsidRPr="00AE2406">
        <w:rPr>
          <w:b/>
          <w:bCs/>
          <w:sz w:val="20"/>
          <w:szCs w:val="20"/>
        </w:rPr>
        <w:t>Social</w:t>
      </w:r>
      <w:r w:rsidRPr="00AE2406">
        <w:rPr>
          <w:sz w:val="20"/>
          <w:szCs w:val="20"/>
        </w:rPr>
        <w:t>: Scores showed slow but steady progress, suggesting incremental improvements in social responsibility.</w:t>
      </w:r>
    </w:p>
    <w:p w14:paraId="6F51B580" w14:textId="77777777" w:rsidR="00D27C22" w:rsidRPr="00D27C22" w:rsidRDefault="00D27C22" w:rsidP="00AE2406">
      <w:pPr>
        <w:numPr>
          <w:ilvl w:val="0"/>
          <w:numId w:val="8"/>
        </w:numPr>
        <w:rPr>
          <w:sz w:val="20"/>
          <w:szCs w:val="20"/>
        </w:rPr>
      </w:pPr>
    </w:p>
    <w:p w14:paraId="7FD9908D" w14:textId="77777777" w:rsidR="00D27C22" w:rsidRPr="00D27C22" w:rsidRDefault="00D27C22" w:rsidP="00D27C22">
      <w:pPr>
        <w:ind w:left="720"/>
        <w:jc w:val="center"/>
        <w:rPr>
          <w:sz w:val="20"/>
          <w:szCs w:val="20"/>
        </w:rPr>
      </w:pPr>
      <w:r>
        <w:rPr>
          <w:b/>
          <w:bCs/>
          <w:noProof/>
          <w:sz w:val="20"/>
          <w:szCs w:val="20"/>
        </w:rPr>
        <w:lastRenderedPageBreak/>
        <w:drawing>
          <wp:inline distT="0" distB="0" distL="0" distR="0" wp14:anchorId="387992FA" wp14:editId="1DB90A19">
            <wp:extent cx="3503054" cy="1753664"/>
            <wp:effectExtent l="0" t="0" r="2540" b="0"/>
            <wp:docPr id="1733534326" name="Picture 1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34326" name="Picture 15" descr="A graph of different colored bar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550" cy="1762923"/>
                    </a:xfrm>
                    <a:prstGeom prst="rect">
                      <a:avLst/>
                    </a:prstGeom>
                    <a:noFill/>
                    <a:ln>
                      <a:noFill/>
                    </a:ln>
                  </pic:spPr>
                </pic:pic>
              </a:graphicData>
            </a:graphic>
          </wp:inline>
        </w:drawing>
      </w:r>
    </w:p>
    <w:p w14:paraId="1FD3F3BD" w14:textId="2CACE4FD" w:rsidR="00AE2406" w:rsidRDefault="00AE2406" w:rsidP="00AE2406">
      <w:pPr>
        <w:numPr>
          <w:ilvl w:val="0"/>
          <w:numId w:val="8"/>
        </w:numPr>
        <w:rPr>
          <w:sz w:val="20"/>
          <w:szCs w:val="20"/>
        </w:rPr>
      </w:pPr>
      <w:r w:rsidRPr="00AE2406">
        <w:rPr>
          <w:b/>
          <w:bCs/>
          <w:sz w:val="20"/>
          <w:szCs w:val="20"/>
        </w:rPr>
        <w:t>Sector ESG Insights</w:t>
      </w:r>
      <w:r w:rsidRPr="00AE2406">
        <w:rPr>
          <w:sz w:val="20"/>
          <w:szCs w:val="20"/>
        </w:rPr>
        <w:t>: Variability across sectors highlights differing sustainability performances, with some sectors excelling in governance while others lag in environmental or social metrics.</w:t>
      </w:r>
    </w:p>
    <w:p w14:paraId="2BB6ED6B" w14:textId="4DBB7F3C" w:rsidR="00D27C22" w:rsidRPr="00AE2406" w:rsidRDefault="00D27C22" w:rsidP="00D27C22">
      <w:pPr>
        <w:ind w:left="720"/>
        <w:jc w:val="center"/>
        <w:rPr>
          <w:sz w:val="20"/>
          <w:szCs w:val="20"/>
        </w:rPr>
      </w:pPr>
    </w:p>
    <w:p w14:paraId="65C3CB1C" w14:textId="2353CE03" w:rsidR="00D27C22" w:rsidRPr="00D27C22" w:rsidRDefault="00AE2406" w:rsidP="00D27C22">
      <w:pPr>
        <w:pStyle w:val="ListParagraph"/>
        <w:numPr>
          <w:ilvl w:val="0"/>
          <w:numId w:val="11"/>
        </w:numPr>
        <w:rPr>
          <w:b/>
          <w:bCs/>
          <w:sz w:val="20"/>
          <w:szCs w:val="20"/>
        </w:rPr>
      </w:pPr>
      <w:r w:rsidRPr="00D27C22">
        <w:rPr>
          <w:b/>
          <w:bCs/>
          <w:sz w:val="20"/>
          <w:szCs w:val="20"/>
        </w:rPr>
        <w:t>Correlation Between ESG and Risk</w:t>
      </w:r>
    </w:p>
    <w:p w14:paraId="213A6723" w14:textId="536BB321" w:rsidR="00AE2406" w:rsidRPr="00D27C22" w:rsidRDefault="00D27C22" w:rsidP="00D27C22">
      <w:pPr>
        <w:pStyle w:val="ListParagraph"/>
        <w:jc w:val="center"/>
        <w:rPr>
          <w:b/>
          <w:bCs/>
          <w:sz w:val="20"/>
          <w:szCs w:val="20"/>
        </w:rPr>
      </w:pPr>
      <w:r w:rsidRPr="00226C6F">
        <w:rPr>
          <w:noProof/>
        </w:rPr>
        <w:drawing>
          <wp:inline distT="0" distB="0" distL="0" distR="0" wp14:anchorId="1187BCBE" wp14:editId="686FA27A">
            <wp:extent cx="3180715" cy="2122170"/>
            <wp:effectExtent l="0" t="0" r="635" b="0"/>
            <wp:docPr id="47898626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86267" name="Picture 4"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4309" cy="2131585"/>
                    </a:xfrm>
                    <a:prstGeom prst="rect">
                      <a:avLst/>
                    </a:prstGeom>
                    <a:noFill/>
                    <a:ln>
                      <a:noFill/>
                    </a:ln>
                  </pic:spPr>
                </pic:pic>
              </a:graphicData>
            </a:graphic>
          </wp:inline>
        </w:drawing>
      </w:r>
    </w:p>
    <w:p w14:paraId="58937C82" w14:textId="767A0E80" w:rsidR="00AE2406" w:rsidRPr="00AE2406" w:rsidRDefault="00AE2406" w:rsidP="00AE2406">
      <w:pPr>
        <w:numPr>
          <w:ilvl w:val="0"/>
          <w:numId w:val="9"/>
        </w:numPr>
        <w:rPr>
          <w:sz w:val="20"/>
          <w:szCs w:val="20"/>
        </w:rPr>
      </w:pPr>
      <w:r w:rsidRPr="00AE2406">
        <w:rPr>
          <w:b/>
          <w:bCs/>
          <w:sz w:val="20"/>
          <w:szCs w:val="20"/>
        </w:rPr>
        <w:t>Negative Correlation</w:t>
      </w:r>
      <w:r w:rsidRPr="00AE2406">
        <w:rPr>
          <w:sz w:val="20"/>
          <w:szCs w:val="20"/>
        </w:rPr>
        <w:t xml:space="preserve">: Assets with higher ESG </w:t>
      </w:r>
      <w:proofErr w:type="gramStart"/>
      <w:r w:rsidRPr="00AE2406">
        <w:rPr>
          <w:sz w:val="20"/>
          <w:szCs w:val="20"/>
        </w:rPr>
        <w:t>scores  exhibit</w:t>
      </w:r>
      <w:proofErr w:type="gramEnd"/>
      <w:r w:rsidRPr="00AE2406">
        <w:rPr>
          <w:sz w:val="20"/>
          <w:szCs w:val="20"/>
        </w:rPr>
        <w:t xml:space="preserve"> lower total risk, underscoring the potential for ESG-focused investments to mitigate risk.</w:t>
      </w:r>
    </w:p>
    <w:p w14:paraId="38DDCBA5" w14:textId="67D84F97" w:rsidR="00AE2406" w:rsidRPr="00AE2406" w:rsidRDefault="00AE2406" w:rsidP="00AE2406">
      <w:pPr>
        <w:rPr>
          <w:b/>
          <w:bCs/>
          <w:sz w:val="20"/>
          <w:szCs w:val="20"/>
        </w:rPr>
      </w:pPr>
      <w:r w:rsidRPr="00AE2406">
        <w:rPr>
          <w:b/>
          <w:bCs/>
          <w:sz w:val="20"/>
          <w:szCs w:val="20"/>
        </w:rPr>
        <w:t>5. ESG Score Distributions</w:t>
      </w:r>
    </w:p>
    <w:p w14:paraId="2FDA4A51" w14:textId="00F725AD" w:rsidR="00AE2406" w:rsidRPr="00226C6F" w:rsidRDefault="00AE2406" w:rsidP="00AE2406">
      <w:pPr>
        <w:numPr>
          <w:ilvl w:val="0"/>
          <w:numId w:val="10"/>
        </w:numPr>
        <w:rPr>
          <w:sz w:val="20"/>
          <w:szCs w:val="20"/>
        </w:rPr>
      </w:pPr>
      <w:r w:rsidRPr="00AE2406">
        <w:rPr>
          <w:b/>
          <w:bCs/>
          <w:sz w:val="20"/>
          <w:szCs w:val="20"/>
        </w:rPr>
        <w:t>Density Analysis</w:t>
      </w:r>
      <w:r w:rsidRPr="00AE2406">
        <w:rPr>
          <w:sz w:val="20"/>
          <w:szCs w:val="20"/>
        </w:rPr>
        <w:t>: Kernel Density Estimation (KDE) plots reveal the distribution and variability of ESG scores, with governance scores typically higher than environmental and social scores.</w:t>
      </w:r>
    </w:p>
    <w:p w14:paraId="586EC211" w14:textId="475F6417" w:rsidR="0001517A" w:rsidRPr="00AE2406" w:rsidRDefault="0001517A" w:rsidP="0001517A">
      <w:pPr>
        <w:ind w:left="360"/>
        <w:jc w:val="center"/>
        <w:rPr>
          <w:sz w:val="20"/>
          <w:szCs w:val="20"/>
        </w:rPr>
      </w:pPr>
      <w:r w:rsidRPr="00226C6F">
        <w:rPr>
          <w:noProof/>
          <w:sz w:val="20"/>
          <w:szCs w:val="20"/>
        </w:rPr>
        <w:drawing>
          <wp:inline distT="0" distB="0" distL="0" distR="0" wp14:anchorId="691B1970" wp14:editId="0C565E63">
            <wp:extent cx="2928526" cy="2440546"/>
            <wp:effectExtent l="0" t="0" r="5715" b="0"/>
            <wp:docPr id="1851517855" name="Picture 12" descr="A group of graphs showing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17855" name="Picture 12" descr="A group of graphs showing different colo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2874" cy="2485838"/>
                    </a:xfrm>
                    <a:prstGeom prst="rect">
                      <a:avLst/>
                    </a:prstGeom>
                    <a:noFill/>
                    <a:ln>
                      <a:noFill/>
                    </a:ln>
                  </pic:spPr>
                </pic:pic>
              </a:graphicData>
            </a:graphic>
          </wp:inline>
        </w:drawing>
      </w:r>
    </w:p>
    <w:p w14:paraId="730D0879" w14:textId="77777777" w:rsidR="006D10A1" w:rsidRPr="00226C6F" w:rsidRDefault="006D10A1" w:rsidP="00AE2406">
      <w:pPr>
        <w:rPr>
          <w:sz w:val="20"/>
          <w:szCs w:val="20"/>
        </w:rPr>
      </w:pPr>
    </w:p>
    <w:sectPr w:rsidR="006D10A1" w:rsidRPr="00226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3411"/>
    <w:multiLevelType w:val="multilevel"/>
    <w:tmpl w:val="4EC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59D7"/>
    <w:multiLevelType w:val="multilevel"/>
    <w:tmpl w:val="A14A0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5B26"/>
    <w:multiLevelType w:val="multilevel"/>
    <w:tmpl w:val="2BB88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81F17"/>
    <w:multiLevelType w:val="multilevel"/>
    <w:tmpl w:val="DE80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C2DFE"/>
    <w:multiLevelType w:val="multilevel"/>
    <w:tmpl w:val="375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A520F"/>
    <w:multiLevelType w:val="multilevel"/>
    <w:tmpl w:val="7F28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26289"/>
    <w:multiLevelType w:val="multilevel"/>
    <w:tmpl w:val="FCD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14425"/>
    <w:multiLevelType w:val="multilevel"/>
    <w:tmpl w:val="101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05E5D"/>
    <w:multiLevelType w:val="hybridMultilevel"/>
    <w:tmpl w:val="256AC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8183C"/>
    <w:multiLevelType w:val="multilevel"/>
    <w:tmpl w:val="F89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B5C8D"/>
    <w:multiLevelType w:val="multilevel"/>
    <w:tmpl w:val="BEB46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838751">
    <w:abstractNumId w:val="9"/>
  </w:num>
  <w:num w:numId="2" w16cid:durableId="2102488863">
    <w:abstractNumId w:val="2"/>
  </w:num>
  <w:num w:numId="3" w16cid:durableId="1916546614">
    <w:abstractNumId w:val="5"/>
  </w:num>
  <w:num w:numId="4" w16cid:durableId="1430395365">
    <w:abstractNumId w:val="0"/>
  </w:num>
  <w:num w:numId="5" w16cid:durableId="1397165437">
    <w:abstractNumId w:val="3"/>
  </w:num>
  <w:num w:numId="6" w16cid:durableId="1681617597">
    <w:abstractNumId w:val="7"/>
  </w:num>
  <w:num w:numId="7" w16cid:durableId="1128813976">
    <w:abstractNumId w:val="1"/>
  </w:num>
  <w:num w:numId="8" w16cid:durableId="1389651360">
    <w:abstractNumId w:val="10"/>
  </w:num>
  <w:num w:numId="9" w16cid:durableId="572355483">
    <w:abstractNumId w:val="6"/>
  </w:num>
  <w:num w:numId="10" w16cid:durableId="878787301">
    <w:abstractNumId w:val="4"/>
  </w:num>
  <w:num w:numId="11" w16cid:durableId="461386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06"/>
    <w:rsid w:val="0001517A"/>
    <w:rsid w:val="0010677B"/>
    <w:rsid w:val="00107DAC"/>
    <w:rsid w:val="001C5F3B"/>
    <w:rsid w:val="00226C6F"/>
    <w:rsid w:val="00391E2B"/>
    <w:rsid w:val="00482ECE"/>
    <w:rsid w:val="0063250E"/>
    <w:rsid w:val="006D10A1"/>
    <w:rsid w:val="007500A8"/>
    <w:rsid w:val="00A17CAB"/>
    <w:rsid w:val="00A6006A"/>
    <w:rsid w:val="00AE2406"/>
    <w:rsid w:val="00AE4CB4"/>
    <w:rsid w:val="00CE2C7D"/>
    <w:rsid w:val="00CE5859"/>
    <w:rsid w:val="00D27C22"/>
    <w:rsid w:val="00D32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7676"/>
  <w15:chartTrackingRefBased/>
  <w15:docId w15:val="{D8A041EC-20A5-4FD3-AF91-6BF4B77F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406"/>
    <w:rPr>
      <w:rFonts w:eastAsiaTheme="majorEastAsia" w:cstheme="majorBidi"/>
      <w:color w:val="272727" w:themeColor="text1" w:themeTint="D8"/>
    </w:rPr>
  </w:style>
  <w:style w:type="paragraph" w:styleId="Title">
    <w:name w:val="Title"/>
    <w:basedOn w:val="Normal"/>
    <w:next w:val="Normal"/>
    <w:link w:val="TitleChar"/>
    <w:uiPriority w:val="10"/>
    <w:qFormat/>
    <w:rsid w:val="00AE2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406"/>
    <w:pPr>
      <w:spacing w:before="160"/>
      <w:jc w:val="center"/>
    </w:pPr>
    <w:rPr>
      <w:i/>
      <w:iCs/>
      <w:color w:val="404040" w:themeColor="text1" w:themeTint="BF"/>
    </w:rPr>
  </w:style>
  <w:style w:type="character" w:customStyle="1" w:styleId="QuoteChar">
    <w:name w:val="Quote Char"/>
    <w:basedOn w:val="DefaultParagraphFont"/>
    <w:link w:val="Quote"/>
    <w:uiPriority w:val="29"/>
    <w:rsid w:val="00AE2406"/>
    <w:rPr>
      <w:i/>
      <w:iCs/>
      <w:color w:val="404040" w:themeColor="text1" w:themeTint="BF"/>
    </w:rPr>
  </w:style>
  <w:style w:type="paragraph" w:styleId="ListParagraph">
    <w:name w:val="List Paragraph"/>
    <w:basedOn w:val="Normal"/>
    <w:uiPriority w:val="34"/>
    <w:qFormat/>
    <w:rsid w:val="00AE2406"/>
    <w:pPr>
      <w:ind w:left="720"/>
      <w:contextualSpacing/>
    </w:pPr>
  </w:style>
  <w:style w:type="character" w:styleId="IntenseEmphasis">
    <w:name w:val="Intense Emphasis"/>
    <w:basedOn w:val="DefaultParagraphFont"/>
    <w:uiPriority w:val="21"/>
    <w:qFormat/>
    <w:rsid w:val="00AE2406"/>
    <w:rPr>
      <w:i/>
      <w:iCs/>
      <w:color w:val="0F4761" w:themeColor="accent1" w:themeShade="BF"/>
    </w:rPr>
  </w:style>
  <w:style w:type="paragraph" w:styleId="IntenseQuote">
    <w:name w:val="Intense Quote"/>
    <w:basedOn w:val="Normal"/>
    <w:next w:val="Normal"/>
    <w:link w:val="IntenseQuoteChar"/>
    <w:uiPriority w:val="30"/>
    <w:qFormat/>
    <w:rsid w:val="00AE2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406"/>
    <w:rPr>
      <w:i/>
      <w:iCs/>
      <w:color w:val="0F4761" w:themeColor="accent1" w:themeShade="BF"/>
    </w:rPr>
  </w:style>
  <w:style w:type="character" w:styleId="IntenseReference">
    <w:name w:val="Intense Reference"/>
    <w:basedOn w:val="DefaultParagraphFont"/>
    <w:uiPriority w:val="32"/>
    <w:qFormat/>
    <w:rsid w:val="00AE2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65608">
      <w:bodyDiv w:val="1"/>
      <w:marLeft w:val="0"/>
      <w:marRight w:val="0"/>
      <w:marTop w:val="0"/>
      <w:marBottom w:val="0"/>
      <w:divBdr>
        <w:top w:val="none" w:sz="0" w:space="0" w:color="auto"/>
        <w:left w:val="none" w:sz="0" w:space="0" w:color="auto"/>
        <w:bottom w:val="none" w:sz="0" w:space="0" w:color="auto"/>
        <w:right w:val="none" w:sz="0" w:space="0" w:color="auto"/>
      </w:divBdr>
      <w:divsChild>
        <w:div w:id="144710347">
          <w:marLeft w:val="0"/>
          <w:marRight w:val="0"/>
          <w:marTop w:val="0"/>
          <w:marBottom w:val="0"/>
          <w:divBdr>
            <w:top w:val="none" w:sz="0" w:space="0" w:color="auto"/>
            <w:left w:val="none" w:sz="0" w:space="0" w:color="auto"/>
            <w:bottom w:val="none" w:sz="0" w:space="0" w:color="auto"/>
            <w:right w:val="none" w:sz="0" w:space="0" w:color="auto"/>
          </w:divBdr>
        </w:div>
        <w:div w:id="874191611">
          <w:marLeft w:val="0"/>
          <w:marRight w:val="0"/>
          <w:marTop w:val="0"/>
          <w:marBottom w:val="0"/>
          <w:divBdr>
            <w:top w:val="none" w:sz="0" w:space="0" w:color="auto"/>
            <w:left w:val="none" w:sz="0" w:space="0" w:color="auto"/>
            <w:bottom w:val="none" w:sz="0" w:space="0" w:color="auto"/>
            <w:right w:val="none" w:sz="0" w:space="0" w:color="auto"/>
          </w:divBdr>
        </w:div>
      </w:divsChild>
    </w:div>
    <w:div w:id="928998742">
      <w:bodyDiv w:val="1"/>
      <w:marLeft w:val="0"/>
      <w:marRight w:val="0"/>
      <w:marTop w:val="0"/>
      <w:marBottom w:val="0"/>
      <w:divBdr>
        <w:top w:val="none" w:sz="0" w:space="0" w:color="auto"/>
        <w:left w:val="none" w:sz="0" w:space="0" w:color="auto"/>
        <w:bottom w:val="none" w:sz="0" w:space="0" w:color="auto"/>
        <w:right w:val="none" w:sz="0" w:space="0" w:color="auto"/>
      </w:divBdr>
      <w:divsChild>
        <w:div w:id="834881334">
          <w:marLeft w:val="0"/>
          <w:marRight w:val="0"/>
          <w:marTop w:val="0"/>
          <w:marBottom w:val="0"/>
          <w:divBdr>
            <w:top w:val="none" w:sz="0" w:space="0" w:color="auto"/>
            <w:left w:val="none" w:sz="0" w:space="0" w:color="auto"/>
            <w:bottom w:val="none" w:sz="0" w:space="0" w:color="auto"/>
            <w:right w:val="none" w:sz="0" w:space="0" w:color="auto"/>
          </w:divBdr>
        </w:div>
        <w:div w:id="634724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patel</dc:creator>
  <cp:keywords/>
  <dc:description/>
  <cp:lastModifiedBy>jaimin patel</cp:lastModifiedBy>
  <cp:revision>4</cp:revision>
  <dcterms:created xsi:type="dcterms:W3CDTF">2024-12-16T19:56:00Z</dcterms:created>
  <dcterms:modified xsi:type="dcterms:W3CDTF">2024-12-16T23:23:00Z</dcterms:modified>
</cp:coreProperties>
</file>