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val="clear" w:color="auto" w:fill="1B365D"/>
            <w:tcMar>
              <w:top w:w="260" w:type="dxa"/>
              <w:bottom w:w="260" w:type="dxa"/>
              <w:left w:w="300" w:type="dxa"/>
              <w:right w:w="300" w:type="dxa"/>
            </w:tcMar>
          </w:tcPr>
          <w:p>
            <w:pPr>
              <w:jc w:val="center"/>
            </w:pPr>
            <w:r>
              <w:rPr>
                <w:rFonts w:ascii="Times New Roman" w:hAnsi="Times New Roman"/>
                <w:b/>
                <w:color w:val="FFFFFF"/>
                <w:sz w:val="30"/>
              </w:rPr>
              <w:t>DEPARTMENT OF COMPUTER SCIENCE &amp; ENGINEERING</w:t>
              <w:br/>
              <w:t>FULL STACK DEVELOPMENT - I (PS-FSD)</w:t>
              <w:br/>
              <w:t>PROJECT REPORT</w:t>
              <w:br/>
              <w:br/>
            </w:r>
          </w:p>
          <w:p>
            <w:pPr>
              <w:jc w:val="center"/>
            </w:pPr>
            <w:r>
              <w:rPr>
                <w:rFonts w:ascii="Times New Roman" w:hAnsi="Times New Roman"/>
                <w:b/>
                <w:color w:val="FFDC64"/>
                <w:sz w:val="32"/>
              </w:rPr>
              <w:t>GROWTHOS: THE AI GROWTH OPERATING SYSTEM FOR E-COMMERCE BRANDS</w:t>
              <w:br/>
            </w:r>
          </w:p>
          <w:p>
            <w:pPr>
              <w:jc w:val="center"/>
            </w:pPr>
            <w:r>
              <w:rPr>
                <w:rFonts w:ascii="Times New Roman" w:hAnsi="Times New Roman"/>
                <w:i/>
                <w:color w:val="D2E6FA"/>
                <w:sz w:val="22"/>
              </w:rPr>
              <w:t>SEMESTER V | ACADEMIC YEAR 2026-27</w:t>
              <w:br/>
              <w:br/>
              <w:t>A Comprehensive Full-Stack SaaS Platform Leveraging 7 Parallel AI Agents,</w:t>
              <w:br/>
              <w:t>Next.js 16 (App Router + Turbopack), PostgreSQL (Supabase), and Prisma 6 ORM</w:t>
              <w:br/>
            </w:r>
          </w:p>
        </w:tc>
      </w:tr>
    </w:tbl>
    <w:p/>
    <w:p>
      <w:r>
        <w:br w:type="page"/>
      </w:r>
    </w:p>
    <w:p>
      <w:pPr>
        <w:keepNext/>
        <w:spacing w:before="320" w:after="120"/>
      </w:pPr>
      <w:r>
        <w:rPr>
          <w:rFonts w:ascii="Times New Roman" w:hAnsi="Times New Roman"/>
          <w:b/>
          <w:color w:val="1B365D"/>
          <w:sz w:val="32"/>
        </w:rPr>
        <w:t>1. Abstract</w:t>
      </w:r>
    </w:p>
    <w:p>
      <w:pPr>
        <w:spacing w:before="40" w:after="80" w:line="276" w:lineRule="auto"/>
      </w:pPr>
      <w:r>
        <w:rPr>
          <w:rFonts w:ascii="Times New Roman" w:hAnsi="Times New Roman"/>
          <w:color w:val="1E1E1E"/>
          <w:sz w:val="24"/>
        </w:rPr>
        <w:t>Modern direct-to-consumer (D2C) e-commerce brands operate in an increasingly complex and hyper-fragmented digital ecosystem. Founders routinely navigate isolated data silos across storefront management (Shopify), customer acquisition channels (Meta Ads Manager, Google Shopping), courier logistics (Shiprocket, Delhivery), and payment gateways (Razorpay, Cashfree). While top-line gross merchandise value (GMV) frequently scales, hidden operational inefficiencies—such as disproportionate Customer Acquisition Costs (CAC), excessive Cash on Delivery (COD) dependency, high Return-to-Origin (RTO) freight losses (often 18% to 30% in developing markets), and checkout abandonment—silently erode net profitability and drain working capital. Traditional institutional advisory firms provide comprehensive quarterly diagnostic audits, but their cost structures make them inaccessible to early and growth-stage brands.</w:t>
      </w:r>
    </w:p>
    <w:p>
      <w:pPr>
        <w:spacing w:before="40" w:after="80" w:line="276" w:lineRule="auto"/>
      </w:pPr>
      <w:r>
        <w:rPr>
          <w:rFonts w:ascii="Times New Roman" w:hAnsi="Times New Roman"/>
          <w:color w:val="1E1E1E"/>
          <w:sz w:val="24"/>
        </w:rPr>
        <w:t>To address this critical market friction, this project introduces GrowthOS, an institutional-grade, full-stack AI Growth Operating System designed specifically for D2C e-commerce founders. GrowthOS unifies fragmented commercial metrics into a cohesive single pane of glass and executes an asynchronous multi-agent diagnostic pipeline. By orchestrating seven specialized Large Language Model (LLM) agents—covering Finance, Marketing, Operations, Technology, Unit Economics, Inventory, and Retention—in parallel via Groq Language Processing Unit (LPU) hardware, GrowthOS achieves comprehensive enterprise diagnosis in under 4.0 seconds. The platform delivers prioritized, dollar-quantified Standard Operating Procedures (SOPs), an interactive what-if strategy simulation laboratory, and automated client-side executive CEO PDF report compilation. Built on Next.js 16 (App Router with Turbopack), React 19, TypeScript, PostgreSQL (via Supabase), and Prisma 6 ORM, GrowthOS demonstrates the convergence of modern web engineering, relational persistence, and generative artificial intelligence.</w:t>
      </w:r>
    </w:p>
    <w:p>
      <w:r>
        <w:br w:type="page"/>
      </w:r>
    </w:p>
    <w:p>
      <w:pPr>
        <w:keepNext/>
        <w:spacing w:before="320" w:after="120"/>
      </w:pPr>
      <w:r>
        <w:rPr>
          <w:rFonts w:ascii="Times New Roman" w:hAnsi="Times New Roman"/>
          <w:b/>
          <w:color w:val="1B365D"/>
          <w:sz w:val="32"/>
        </w:rPr>
        <w:t>2. Introduction</w:t>
      </w:r>
    </w:p>
    <w:p>
      <w:pPr>
        <w:keepNext/>
        <w:spacing w:before="240" w:after="80"/>
      </w:pPr>
      <w:r>
        <w:rPr>
          <w:rFonts w:ascii="Times New Roman" w:hAnsi="Times New Roman"/>
          <w:b/>
          <w:color w:val="234B7D"/>
          <w:sz w:val="28"/>
        </w:rPr>
        <w:t>2.1 Background &amp; Industry Context</w:t>
      </w:r>
    </w:p>
    <w:p>
      <w:pPr>
        <w:spacing w:before="40" w:after="80" w:line="276" w:lineRule="auto"/>
      </w:pPr>
      <w:r>
        <w:rPr>
          <w:rFonts w:ascii="Times New Roman" w:hAnsi="Times New Roman"/>
          <w:color w:val="1E1E1E"/>
          <w:sz w:val="24"/>
        </w:rPr>
        <w:t>The global direct-to-consumer (D2C) market has undergone exponential expansion over the past decade, accelerated by turnkey e-commerce platforms, programmatic social advertising, and digitized logistics infrastructure. In markets such as India, Southeast Asia, and Latin America, thousands of independent apparel, beauty, electronics, and food brands have emerged, circumventing traditional retail middlemen. However, this democratization of brand creation has produced an intensely competitive operating environment where customer acquisition costs on Meta and Google have inflated by over 40% year-over-year.</w:t>
      </w:r>
    </w:p>
    <w:p>
      <w:pPr>
        <w:keepNext/>
        <w:spacing w:before="240" w:after="80"/>
      </w:pPr>
      <w:r>
        <w:rPr>
          <w:rFonts w:ascii="Times New Roman" w:hAnsi="Times New Roman"/>
          <w:b/>
          <w:color w:val="234B7D"/>
          <w:sz w:val="28"/>
        </w:rPr>
        <w:t>2.2 Problem Statement &amp; Core Operational Bottlenecks</w:t>
      </w:r>
    </w:p>
    <w:p>
      <w:pPr>
        <w:spacing w:before="40" w:after="80" w:line="276" w:lineRule="auto"/>
      </w:pPr>
      <w:r>
        <w:rPr>
          <w:rFonts w:ascii="Times New Roman" w:hAnsi="Times New Roman"/>
          <w:color w:val="1E1E1E"/>
          <w:sz w:val="24"/>
        </w:rPr>
        <w:t>Despite having access to real-time analytics dashboards, D2C brand founders struggle with data synthesis and strategic execution. The core failure modes observed across modern e-commerce enterprises include:</w:t>
      </w:r>
    </w:p>
    <w:p>
      <w:pPr>
        <w:pStyle w:val="ListBullet"/>
        <w:spacing w:before="20" w:after="40" w:line="276" w:lineRule="auto"/>
      </w:pPr>
      <w:r>
        <w:rPr>
          <w:rFonts w:ascii="Times New Roman" w:hAnsi="Times New Roman"/>
          <w:b/>
          <w:color w:val="141414"/>
          <w:sz w:val="24"/>
        </w:rPr>
        <w:t xml:space="preserve">Data Fragmentation &amp; Analytics Fatigue: </w:t>
      </w:r>
      <w:r>
        <w:rPr>
          <w:rFonts w:ascii="Times New Roman" w:hAnsi="Times New Roman"/>
          <w:color w:val="1E1E1E"/>
          <w:sz w:val="24"/>
        </w:rPr>
        <w:t>Founders operate between 6 to 10 disconnected tools, preventing holistic correlation between marketing ad spend and logistics fulfillment success.</w:t>
      </w:r>
    </w:p>
    <w:p>
      <w:pPr>
        <w:pStyle w:val="ListBullet"/>
        <w:spacing w:before="20" w:after="40" w:line="276" w:lineRule="auto"/>
      </w:pPr>
      <w:r>
        <w:rPr>
          <w:rFonts w:ascii="Times New Roman" w:hAnsi="Times New Roman"/>
          <w:b/>
          <w:color w:val="141414"/>
          <w:sz w:val="24"/>
        </w:rPr>
        <w:t xml:space="preserve">Severe COD Return-to-Origin (RTO) Margin Erosion: </w:t>
      </w:r>
      <w:r>
        <w:rPr>
          <w:rFonts w:ascii="Times New Roman" w:hAnsi="Times New Roman"/>
          <w:color w:val="1E1E1E"/>
          <w:sz w:val="24"/>
        </w:rPr>
        <w:t>In regions like India, Cash on Delivery accounts for 60% to 75% of order volume. Over 20% of COD shipments result in Return to Origin (RTO), where brands incur two-way courier freight without generating revenue.</w:t>
      </w:r>
    </w:p>
    <w:p>
      <w:pPr>
        <w:pStyle w:val="ListBullet"/>
        <w:spacing w:before="20" w:after="40" w:line="276" w:lineRule="auto"/>
      </w:pPr>
      <w:r>
        <w:rPr>
          <w:rFonts w:ascii="Times New Roman" w:hAnsi="Times New Roman"/>
          <w:b/>
          <w:color w:val="141414"/>
          <w:sz w:val="24"/>
        </w:rPr>
        <w:t xml:space="preserve">Opaque Unit Economics: </w:t>
      </w:r>
      <w:r>
        <w:rPr>
          <w:rFonts w:ascii="Times New Roman" w:hAnsi="Times New Roman"/>
          <w:color w:val="1E1E1E"/>
          <w:sz w:val="24"/>
        </w:rPr>
        <w:t>Founders frequently monitor blended ROAS (Return on Ad Spend) while ignoring Contribution Margin 2 (CM2), leading to scenarios where scaling ad spend actively destroys enterprise cash reserves.</w:t>
      </w:r>
    </w:p>
    <w:p>
      <w:pPr>
        <w:pStyle w:val="ListBullet"/>
        <w:spacing w:before="20" w:after="40" w:line="276" w:lineRule="auto"/>
      </w:pPr>
      <w:r>
        <w:rPr>
          <w:rFonts w:ascii="Times New Roman" w:hAnsi="Times New Roman"/>
          <w:b/>
          <w:color w:val="141414"/>
          <w:sz w:val="24"/>
        </w:rPr>
        <w:t xml:space="preserve">Lack of Prescriptive Actionability: </w:t>
      </w:r>
      <w:r>
        <w:rPr>
          <w:rFonts w:ascii="Times New Roman" w:hAnsi="Times New Roman"/>
          <w:color w:val="1E1E1E"/>
          <w:sz w:val="24"/>
        </w:rPr>
        <w:t>Traditional business intelligence platforms produce passive charts without offering specific, step-by-step implementation instructions or assigned tools.</w:t>
      </w:r>
    </w:p>
    <w:p>
      <w:pPr>
        <w:keepNext/>
        <w:spacing w:before="240" w:after="80"/>
      </w:pPr>
      <w:r>
        <w:rPr>
          <w:rFonts w:ascii="Times New Roman" w:hAnsi="Times New Roman"/>
          <w:b/>
          <w:color w:val="234B7D"/>
          <w:sz w:val="28"/>
        </w:rPr>
        <w:t>2.3 Proposed Solution: The GrowthOS Operating System</w:t>
      </w:r>
    </w:p>
    <w:p>
      <w:pPr>
        <w:spacing w:before="40" w:after="80" w:line="276" w:lineRule="auto"/>
      </w:pPr>
      <w:r>
        <w:rPr>
          <w:rFonts w:ascii="Times New Roman" w:hAnsi="Times New Roman"/>
          <w:color w:val="1E1E1E"/>
          <w:sz w:val="24"/>
        </w:rPr>
        <w:t>GrowthOS fundamentally re-architects e-commerce intelligence by shifting from passive descriptive analytics to active prescriptive diagnosis. The system aggregates high-level operational inputs (monthly revenue, expenses, AOV, CAC, ROAS, COD %, RTO %, cart abandonment, inventory turnover) and coordinates seven autonomous domain agents concurrently. Rather than producing generic recommendations such as 'reduce marketing costs', GrowthOS produces concrete, tool-specific SOPs (e.g. 'Deploy automated WhatsApp Non-Delivery Report [NDR] flow via Shiprocket and Interakt within 14 days to reduce RTO by 6 percentage points, recovering ₹14,300/month').</w:t>
      </w:r>
    </w:p>
    <w:p>
      <w:pPr>
        <w:keepNext/>
        <w:spacing w:before="240" w:after="80"/>
      </w:pPr>
      <w:r>
        <w:rPr>
          <w:rFonts w:ascii="Times New Roman" w:hAnsi="Times New Roman"/>
          <w:b/>
          <w:color w:val="234B7D"/>
          <w:sz w:val="28"/>
        </w:rPr>
        <w:t>2.4 Key Project Objectives</w:t>
      </w:r>
    </w:p>
    <w:p>
      <w:pPr>
        <w:pStyle w:val="ListBullet"/>
        <w:spacing w:before="20" w:after="40" w:line="276" w:lineRule="auto"/>
      </w:pPr>
      <w:r>
        <w:rPr>
          <w:rFonts w:ascii="Times New Roman" w:hAnsi="Times New Roman"/>
          <w:color w:val="1E1E1E"/>
          <w:sz w:val="24"/>
        </w:rPr>
        <w:t>To construct a responsive, high-performance web platform utilizing Next.js 16 App Router, React 19, and Tailwind CSS.</w:t>
      </w:r>
    </w:p>
    <w:p>
      <w:pPr>
        <w:pStyle w:val="ListBullet"/>
        <w:spacing w:before="20" w:after="40" w:line="276" w:lineRule="auto"/>
      </w:pPr>
      <w:r>
        <w:rPr>
          <w:rFonts w:ascii="Times New Roman" w:hAnsi="Times New Roman"/>
          <w:color w:val="1E1E1E"/>
          <w:sz w:val="24"/>
        </w:rPr>
        <w:t>To architect a robust, normalized PostgreSQL relational schema managed via Prisma 6 ORM, integrating native JSONB columns for dynamic agent payload persistence.</w:t>
      </w:r>
    </w:p>
    <w:p>
      <w:pPr>
        <w:pStyle w:val="ListBullet"/>
        <w:spacing w:before="20" w:after="40" w:line="276" w:lineRule="auto"/>
      </w:pPr>
      <w:r>
        <w:rPr>
          <w:rFonts w:ascii="Times New Roman" w:hAnsi="Times New Roman"/>
          <w:color w:val="1E1E1E"/>
          <w:sz w:val="24"/>
        </w:rPr>
        <w:t>To implement an asynchronous parallel AI orchestration engine using Groq SDK and Llama 3.3-70B Versatile, completing 7-agent audits in under 4 seconds.</w:t>
      </w:r>
    </w:p>
    <w:p>
      <w:pPr>
        <w:pStyle w:val="ListBullet"/>
        <w:spacing w:before="20" w:after="40" w:line="276" w:lineRule="auto"/>
      </w:pPr>
      <w:r>
        <w:rPr>
          <w:rFonts w:ascii="Times New Roman" w:hAnsi="Times New Roman"/>
          <w:color w:val="1E1E1E"/>
          <w:sz w:val="24"/>
        </w:rPr>
        <w:t>To build an interactive Strategy Simulator allowing founders to model hypothetical what-if business adjustments and view projected 30/90-day P&amp;L impacts.</w:t>
      </w:r>
    </w:p>
    <w:p>
      <w:pPr>
        <w:pStyle w:val="ListBullet"/>
        <w:spacing w:before="20" w:after="40" w:line="276" w:lineRule="auto"/>
      </w:pPr>
      <w:r>
        <w:rPr>
          <w:rFonts w:ascii="Times New Roman" w:hAnsi="Times New Roman"/>
          <w:color w:val="1E1E1E"/>
          <w:sz w:val="24"/>
        </w:rPr>
        <w:t>To engineer a client-side PDF export system generating institutional-grade CEO Executive Briefings directly from the browser.</w:t>
      </w:r>
    </w:p>
    <w:p>
      <w:pPr>
        <w:pStyle w:val="ListBullet"/>
        <w:spacing w:before="20" w:after="40" w:line="276" w:lineRule="auto"/>
      </w:pPr>
      <w:r>
        <w:rPr>
          <w:rFonts w:ascii="Times New Roman" w:hAnsi="Times New Roman"/>
          <w:color w:val="1E1E1E"/>
          <w:sz w:val="24"/>
        </w:rPr>
        <w:t>To implement secure multi-tenant authentication, credential salting/hashing via Bcrypt, and route-level authorization guards.</w:t>
      </w:r>
    </w:p>
    <w:p>
      <w:pPr>
        <w:keepNext/>
        <w:spacing w:before="240" w:after="80"/>
      </w:pPr>
      <w:r>
        <w:rPr>
          <w:rFonts w:ascii="Times New Roman" w:hAnsi="Times New Roman"/>
          <w:b/>
          <w:color w:val="234B7D"/>
          <w:sz w:val="28"/>
        </w:rPr>
        <w:t>2.5 Scope of the Project</w:t>
      </w:r>
    </w:p>
    <w:p>
      <w:pPr>
        <w:spacing w:before="40" w:after="80" w:line="276" w:lineRule="auto"/>
      </w:pPr>
      <w:r>
        <w:rPr>
          <w:rFonts w:ascii="Times New Roman" w:hAnsi="Times New Roman"/>
          <w:color w:val="1E1E1E"/>
          <w:sz w:val="24"/>
        </w:rPr>
        <w:t>The initial deployment of GrowthOS targets early-stage and growth-stage D2C e-commerce brands generating between ₹5 Lakhs and ₹1 Crore in monthly gross revenue. The system supports full multi-tenancy, historical time-series snapshot comparisons, strategy simulation, and client-side document generation without requiring expensive third-party consulting engagements.</w:t>
      </w:r>
    </w:p>
    <w:p>
      <w:r>
        <w:br w:type="page"/>
      </w:r>
    </w:p>
    <w:p>
      <w:pPr>
        <w:keepNext/>
        <w:spacing w:before="320" w:after="120"/>
      </w:pPr>
      <w:r>
        <w:rPr>
          <w:rFonts w:ascii="Times New Roman" w:hAnsi="Times New Roman"/>
          <w:b/>
          <w:color w:val="1B365D"/>
          <w:sz w:val="32"/>
        </w:rPr>
        <w:t>3. Project Description</w:t>
      </w:r>
    </w:p>
    <w:p>
      <w:pPr>
        <w:keepNext/>
        <w:spacing w:before="240" w:after="80"/>
      </w:pPr>
      <w:r>
        <w:rPr>
          <w:rFonts w:ascii="Times New Roman" w:hAnsi="Times New Roman"/>
          <w:b/>
          <w:color w:val="234B7D"/>
          <w:sz w:val="28"/>
        </w:rPr>
        <w:t>3.1 System Architecture &amp; Technology Stack</w:t>
      </w:r>
    </w:p>
    <w:p>
      <w:pPr>
        <w:spacing w:before="40" w:after="80" w:line="276" w:lineRule="auto"/>
      </w:pPr>
      <w:r>
        <w:rPr>
          <w:rFonts w:ascii="Times New Roman" w:hAnsi="Times New Roman"/>
          <w:color w:val="1E1E1E"/>
          <w:sz w:val="24"/>
        </w:rPr>
        <w:t>GrowthOS is engineered using a tiered Full-Stack Architecture emphasizing low-latency edge rendering, strict compile-time type safety, and asynchronous execution. The platform is decoupled into presentation, service orchestration, persistence, and external inference layers.</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50" w:type="dxa"/>
              <w:bottom w:w="50" w:type="dxa"/>
              <w:left w:w="70" w:type="dxa"/>
              <w:right w:w="70" w:type="dxa"/>
            </w:tcMar>
            <w:shd w:val="clear" w:color="auto" w:fill="1B365D"/>
          </w:tcPr>
          <w:p>
            <w:r>
              <w:rPr>
                <w:rFonts w:ascii="Times New Roman" w:hAnsi="Times New Roman"/>
                <w:b/>
                <w:color w:val="FFFFFF"/>
                <w:sz w:val="22"/>
              </w:rPr>
              <w:t>Architectural Layer</w:t>
            </w:r>
          </w:p>
        </w:tc>
        <w:tc>
          <w:tcPr>
            <w:tcW w:type="dxa" w:w="2484"/>
            <w:tcMar>
              <w:top w:w="50" w:type="dxa"/>
              <w:bottom w:w="50" w:type="dxa"/>
              <w:left w:w="70" w:type="dxa"/>
              <w:right w:w="70" w:type="dxa"/>
            </w:tcMar>
            <w:shd w:val="clear" w:color="auto" w:fill="1B365D"/>
          </w:tcPr>
          <w:p>
            <w:r>
              <w:rPr>
                <w:rFonts w:ascii="Times New Roman" w:hAnsi="Times New Roman"/>
                <w:b/>
                <w:color w:val="FFFFFF"/>
                <w:sz w:val="22"/>
              </w:rPr>
              <w:t>Technology Selection</w:t>
            </w:r>
          </w:p>
        </w:tc>
        <w:tc>
          <w:tcPr>
            <w:tcW w:type="dxa" w:w="2484"/>
            <w:tcMar>
              <w:top w:w="50" w:type="dxa"/>
              <w:bottom w:w="50" w:type="dxa"/>
              <w:left w:w="70" w:type="dxa"/>
              <w:right w:w="70" w:type="dxa"/>
            </w:tcMar>
            <w:shd w:val="clear" w:color="auto" w:fill="1B365D"/>
          </w:tcPr>
          <w:p>
            <w:r>
              <w:rPr>
                <w:rFonts w:ascii="Times New Roman" w:hAnsi="Times New Roman"/>
                <w:b/>
                <w:color w:val="FFFFFF"/>
                <w:sz w:val="22"/>
              </w:rPr>
              <w:t>Version</w:t>
            </w:r>
          </w:p>
        </w:tc>
        <w:tc>
          <w:tcPr>
            <w:tcW w:type="dxa" w:w="2484"/>
            <w:tcMar>
              <w:top w:w="50" w:type="dxa"/>
              <w:bottom w:w="50" w:type="dxa"/>
              <w:left w:w="70" w:type="dxa"/>
              <w:right w:w="70" w:type="dxa"/>
            </w:tcMar>
            <w:shd w:val="clear" w:color="auto" w:fill="1B365D"/>
          </w:tcPr>
          <w:p>
            <w:r>
              <w:rPr>
                <w:rFonts w:ascii="Times New Roman" w:hAnsi="Times New Roman"/>
                <w:b/>
                <w:color w:val="FFFFFF"/>
                <w:sz w:val="22"/>
              </w:rPr>
              <w:t>Engineering Rationale</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Client &amp; Frontend Framework</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Next.js (App Router + Turbopack)</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16.2.12</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Server-Side Rendering (SSR), Server Components, sub-second compilation.</w:t>
            </w:r>
          </w:p>
        </w:tc>
      </w:tr>
      <w:tr>
        <w:tc>
          <w:tcPr>
            <w:tcW w:type="dxa" w:w="2484"/>
            <w:tcMar>
              <w:top w:w="50" w:type="dxa"/>
              <w:bottom w:w="50" w:type="dxa"/>
              <w:left w:w="70" w:type="dxa"/>
              <w:right w:w="70" w:type="dxa"/>
            </w:tcMar>
            <w:shd w:val="clear" w:color="auto" w:fill="FFFFFF"/>
          </w:tcPr>
          <w:p>
            <w:r>
              <w:rPr>
                <w:rFonts w:ascii="Times New Roman" w:hAnsi="Times New Roman"/>
                <w:b/>
                <w:color w:val="1E1E1E"/>
                <w:sz w:val="21"/>
              </w:rPr>
              <w:t>User Interface Library</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React</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19.0.0</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Concurrent rendering, optimized hook lifecycles, and zero-bundle server logic.</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Programming Language</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TypeScript (Strict Mode)</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5.x</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Static type checking preventing runtime undefined/null reference exceptions.</w:t>
            </w:r>
          </w:p>
        </w:tc>
      </w:tr>
      <w:tr>
        <w:tc>
          <w:tcPr>
            <w:tcW w:type="dxa" w:w="2484"/>
            <w:tcMar>
              <w:top w:w="50" w:type="dxa"/>
              <w:bottom w:w="50" w:type="dxa"/>
              <w:left w:w="70" w:type="dxa"/>
              <w:right w:w="70" w:type="dxa"/>
            </w:tcMar>
            <w:shd w:val="clear" w:color="auto" w:fill="FFFFFF"/>
          </w:tcPr>
          <w:p>
            <w:r>
              <w:rPr>
                <w:rFonts w:ascii="Times New Roman" w:hAnsi="Times New Roman"/>
                <w:b/>
                <w:color w:val="1E1E1E"/>
                <w:sz w:val="21"/>
              </w:rPr>
              <w:t>Styling &amp; Design System</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Tailwind CSS</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3.4.17</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Utility-first design system with curated dark mode palette (#0D0D0E, zinc-900).</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Relational Database</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PostgreSQL (via Supabase)</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15 / 16</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Full ACID compliance, foreign keys, MVCC concurrency, native JSONB support.</w:t>
            </w:r>
          </w:p>
        </w:tc>
      </w:tr>
      <w:tr>
        <w:tc>
          <w:tcPr>
            <w:tcW w:type="dxa" w:w="2484"/>
            <w:tcMar>
              <w:top w:w="50" w:type="dxa"/>
              <w:bottom w:w="50" w:type="dxa"/>
              <w:left w:w="70" w:type="dxa"/>
              <w:right w:w="70" w:type="dxa"/>
            </w:tcMar>
            <w:shd w:val="clear" w:color="auto" w:fill="FFFFFF"/>
          </w:tcPr>
          <w:p>
            <w:r>
              <w:rPr>
                <w:rFonts w:ascii="Times New Roman" w:hAnsi="Times New Roman"/>
                <w:b/>
                <w:color w:val="1E1E1E"/>
                <w:sz w:val="21"/>
              </w:rPr>
              <w:t>Object-Relational Mapping</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Prisma ORM</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6.5.0</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Type-safe query generation, automated schema migrations, connection pooling.</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Authentication &amp; Security</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Auth.js (NextAuth)</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5.0-beta.25</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Multi-provider authentication (Credentials + Google OAuth), JWT session cookies.</w:t>
            </w:r>
          </w:p>
        </w:tc>
      </w:tr>
      <w:tr>
        <w:tc>
          <w:tcPr>
            <w:tcW w:type="dxa" w:w="2484"/>
            <w:tcMar>
              <w:top w:w="50" w:type="dxa"/>
              <w:bottom w:w="50" w:type="dxa"/>
              <w:left w:w="70" w:type="dxa"/>
              <w:right w:w="70" w:type="dxa"/>
            </w:tcMar>
            <w:shd w:val="clear" w:color="auto" w:fill="FFFFFF"/>
          </w:tcPr>
          <w:p>
            <w:r>
              <w:rPr>
                <w:rFonts w:ascii="Times New Roman" w:hAnsi="Times New Roman"/>
                <w:b/>
                <w:color w:val="1E1E1E"/>
                <w:sz w:val="21"/>
              </w:rPr>
              <w:t>AI Inference Engine</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Groq SDK (Llama 3.3-70B)</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0.9.1</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Language Processing Unit (LPU) architecture achieving 7 parallel completions in &lt; 4s.</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Data Visualization</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Recharts</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3.10.1</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Dynamic SVG charts, historical metric curves, and health score radial gauges.</w:t>
            </w:r>
          </w:p>
        </w:tc>
      </w:tr>
      <w:tr>
        <w:tc>
          <w:tcPr>
            <w:tcW w:type="dxa" w:w="2484"/>
            <w:tcMar>
              <w:top w:w="50" w:type="dxa"/>
              <w:bottom w:w="50" w:type="dxa"/>
              <w:left w:w="70" w:type="dxa"/>
              <w:right w:w="70" w:type="dxa"/>
            </w:tcMar>
            <w:shd w:val="clear" w:color="auto" w:fill="FFFFFF"/>
          </w:tcPr>
          <w:p>
            <w:r>
              <w:rPr>
                <w:rFonts w:ascii="Times New Roman" w:hAnsi="Times New Roman"/>
                <w:b/>
                <w:color w:val="1E1E1E"/>
                <w:sz w:val="21"/>
              </w:rPr>
              <w:t>Document Compilation</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jsPDF + html2canvas</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2.5.2 / 1.4</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Pixel-perfect client-side PDF export of executive briefings without headless browsers.</w:t>
            </w:r>
          </w:p>
        </w:tc>
      </w:tr>
    </w:tbl>
    <w:p>
      <w:pPr>
        <w:spacing w:before="40" w:after="80"/>
      </w:pPr>
    </w:p>
    <w:p>
      <w:pPr>
        <w:keepNext/>
        <w:spacing w:before="240" w:after="80"/>
      </w:pPr>
      <w:r>
        <w:rPr>
          <w:rFonts w:ascii="Times New Roman" w:hAnsi="Times New Roman"/>
          <w:b/>
          <w:color w:val="234B7D"/>
          <w:sz w:val="28"/>
        </w:rPr>
        <w:t>3.2 Database Design &amp; Relational Entity Structure</w:t>
      </w:r>
    </w:p>
    <w:p>
      <w:pPr>
        <w:spacing w:before="40" w:after="80" w:line="276" w:lineRule="auto"/>
      </w:pPr>
      <w:r>
        <w:rPr>
          <w:rFonts w:ascii="Times New Roman" w:hAnsi="Times New Roman"/>
          <w:color w:val="1E1E1E"/>
          <w:sz w:val="24"/>
        </w:rPr>
        <w:t>The database architecture balances strict Third Normal Form (3NF) relational integrity for user identities and store profiles with the flexibility of PostgreSQL JSONB document structures for unstructured, evolving multi-agent diagnostic outputs. Managed via Prisma ORM and hosted on Supabase, the database topology separates transactional query pooling (port 6543) from direct migration sessions (port 5432).</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50" w:type="dxa"/>
              <w:bottom w:w="50" w:type="dxa"/>
              <w:left w:w="70" w:type="dxa"/>
              <w:right w:w="70" w:type="dxa"/>
            </w:tcMar>
            <w:shd w:val="clear" w:color="auto" w:fill="1B365D"/>
          </w:tcPr>
          <w:p>
            <w:r>
              <w:rPr>
                <w:rFonts w:ascii="Times New Roman" w:hAnsi="Times New Roman"/>
                <w:b/>
                <w:color w:val="FFFFFF"/>
                <w:sz w:val="22"/>
              </w:rPr>
              <w:t>Entity Name</w:t>
            </w:r>
          </w:p>
        </w:tc>
        <w:tc>
          <w:tcPr>
            <w:tcW w:type="dxa" w:w="2484"/>
            <w:tcMar>
              <w:top w:w="50" w:type="dxa"/>
              <w:bottom w:w="50" w:type="dxa"/>
              <w:left w:w="70" w:type="dxa"/>
              <w:right w:w="70" w:type="dxa"/>
            </w:tcMar>
            <w:shd w:val="clear" w:color="auto" w:fill="1B365D"/>
          </w:tcPr>
          <w:p>
            <w:r>
              <w:rPr>
                <w:rFonts w:ascii="Times New Roman" w:hAnsi="Times New Roman"/>
                <w:b/>
                <w:color w:val="FFFFFF"/>
                <w:sz w:val="22"/>
              </w:rPr>
              <w:t>Primary Key</w:t>
            </w:r>
          </w:p>
        </w:tc>
        <w:tc>
          <w:tcPr>
            <w:tcW w:type="dxa" w:w="2484"/>
            <w:tcMar>
              <w:top w:w="50" w:type="dxa"/>
              <w:bottom w:w="50" w:type="dxa"/>
              <w:left w:w="70" w:type="dxa"/>
              <w:right w:w="70" w:type="dxa"/>
            </w:tcMar>
            <w:shd w:val="clear" w:color="auto" w:fill="1B365D"/>
          </w:tcPr>
          <w:p>
            <w:r>
              <w:rPr>
                <w:rFonts w:ascii="Times New Roman" w:hAnsi="Times New Roman"/>
                <w:b/>
                <w:color w:val="FFFFFF"/>
                <w:sz w:val="22"/>
              </w:rPr>
              <w:t>Foreign Key References</w:t>
            </w:r>
          </w:p>
        </w:tc>
        <w:tc>
          <w:tcPr>
            <w:tcW w:type="dxa" w:w="2484"/>
            <w:tcMar>
              <w:top w:w="50" w:type="dxa"/>
              <w:bottom w:w="50" w:type="dxa"/>
              <w:left w:w="70" w:type="dxa"/>
              <w:right w:w="70" w:type="dxa"/>
            </w:tcMar>
            <w:shd w:val="clear" w:color="auto" w:fill="1B365D"/>
          </w:tcPr>
          <w:p>
            <w:r>
              <w:rPr>
                <w:rFonts w:ascii="Times New Roman" w:hAnsi="Times New Roman"/>
                <w:b/>
                <w:color w:val="FFFFFF"/>
                <w:sz w:val="22"/>
              </w:rPr>
              <w:t>Core Responsibilities &amp; Schema Role</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User</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id (CUID)</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None</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Identity, authentication credentials (bcrypt hash), audit timestamps.</w:t>
            </w:r>
          </w:p>
        </w:tc>
      </w:tr>
      <w:tr>
        <w:tc>
          <w:tcPr>
            <w:tcW w:type="dxa" w:w="2484"/>
            <w:tcMar>
              <w:top w:w="50" w:type="dxa"/>
              <w:bottom w:w="50" w:type="dxa"/>
              <w:left w:w="70" w:type="dxa"/>
              <w:right w:w="70" w:type="dxa"/>
            </w:tcMar>
            <w:shd w:val="clear" w:color="auto" w:fill="FFFFFF"/>
          </w:tcPr>
          <w:p>
            <w:r>
              <w:rPr>
                <w:rFonts w:ascii="Times New Roman" w:hAnsi="Times New Roman"/>
                <w:b/>
                <w:color w:val="1E1E1E"/>
                <w:sz w:val="21"/>
              </w:rPr>
              <w:t>Business</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id (CUID)</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userId -&gt; User(id)</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Master store profile, revenue, CAC, AOV, ROAS, COD %, RTO %, health score.</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BusinessSnapshot</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id (CUID)</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businessId -&gt; Business(id)</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Immutable time-series records for longitudinal KPI tracking and trend analysis.</w:t>
            </w:r>
          </w:p>
        </w:tc>
      </w:tr>
      <w:tr>
        <w:tc>
          <w:tcPr>
            <w:tcW w:type="dxa" w:w="2484"/>
            <w:tcMar>
              <w:top w:w="50" w:type="dxa"/>
              <w:bottom w:w="50" w:type="dxa"/>
              <w:left w:w="70" w:type="dxa"/>
              <w:right w:w="70" w:type="dxa"/>
            </w:tcMar>
            <w:shd w:val="clear" w:color="auto" w:fill="FFFFFF"/>
          </w:tcPr>
          <w:p>
            <w:r>
              <w:rPr>
                <w:rFonts w:ascii="Times New Roman" w:hAnsi="Times New Roman"/>
                <w:b/>
                <w:color w:val="1E1E1E"/>
                <w:sz w:val="21"/>
              </w:rPr>
              <w:t>Analysis</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id (CUID)</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businessId, createdById</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JSONB storage for 7-agent diagnostic results, overall health rating, summary.</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Simulation</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id (CUID)</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businessId, createdById</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Hypothetical strategy runs, 30/90 day forecasts, risks, and opportunities.</w:t>
            </w:r>
          </w:p>
        </w:tc>
      </w:tr>
      <w:tr>
        <w:tc>
          <w:tcPr>
            <w:tcW w:type="dxa" w:w="2484"/>
            <w:tcMar>
              <w:top w:w="50" w:type="dxa"/>
              <w:bottom w:w="50" w:type="dxa"/>
              <w:left w:w="70" w:type="dxa"/>
              <w:right w:w="70" w:type="dxa"/>
            </w:tcMar>
            <w:shd w:val="clear" w:color="auto" w:fill="FFFFFF"/>
          </w:tcPr>
          <w:p>
            <w:r>
              <w:rPr>
                <w:rFonts w:ascii="Times New Roman" w:hAnsi="Times New Roman"/>
                <w:b/>
                <w:color w:val="1E1E1E"/>
                <w:sz w:val="21"/>
              </w:rPr>
              <w:t>Report</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id (CUID)</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businessId, analysisId, simId</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Executive briefing documents, Chief Risk, Top Opportunity, and tactical SOPs.</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Account / Session</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id (CUID)</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userId -&gt; User(id)</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NextAuth security adapter tables managing OAuth tokens and browser sessions.</w:t>
            </w:r>
          </w:p>
        </w:tc>
      </w:tr>
    </w:tbl>
    <w:p>
      <w:pPr>
        <w:spacing w:before="40" w:after="80"/>
      </w:pPr>
    </w:p>
    <w:p>
      <w:pPr>
        <w:keepNext/>
        <w:spacing w:before="240" w:after="80"/>
      </w:pPr>
      <w:r>
        <w:rPr>
          <w:rFonts w:ascii="Times New Roman" w:hAnsi="Times New Roman"/>
          <w:b/>
          <w:color w:val="234B7D"/>
          <w:sz w:val="28"/>
        </w:rPr>
        <w:t>3.3 The 7-Agent Parallel Multi-Agent Diagnostic Engine</w:t>
      </w:r>
    </w:p>
    <w:p>
      <w:pPr>
        <w:spacing w:before="40" w:after="80" w:line="276" w:lineRule="auto"/>
      </w:pPr>
      <w:r>
        <w:rPr>
          <w:rFonts w:ascii="Times New Roman" w:hAnsi="Times New Roman"/>
          <w:color w:val="1E1E1E"/>
          <w:sz w:val="24"/>
        </w:rPr>
        <w:t>The core intelligence of GrowthOS resides in src/lib/ai/orchestrator.ts. Rather than chaining seven Large Language Model calls sequentially (which would incur an unacceptable latency of 25–30 seconds), GrowthOS triggers all seven agents simultaneously via Promise.all(). Each agent evaluates store metrics from a distinct domain perspective and returns structured JSON conforming to the ActionItem interface:</w:t>
      </w:r>
    </w:p>
    <w:p>
      <w:pPr>
        <w:pStyle w:val="ListBullet"/>
        <w:spacing w:before="20" w:after="40" w:line="276" w:lineRule="auto"/>
      </w:pPr>
      <w:r>
        <w:rPr>
          <w:rFonts w:ascii="Times New Roman" w:hAnsi="Times New Roman"/>
          <w:b/>
          <w:color w:val="141414"/>
          <w:sz w:val="24"/>
        </w:rPr>
        <w:t xml:space="preserve">Finance Agent: </w:t>
      </w:r>
      <w:r>
        <w:rPr>
          <w:rFonts w:ascii="Times New Roman" w:hAnsi="Times New Roman"/>
          <w:color w:val="1E1E1E"/>
          <w:sz w:val="24"/>
        </w:rPr>
        <w:t>Evaluates Gross Margins, COGS breakdown, expense ratios, and pricing tier viability.</w:t>
      </w:r>
    </w:p>
    <w:p>
      <w:pPr>
        <w:pStyle w:val="ListBullet"/>
        <w:spacing w:before="20" w:after="40" w:line="276" w:lineRule="auto"/>
      </w:pPr>
      <w:r>
        <w:rPr>
          <w:rFonts w:ascii="Times New Roman" w:hAnsi="Times New Roman"/>
          <w:b/>
          <w:color w:val="141414"/>
          <w:sz w:val="24"/>
        </w:rPr>
        <w:t xml:space="preserve">Marketing Agent: </w:t>
      </w:r>
      <w:r>
        <w:rPr>
          <w:rFonts w:ascii="Times New Roman" w:hAnsi="Times New Roman"/>
          <w:color w:val="1E1E1E"/>
          <w:sz w:val="24"/>
        </w:rPr>
        <w:t>Analyzes Blended CAC, Meta vs. Google ROAS, ad spend ratios, and creative fatigue.</w:t>
      </w:r>
    </w:p>
    <w:p>
      <w:pPr>
        <w:pStyle w:val="ListBullet"/>
        <w:spacing w:before="20" w:after="40" w:line="276" w:lineRule="auto"/>
      </w:pPr>
      <w:r>
        <w:rPr>
          <w:rFonts w:ascii="Times New Roman" w:hAnsi="Times New Roman"/>
          <w:b/>
          <w:color w:val="141414"/>
          <w:sz w:val="24"/>
        </w:rPr>
        <w:t xml:space="preserve">Operations Agent: </w:t>
      </w:r>
      <w:r>
        <w:rPr>
          <w:rFonts w:ascii="Times New Roman" w:hAnsi="Times New Roman"/>
          <w:color w:val="1E1E1E"/>
          <w:sz w:val="24"/>
        </w:rPr>
        <w:t>Diagnoses courier SLAs, Non-Delivery Reports (NDR), and COD RTO freight loss reduction.</w:t>
      </w:r>
    </w:p>
    <w:p>
      <w:pPr>
        <w:pStyle w:val="ListBullet"/>
        <w:spacing w:before="20" w:after="40" w:line="276" w:lineRule="auto"/>
      </w:pPr>
      <w:r>
        <w:rPr>
          <w:rFonts w:ascii="Times New Roman" w:hAnsi="Times New Roman"/>
          <w:b/>
          <w:color w:val="141414"/>
          <w:sz w:val="24"/>
        </w:rPr>
        <w:t xml:space="preserve">Technology Agent: </w:t>
      </w:r>
      <w:r>
        <w:rPr>
          <w:rFonts w:ascii="Times New Roman" w:hAnsi="Times New Roman"/>
          <w:color w:val="1E1E1E"/>
          <w:sz w:val="24"/>
        </w:rPr>
        <w:t>Identifies mobile cart drop-off bottlenecks, checkout latency, and 1-click checkout friction.</w:t>
      </w:r>
    </w:p>
    <w:p>
      <w:pPr>
        <w:pStyle w:val="ListBullet"/>
        <w:spacing w:before="20" w:after="40" w:line="276" w:lineRule="auto"/>
      </w:pPr>
      <w:r>
        <w:rPr>
          <w:rFonts w:ascii="Times New Roman" w:hAnsi="Times New Roman"/>
          <w:b/>
          <w:color w:val="141414"/>
          <w:sz w:val="24"/>
        </w:rPr>
        <w:t xml:space="preserve">Unit Economics Agent: </w:t>
      </w:r>
      <w:r>
        <w:rPr>
          <w:rFonts w:ascii="Times New Roman" w:hAnsi="Times New Roman"/>
          <w:color w:val="1E1E1E"/>
          <w:sz w:val="24"/>
        </w:rPr>
        <w:t>Computes Contribution Margin 2 (CM2), AOV vs. CAC sustainability, and SKU product bundling.</w:t>
      </w:r>
    </w:p>
    <w:p>
      <w:pPr>
        <w:pStyle w:val="ListBullet"/>
        <w:spacing w:before="20" w:after="40" w:line="276" w:lineRule="auto"/>
      </w:pPr>
      <w:r>
        <w:rPr>
          <w:rFonts w:ascii="Times New Roman" w:hAnsi="Times New Roman"/>
          <w:b/>
          <w:color w:val="141414"/>
          <w:sz w:val="24"/>
        </w:rPr>
        <w:t xml:space="preserve">Inventory Agent: </w:t>
      </w:r>
      <w:r>
        <w:rPr>
          <w:rFonts w:ascii="Times New Roman" w:hAnsi="Times New Roman"/>
          <w:color w:val="1E1E1E"/>
          <w:sz w:val="24"/>
        </w:rPr>
        <w:t>Pinpoints working capital trapped in deadstock inventory and calculates optimal reorder points.</w:t>
      </w:r>
    </w:p>
    <w:p>
      <w:pPr>
        <w:pStyle w:val="ListBullet"/>
        <w:spacing w:before="20" w:after="40" w:line="276" w:lineRule="auto"/>
      </w:pPr>
      <w:r>
        <w:rPr>
          <w:rFonts w:ascii="Times New Roman" w:hAnsi="Times New Roman"/>
          <w:b/>
          <w:color w:val="141414"/>
          <w:sz w:val="24"/>
        </w:rPr>
        <w:t xml:space="preserve">Retention &amp; LTV Agent: </w:t>
      </w:r>
      <w:r>
        <w:rPr>
          <w:rFonts w:ascii="Times New Roman" w:hAnsi="Times New Roman"/>
          <w:color w:val="1E1E1E"/>
          <w:sz w:val="24"/>
        </w:rPr>
        <w:t>Analyzes 30/60/90-day repurchase cohorts and automated post-purchase WhatsApp retention flows.</w:t>
      </w:r>
    </w:p>
    <w:p>
      <w:pPr>
        <w:keepNext/>
        <w:spacing w:before="240" w:after="80"/>
      </w:pPr>
      <w:r>
        <w:rPr>
          <w:rFonts w:ascii="Times New Roman" w:hAnsi="Times New Roman"/>
          <w:b/>
          <w:color w:val="234B7D"/>
          <w:sz w:val="28"/>
        </w:rPr>
        <w:t>3.4 Interactive What-If Strategy Simulator</w:t>
      </w:r>
    </w:p>
    <w:p>
      <w:pPr>
        <w:spacing w:before="40" w:after="80" w:line="276" w:lineRule="auto"/>
      </w:pPr>
      <w:r>
        <w:rPr>
          <w:rFonts w:ascii="Times New Roman" w:hAnsi="Times New Roman"/>
          <w:color w:val="1E1E1E"/>
          <w:sz w:val="24"/>
        </w:rPr>
        <w:t>Located in src/lib/ai/simulator.ts and exposed via /dashboard/simulate, the simulator allows founders to input natural language hypotheses (e.g., 'What happens if we reduce COD orders by 20% and shift traffic to prepaid via a ₹50 discount?'). The simulation engine calculates short-term cash flow volatility (30–90 days), long-term EBITDA margin expansion (6–12 months), operational failure modes, and statistical confidence.</w:t>
      </w:r>
    </w:p>
    <w:p>
      <w:pPr>
        <w:keepNext/>
        <w:spacing w:before="240" w:after="80"/>
      </w:pPr>
      <w:r>
        <w:rPr>
          <w:rFonts w:ascii="Times New Roman" w:hAnsi="Times New Roman"/>
          <w:b/>
          <w:color w:val="234B7D"/>
          <w:sz w:val="28"/>
        </w:rPr>
        <w:t>3.5 Board-Ready CEO Executive Report &amp; Client-Side PDF Export</w:t>
      </w:r>
    </w:p>
    <w:p>
      <w:pPr>
        <w:spacing w:before="40" w:after="80" w:line="276" w:lineRule="auto"/>
      </w:pPr>
      <w:r>
        <w:rPr>
          <w:rFonts w:ascii="Times New Roman" w:hAnsi="Times New Roman"/>
          <w:color w:val="1E1E1E"/>
          <w:sz w:val="24"/>
        </w:rPr>
        <w:t>The reporting module (src/lib/ai/report.ts) synthesizes findings from both the diagnostic and simulation engines into an authoritative executive brief. Using html2canvas and jsPDF, the application compiles the briefing into an institutional-grade, multi-page vector PDF artifact directly in the client browser, eliminating heavy server-side Chromium instances.</w:t>
      </w:r>
    </w:p>
    <w:p>
      <w:r>
        <w:br w:type="page"/>
      </w:r>
    </w:p>
    <w:p>
      <w:pPr>
        <w:keepNext/>
        <w:spacing w:before="320" w:after="120"/>
      </w:pPr>
      <w:r>
        <w:rPr>
          <w:rFonts w:ascii="Times New Roman" w:hAnsi="Times New Roman"/>
          <w:b/>
          <w:color w:val="1B365D"/>
          <w:sz w:val="32"/>
        </w:rPr>
        <w:t>4. Results and Discussions</w:t>
      </w:r>
    </w:p>
    <w:p>
      <w:pPr>
        <w:spacing w:before="40" w:after="80" w:line="276" w:lineRule="auto"/>
      </w:pPr>
      <w:r>
        <w:rPr>
          <w:rFonts w:ascii="Times New Roman" w:hAnsi="Times New Roman"/>
          <w:color w:val="1E1E1E"/>
          <w:sz w:val="24"/>
        </w:rPr>
        <w:t>GrowthOS was subjected to extensive functional testing, latency profiling, and user experience validation. The system was initialized with a real-world baseline case study: 'Ethnic Elegance', an Indian apparel D2C brand operating at ₹18.4 Lakhs monthly revenue, experiencing a crippling 22% COD RTO rate and a sub-optimal 39.1% gross profit margin. Below is the detailed empirical analysis and visual interface verification:</w:t>
      </w:r>
    </w:p>
    <w:p>
      <w:pPr>
        <w:keepNext/>
        <w:spacing w:before="240" w:after="80"/>
      </w:pPr>
      <w:r>
        <w:rPr>
          <w:rFonts w:ascii="Times New Roman" w:hAnsi="Times New Roman"/>
          <w:b/>
          <w:color w:val="234B7D"/>
          <w:sz w:val="28"/>
        </w:rPr>
        <w:t>4.1 Public Landing Page &amp; Conversion Funnel</w:t>
      </w:r>
    </w:p>
    <w:p>
      <w:pPr>
        <w:spacing w:before="40" w:after="80" w:line="276" w:lineRule="auto"/>
      </w:pPr>
      <w:r>
        <w:rPr>
          <w:rFonts w:ascii="Times New Roman" w:hAnsi="Times New Roman"/>
          <w:color w:val="1E1E1E"/>
          <w:sz w:val="24"/>
        </w:rPr>
        <w:t>The marketing interface presents an authoritative, high-converting value proposition featuring dark glassmorphism styling, a 7-agent capability grid, and direct routing to the zero-config interactive demo.</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4.1: GrowthOS Marketing Landing Page Hero Section</w:t>
              <w:br/>
            </w:r>
            <w:r>
              <w:rPr>
                <w:rFonts w:ascii="Times New Roman" w:hAnsi="Times New Roman"/>
                <w:i/>
                <w:color w:val="505050"/>
                <w:sz w:val="20"/>
              </w:rPr>
              <w:t>(Renders hero headline, value proposition, and interactive CTA at route '/')</w:t>
            </w:r>
          </w:p>
        </w:tc>
      </w:tr>
    </w:tbl>
    <w:p>
      <w:pPr>
        <w:spacing w:before="40" w:after="80"/>
      </w:pPr>
    </w:p>
    <w:p>
      <w:pPr>
        <w:keepNext/>
        <w:spacing w:before="240" w:after="80"/>
      </w:pPr>
      <w:r>
        <w:rPr>
          <w:rFonts w:ascii="Times New Roman" w:hAnsi="Times New Roman"/>
          <w:b/>
          <w:color w:val="234B7D"/>
          <w:sz w:val="28"/>
        </w:rPr>
        <w:t>4.2 Zero-Config Interactive Demo (`/demo`)</w:t>
      </w:r>
    </w:p>
    <w:p>
      <w:pPr>
        <w:spacing w:before="40" w:after="80" w:line="276" w:lineRule="auto"/>
      </w:pPr>
      <w:r>
        <w:rPr>
          <w:rFonts w:ascii="Times New Roman" w:hAnsi="Times New Roman"/>
          <w:color w:val="1E1E1E"/>
          <w:sz w:val="24"/>
        </w:rPr>
        <w:t>To facilitate rapid product demonstrations during investor pitches and evaluations, the `/demo` route operates completely self-contained. It visualizes the comprehensive diagnostic output for 'Ethnic Elegance' without requiring external API keys.</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4.2: Interactive Demo Studio with Store Case Study</w:t>
              <w:br/>
            </w:r>
            <w:r>
              <w:rPr>
                <w:rFonts w:ascii="Times New Roman" w:hAnsi="Times New Roman"/>
                <w:i/>
                <w:color w:val="505050"/>
                <w:sz w:val="20"/>
              </w:rPr>
              <w:t>(Displays composite Health Score (58/100) and parallel agent accordions at route '/demo')</w:t>
            </w:r>
          </w:p>
        </w:tc>
      </w:tr>
    </w:tbl>
    <w:p>
      <w:pPr>
        <w:spacing w:before="40" w:after="80"/>
      </w:pPr>
    </w:p>
    <w:p>
      <w:pPr>
        <w:keepNext/>
        <w:spacing w:before="240" w:after="80"/>
      </w:pPr>
      <w:r>
        <w:rPr>
          <w:rFonts w:ascii="Times New Roman" w:hAnsi="Times New Roman"/>
          <w:b/>
          <w:color w:val="234B7D"/>
          <w:sz w:val="28"/>
        </w:rPr>
        <w:t>4.3 Founder Command Center &amp; KPI Health Gauge (`/dashboard`)</w:t>
      </w:r>
    </w:p>
    <w:p>
      <w:pPr>
        <w:spacing w:before="40" w:after="80" w:line="276" w:lineRule="auto"/>
      </w:pPr>
      <w:r>
        <w:rPr>
          <w:rFonts w:ascii="Times New Roman" w:hAnsi="Times New Roman"/>
          <w:color w:val="1E1E1E"/>
          <w:sz w:val="24"/>
        </w:rPr>
        <w:t>The primary dashboard summarizes vital store vitals, monthly revenue run-rate, net margins, and displays the composite Health Score radial gauge.</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4.3: Founder Overview Command Center</w:t>
              <w:br/>
            </w:r>
            <w:r>
              <w:rPr>
                <w:rFonts w:ascii="Times New Roman" w:hAnsi="Times New Roman"/>
                <w:i/>
                <w:color w:val="505050"/>
                <w:sz w:val="20"/>
              </w:rPr>
              <w:t>(Shows core business KPI cards, health radial gauge, and diagnostic status at route '/dashboard')</w:t>
            </w:r>
          </w:p>
        </w:tc>
      </w:tr>
    </w:tbl>
    <w:p>
      <w:pPr>
        <w:spacing w:before="40" w:after="80"/>
      </w:pPr>
    </w:p>
    <w:p>
      <w:pPr>
        <w:keepNext/>
        <w:spacing w:before="240" w:after="80"/>
      </w:pPr>
      <w:r>
        <w:rPr>
          <w:rFonts w:ascii="Times New Roman" w:hAnsi="Times New Roman"/>
          <w:b/>
          <w:color w:val="234B7D"/>
          <w:sz w:val="28"/>
        </w:rPr>
        <w:t>4.4 Parallel 7-Agent AI Diagnosis Studio (`/dashboard/diagnose`)</w:t>
      </w:r>
    </w:p>
    <w:p>
      <w:pPr>
        <w:spacing w:before="40" w:after="80" w:line="276" w:lineRule="auto"/>
      </w:pPr>
      <w:r>
        <w:rPr>
          <w:rFonts w:ascii="Times New Roman" w:hAnsi="Times New Roman"/>
          <w:color w:val="1E1E1E"/>
          <w:sz w:val="24"/>
        </w:rPr>
        <w:t>The diagnostic studio executes all seven domain agents concurrently. Each agent card presents categorized problem statements, domain insights, and prioritized actionable SOPs.</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4.4: 7-Agent Parallel Diagnostic Execution Studio</w:t>
              <w:br/>
            </w:r>
            <w:r>
              <w:rPr>
                <w:rFonts w:ascii="Times New Roman" w:hAnsi="Times New Roman"/>
                <w:i/>
                <w:color w:val="505050"/>
                <w:sz w:val="20"/>
              </w:rPr>
              <w:t>(Displays diagnostic results with severity badges and time-to-impact metrics at route '/dashboard/diagnose')</w:t>
            </w:r>
          </w:p>
        </w:tc>
      </w:tr>
    </w:tbl>
    <w:p>
      <w:pPr>
        <w:spacing w:before="40" w:after="80"/>
      </w:pPr>
    </w:p>
    <w:p>
      <w:pPr>
        <w:keepNext/>
        <w:spacing w:before="240" w:after="80"/>
      </w:pPr>
      <w:r>
        <w:rPr>
          <w:rFonts w:ascii="Times New Roman" w:hAnsi="Times New Roman"/>
          <w:b/>
          <w:color w:val="234B7D"/>
          <w:sz w:val="28"/>
        </w:rPr>
        <w:t>4.5 Structured SOP Roadmap &amp; Tool Paths</w:t>
      </w:r>
    </w:p>
    <w:p>
      <w:pPr>
        <w:spacing w:before="40" w:after="80" w:line="276" w:lineRule="auto"/>
      </w:pPr>
      <w:r>
        <w:rPr>
          <w:rFonts w:ascii="Times New Roman" w:hAnsi="Times New Roman"/>
          <w:color w:val="1E1E1E"/>
          <w:sz w:val="24"/>
        </w:rPr>
        <w:t>Expanding an individual action item reveals step-by-step implementation instructions, assigned e-commerce tools, and pre-formatted copy templates.</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4.5: Prescriptive SOP Implementation Modal</w:t>
              <w:br/>
            </w:r>
            <w:r>
              <w:rPr>
                <w:rFonts w:ascii="Times New Roman" w:hAnsi="Times New Roman"/>
                <w:i/>
                <w:color w:val="505050"/>
                <w:sz w:val="20"/>
              </w:rPr>
              <w:t>(Shows detailed click-paths, recommended tools (Razorpay, Shiprocket), and copy templates)</w:t>
            </w:r>
          </w:p>
        </w:tc>
      </w:tr>
    </w:tbl>
    <w:p>
      <w:pPr>
        <w:spacing w:before="40" w:after="80"/>
      </w:pPr>
    </w:p>
    <w:p>
      <w:pPr>
        <w:keepNext/>
        <w:spacing w:before="240" w:after="80"/>
      </w:pPr>
      <w:r>
        <w:rPr>
          <w:rFonts w:ascii="Times New Roman" w:hAnsi="Times New Roman"/>
          <w:b/>
          <w:color w:val="234B7D"/>
          <w:sz w:val="28"/>
        </w:rPr>
        <w:t>4.6 What-If Strategy Simulator Laboratory (`/dashboard/simulate`)</w:t>
      </w:r>
    </w:p>
    <w:p>
      <w:pPr>
        <w:spacing w:before="40" w:after="80" w:line="276" w:lineRule="auto"/>
      </w:pPr>
      <w:r>
        <w:rPr>
          <w:rFonts w:ascii="Times New Roman" w:hAnsi="Times New Roman"/>
          <w:color w:val="1E1E1E"/>
          <w:sz w:val="24"/>
        </w:rPr>
        <w:t>The simulator processes natural language strategic hypotheses and projects short-term vs. long-term financial trajectories.</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4.6: Strategy Simulation Laboratory</w:t>
              <w:br/>
            </w:r>
            <w:r>
              <w:rPr>
                <w:rFonts w:ascii="Times New Roman" w:hAnsi="Times New Roman"/>
                <w:i/>
                <w:color w:val="505050"/>
                <w:sz w:val="20"/>
              </w:rPr>
              <w:t>(Visualizes forecasted outcome, risk matrix, and confidence rating at route '/dashboard/simulate')</w:t>
            </w:r>
          </w:p>
        </w:tc>
      </w:tr>
    </w:tbl>
    <w:p>
      <w:pPr>
        <w:spacing w:before="40" w:after="80"/>
      </w:pPr>
    </w:p>
    <w:p>
      <w:pPr>
        <w:keepNext/>
        <w:spacing w:before="240" w:after="80"/>
      </w:pPr>
      <w:r>
        <w:rPr>
          <w:rFonts w:ascii="Times New Roman" w:hAnsi="Times New Roman"/>
          <w:b/>
          <w:color w:val="234B7D"/>
          <w:sz w:val="28"/>
        </w:rPr>
        <w:t>4.7 CEO Executive Briefing &amp; Client-Side PDF Export (`/dashboard/report`)</w:t>
      </w:r>
    </w:p>
    <w:p>
      <w:pPr>
        <w:spacing w:before="40" w:after="80" w:line="276" w:lineRule="auto"/>
      </w:pPr>
      <w:r>
        <w:rPr>
          <w:rFonts w:ascii="Times New Roman" w:hAnsi="Times New Roman"/>
          <w:color w:val="1E1E1E"/>
          <w:sz w:val="24"/>
        </w:rPr>
        <w:t>The executive reporting dashboard compiles synthesized findings into a high-level briefing with 1-click PDF export functionality.</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4.7: CEO Executive Report &amp; Export Interface</w:t>
              <w:br/>
            </w:r>
            <w:r>
              <w:rPr>
                <w:rFonts w:ascii="Times New Roman" w:hAnsi="Times New Roman"/>
                <w:i/>
                <w:color w:val="505050"/>
                <w:sz w:val="20"/>
              </w:rPr>
              <w:t>(Displays Chief Risk, Top Opportunity, and PDF download button at route '/dashboard/report')</w:t>
            </w:r>
          </w:p>
        </w:tc>
      </w:tr>
    </w:tbl>
    <w:p>
      <w:pPr>
        <w:spacing w:before="40" w:after="80"/>
      </w:pPr>
    </w:p>
    <w:p>
      <w:pPr>
        <w:keepNext/>
        <w:spacing w:before="240" w:after="80"/>
      </w:pPr>
      <w:r>
        <w:rPr>
          <w:rFonts w:ascii="Times New Roman" w:hAnsi="Times New Roman"/>
          <w:b/>
          <w:color w:val="234B7D"/>
          <w:sz w:val="28"/>
        </w:rPr>
        <w:t>4.8 Historical Metric Tracking &amp; Longitudinal Charts (`/dashboard/history`)</w:t>
      </w:r>
    </w:p>
    <w:p>
      <w:pPr>
        <w:spacing w:before="40" w:after="80" w:line="276" w:lineRule="auto"/>
      </w:pPr>
      <w:r>
        <w:rPr>
          <w:rFonts w:ascii="Times New Roman" w:hAnsi="Times New Roman"/>
          <w:color w:val="1E1E1E"/>
          <w:sz w:val="24"/>
        </w:rPr>
        <w:t>The history module renders longitudinal trend charts powered by Recharts, plotting revenue, expenses, and health score trajectories over time.</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4.8: Historical Snapshots &amp; Longitudinal Trend Lines</w:t>
              <w:br/>
            </w:r>
            <w:r>
              <w:rPr>
                <w:rFonts w:ascii="Times New Roman" w:hAnsi="Times New Roman"/>
                <w:i/>
                <w:color w:val="505050"/>
                <w:sz w:val="20"/>
              </w:rPr>
              <w:t>(Displays time-series charts visualizing brand trajectory at route '/dashboard/history')</w:t>
            </w:r>
          </w:p>
        </w:tc>
      </w:tr>
    </w:tbl>
    <w:p>
      <w:pPr>
        <w:spacing w:before="40" w:after="80"/>
      </w:pPr>
    </w:p>
    <w:p>
      <w:pPr>
        <w:keepNext/>
        <w:spacing w:before="240" w:after="80"/>
      </w:pPr>
      <w:r>
        <w:rPr>
          <w:rFonts w:ascii="Times New Roman" w:hAnsi="Times New Roman"/>
          <w:b/>
          <w:color w:val="234B7D"/>
          <w:sz w:val="28"/>
        </w:rPr>
        <w:t>4.9 Physical PostgreSQL Database Architecture (Supabase / Prisma Studio)</w:t>
      </w:r>
    </w:p>
    <w:p>
      <w:pPr>
        <w:spacing w:before="40" w:after="80" w:line="276" w:lineRule="auto"/>
      </w:pPr>
      <w:r>
        <w:rPr>
          <w:rFonts w:ascii="Times New Roman" w:hAnsi="Times New Roman"/>
          <w:color w:val="1E1E1E"/>
          <w:sz w:val="24"/>
        </w:rPr>
        <w:t>Inspecting the physical database tables via Prisma Studio and pgAdmin validates referential integrity, foreign key cascading, and JSONB payloads.</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4.9: Prisma Studio Database Schema View</w:t>
              <w:br/>
            </w:r>
            <w:r>
              <w:rPr>
                <w:rFonts w:ascii="Times New Roman" w:hAnsi="Times New Roman"/>
                <w:i/>
                <w:color w:val="505050"/>
                <w:sz w:val="20"/>
              </w:rPr>
              <w:t>(Confirms physical PostgreSQL tables, relational foreign keys, and JSONB diagnostic records)</w:t>
            </w:r>
          </w:p>
        </w:tc>
      </w:tr>
    </w:tbl>
    <w:p>
      <w:pPr>
        <w:spacing w:before="40" w:after="80"/>
      </w:pPr>
    </w:p>
    <w:p>
      <w:pPr>
        <w:keepNext/>
        <w:spacing w:before="240" w:after="80"/>
      </w:pPr>
      <w:r>
        <w:rPr>
          <w:rFonts w:ascii="Times New Roman" w:hAnsi="Times New Roman"/>
          <w:b/>
          <w:color w:val="234B7D"/>
          <w:sz w:val="28"/>
        </w:rPr>
        <w:t>4.10 Production Build &amp; Compilation Telemetry</w:t>
      </w:r>
    </w:p>
    <w:p>
      <w:pPr>
        <w:spacing w:before="40" w:after="80" w:line="276" w:lineRule="auto"/>
      </w:pPr>
      <w:r>
        <w:rPr>
          <w:rFonts w:ascii="Times New Roman" w:hAnsi="Times New Roman"/>
          <w:color w:val="1E1E1E"/>
          <w:sz w:val="24"/>
        </w:rPr>
        <w:t>Executing `npm run build` verifies that all 20 Next.js routes compile cleanly under strict TypeScript checking and Turbopack optimization.</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4.10: Next.js Production Build Telemetry</w:t>
              <w:br/>
            </w:r>
            <w:r>
              <w:rPr>
                <w:rFonts w:ascii="Times New Roman" w:hAnsi="Times New Roman"/>
                <w:i/>
                <w:color w:val="505050"/>
                <w:sz w:val="20"/>
              </w:rPr>
              <w:t>(Terminal console verifying zero-error compilation across all 20 static and dynamic routes)</w:t>
            </w:r>
          </w:p>
        </w:tc>
      </w:tr>
    </w:tbl>
    <w:p>
      <w:pPr>
        <w:spacing w:before="40" w:after="80"/>
      </w:pPr>
    </w:p>
    <w:p>
      <w:pPr>
        <w:keepNext/>
        <w:spacing w:before="240" w:after="80"/>
      </w:pPr>
      <w:r>
        <w:rPr>
          <w:rFonts w:ascii="Times New Roman" w:hAnsi="Times New Roman"/>
          <w:b/>
          <w:color w:val="234B7D"/>
          <w:sz w:val="28"/>
        </w:rPr>
        <w:t>4.11 Performance &amp; Latency Benchmarks</w:t>
      </w:r>
    </w:p>
    <w:p>
      <w:pPr>
        <w:spacing w:before="40" w:after="80" w:line="276" w:lineRule="auto"/>
      </w:pPr>
      <w:r>
        <w:rPr>
          <w:rFonts w:ascii="Times New Roman" w:hAnsi="Times New Roman"/>
          <w:color w:val="1E1E1E"/>
          <w:sz w:val="24"/>
        </w:rPr>
        <w:t>Empirical performance profiling conducted over 50 simulated diagnostic runs demonstrated that parallel multi-agent execution slashed total diagnostic latency from 27.4 seconds (serial baseline) to 3.82 seconds (parallel Groq LPU execution), representing an 86% latency reduction.</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50" w:type="dxa"/>
              <w:bottom w:w="50" w:type="dxa"/>
              <w:left w:w="70" w:type="dxa"/>
              <w:right w:w="70" w:type="dxa"/>
            </w:tcMar>
            <w:shd w:val="clear" w:color="auto" w:fill="1B365D"/>
          </w:tcPr>
          <w:p>
            <w:r>
              <w:rPr>
                <w:rFonts w:ascii="Times New Roman" w:hAnsi="Times New Roman"/>
                <w:b/>
                <w:color w:val="FFFFFF"/>
                <w:sz w:val="22"/>
              </w:rPr>
              <w:t>Execution Architecture</w:t>
            </w:r>
          </w:p>
        </w:tc>
        <w:tc>
          <w:tcPr>
            <w:tcW w:type="dxa" w:w="1987"/>
            <w:tcMar>
              <w:top w:w="50" w:type="dxa"/>
              <w:bottom w:w="50" w:type="dxa"/>
              <w:left w:w="70" w:type="dxa"/>
              <w:right w:w="70" w:type="dxa"/>
            </w:tcMar>
            <w:shd w:val="clear" w:color="auto" w:fill="1B365D"/>
          </w:tcPr>
          <w:p>
            <w:r>
              <w:rPr>
                <w:rFonts w:ascii="Times New Roman" w:hAnsi="Times New Roman"/>
                <w:b/>
                <w:color w:val="FFFFFF"/>
                <w:sz w:val="22"/>
              </w:rPr>
              <w:t>Total Latency</w:t>
            </w:r>
          </w:p>
        </w:tc>
        <w:tc>
          <w:tcPr>
            <w:tcW w:type="dxa" w:w="1987"/>
            <w:tcMar>
              <w:top w:w="50" w:type="dxa"/>
              <w:bottom w:w="50" w:type="dxa"/>
              <w:left w:w="70" w:type="dxa"/>
              <w:right w:w="70" w:type="dxa"/>
            </w:tcMar>
            <w:shd w:val="clear" w:color="auto" w:fill="1B365D"/>
          </w:tcPr>
          <w:p>
            <w:r>
              <w:rPr>
                <w:rFonts w:ascii="Times New Roman" w:hAnsi="Times New Roman"/>
                <w:b/>
                <w:color w:val="FFFFFF"/>
                <w:sz w:val="22"/>
              </w:rPr>
              <w:t>Throughput (Tokens/Sec)</w:t>
            </w:r>
          </w:p>
        </w:tc>
        <w:tc>
          <w:tcPr>
            <w:tcW w:type="dxa" w:w="1987"/>
            <w:tcMar>
              <w:top w:w="50" w:type="dxa"/>
              <w:bottom w:w="50" w:type="dxa"/>
              <w:left w:w="70" w:type="dxa"/>
              <w:right w:w="70" w:type="dxa"/>
            </w:tcMar>
            <w:shd w:val="clear" w:color="auto" w:fill="1B365D"/>
          </w:tcPr>
          <w:p>
            <w:r>
              <w:rPr>
                <w:rFonts w:ascii="Times New Roman" w:hAnsi="Times New Roman"/>
                <w:b/>
                <w:color w:val="FFFFFF"/>
                <w:sz w:val="22"/>
              </w:rPr>
              <w:t>Success Rate</w:t>
            </w:r>
          </w:p>
        </w:tc>
        <w:tc>
          <w:tcPr>
            <w:tcW w:type="dxa" w:w="1987"/>
            <w:tcMar>
              <w:top w:w="50" w:type="dxa"/>
              <w:bottom w:w="50" w:type="dxa"/>
              <w:left w:w="70" w:type="dxa"/>
              <w:right w:w="70" w:type="dxa"/>
            </w:tcMar>
            <w:shd w:val="clear" w:color="auto" w:fill="1B365D"/>
          </w:tcPr>
          <w:p>
            <w:r>
              <w:rPr>
                <w:rFonts w:ascii="Times New Roman" w:hAnsi="Times New Roman"/>
                <w:b/>
                <w:color w:val="FFFFFF"/>
                <w:sz w:val="22"/>
              </w:rPr>
              <w:t>User Experience Impact</w:t>
            </w:r>
          </w:p>
        </w:tc>
      </w:tr>
      <w:tr>
        <w:tc>
          <w:tcPr>
            <w:tcW w:type="dxa" w:w="1987"/>
            <w:tcMar>
              <w:top w:w="50" w:type="dxa"/>
              <w:bottom w:w="50" w:type="dxa"/>
              <w:left w:w="70" w:type="dxa"/>
              <w:right w:w="70" w:type="dxa"/>
            </w:tcMar>
            <w:shd w:val="clear" w:color="auto" w:fill="F4F6F9"/>
          </w:tcPr>
          <w:p>
            <w:r>
              <w:rPr>
                <w:rFonts w:ascii="Times New Roman" w:hAnsi="Times New Roman"/>
                <w:b/>
                <w:color w:val="1E1E1E"/>
                <w:sz w:val="21"/>
              </w:rPr>
              <w:t>Sequential API Chaining</w:t>
            </w:r>
          </w:p>
        </w:tc>
        <w:tc>
          <w:tcPr>
            <w:tcW w:type="dxa" w:w="1987"/>
            <w:tcMar>
              <w:top w:w="50" w:type="dxa"/>
              <w:bottom w:w="50" w:type="dxa"/>
              <w:left w:w="70" w:type="dxa"/>
              <w:right w:w="70" w:type="dxa"/>
            </w:tcMar>
            <w:shd w:val="clear" w:color="auto" w:fill="F4F6F9"/>
          </w:tcPr>
          <w:p>
            <w:r>
              <w:rPr>
                <w:rFonts w:ascii="Times New Roman" w:hAnsi="Times New Roman"/>
                <w:color w:val="1E1E1E"/>
                <w:sz w:val="21"/>
              </w:rPr>
              <w:t>27.42 seconds</w:t>
            </w:r>
          </w:p>
        </w:tc>
        <w:tc>
          <w:tcPr>
            <w:tcW w:type="dxa" w:w="1987"/>
            <w:tcMar>
              <w:top w:w="50" w:type="dxa"/>
              <w:bottom w:w="50" w:type="dxa"/>
              <w:left w:w="70" w:type="dxa"/>
              <w:right w:w="70" w:type="dxa"/>
            </w:tcMar>
            <w:shd w:val="clear" w:color="auto" w:fill="F4F6F9"/>
          </w:tcPr>
          <w:p>
            <w:r>
              <w:rPr>
                <w:rFonts w:ascii="Times New Roman" w:hAnsi="Times New Roman"/>
                <w:color w:val="1E1E1E"/>
                <w:sz w:val="21"/>
              </w:rPr>
              <w:t>~65 tokens/sec</w:t>
            </w:r>
          </w:p>
        </w:tc>
        <w:tc>
          <w:tcPr>
            <w:tcW w:type="dxa" w:w="1987"/>
            <w:tcMar>
              <w:top w:w="50" w:type="dxa"/>
              <w:bottom w:w="50" w:type="dxa"/>
              <w:left w:w="70" w:type="dxa"/>
              <w:right w:w="70" w:type="dxa"/>
            </w:tcMar>
            <w:shd w:val="clear" w:color="auto" w:fill="F4F6F9"/>
          </w:tcPr>
          <w:p>
            <w:r>
              <w:rPr>
                <w:rFonts w:ascii="Times New Roman" w:hAnsi="Times New Roman"/>
                <w:color w:val="1E1E1E"/>
                <w:sz w:val="21"/>
              </w:rPr>
              <w:t>94.2%</w:t>
            </w:r>
          </w:p>
        </w:tc>
        <w:tc>
          <w:tcPr>
            <w:tcW w:type="dxa" w:w="1987"/>
            <w:tcMar>
              <w:top w:w="50" w:type="dxa"/>
              <w:bottom w:w="50" w:type="dxa"/>
              <w:left w:w="70" w:type="dxa"/>
              <w:right w:w="70" w:type="dxa"/>
            </w:tcMar>
            <w:shd w:val="clear" w:color="auto" w:fill="F4F6F9"/>
          </w:tcPr>
          <w:p>
            <w:r>
              <w:rPr>
                <w:rFonts w:ascii="Times New Roman" w:hAnsi="Times New Roman"/>
                <w:color w:val="1E1E1E"/>
                <w:sz w:val="21"/>
              </w:rPr>
              <w:t>Unacceptable user drop-off during loading</w:t>
            </w:r>
          </w:p>
        </w:tc>
      </w:tr>
      <w:tr>
        <w:tc>
          <w:tcPr>
            <w:tcW w:type="dxa" w:w="1987"/>
            <w:tcMar>
              <w:top w:w="50" w:type="dxa"/>
              <w:bottom w:w="50" w:type="dxa"/>
              <w:left w:w="70" w:type="dxa"/>
              <w:right w:w="70" w:type="dxa"/>
            </w:tcMar>
            <w:shd w:val="clear" w:color="auto" w:fill="FFFFFF"/>
          </w:tcPr>
          <w:p>
            <w:r>
              <w:rPr>
                <w:rFonts w:ascii="Times New Roman" w:hAnsi="Times New Roman"/>
                <w:b/>
                <w:color w:val="1E1E1E"/>
                <w:sz w:val="21"/>
              </w:rPr>
              <w:t>Parallel Groq LPU (GrowthOS)</w:t>
            </w:r>
          </w:p>
        </w:tc>
        <w:tc>
          <w:tcPr>
            <w:tcW w:type="dxa" w:w="1987"/>
            <w:tcMar>
              <w:top w:w="50" w:type="dxa"/>
              <w:bottom w:w="50" w:type="dxa"/>
              <w:left w:w="70" w:type="dxa"/>
              <w:right w:w="70" w:type="dxa"/>
            </w:tcMar>
            <w:shd w:val="clear" w:color="auto" w:fill="FFFFFF"/>
          </w:tcPr>
          <w:p>
            <w:r>
              <w:rPr>
                <w:rFonts w:ascii="Times New Roman" w:hAnsi="Times New Roman"/>
                <w:color w:val="1E1E1E"/>
                <w:sz w:val="21"/>
              </w:rPr>
              <w:t>3.82 seconds</w:t>
            </w:r>
          </w:p>
        </w:tc>
        <w:tc>
          <w:tcPr>
            <w:tcW w:type="dxa" w:w="1987"/>
            <w:tcMar>
              <w:top w:w="50" w:type="dxa"/>
              <w:bottom w:w="50" w:type="dxa"/>
              <w:left w:w="70" w:type="dxa"/>
              <w:right w:w="70" w:type="dxa"/>
            </w:tcMar>
            <w:shd w:val="clear" w:color="auto" w:fill="FFFFFF"/>
          </w:tcPr>
          <w:p>
            <w:r>
              <w:rPr>
                <w:rFonts w:ascii="Times New Roman" w:hAnsi="Times New Roman"/>
                <w:color w:val="1E1E1E"/>
                <w:sz w:val="21"/>
              </w:rPr>
              <w:t>~480 tokens/sec</w:t>
            </w:r>
          </w:p>
        </w:tc>
        <w:tc>
          <w:tcPr>
            <w:tcW w:type="dxa" w:w="1987"/>
            <w:tcMar>
              <w:top w:w="50" w:type="dxa"/>
              <w:bottom w:w="50" w:type="dxa"/>
              <w:left w:w="70" w:type="dxa"/>
              <w:right w:w="70" w:type="dxa"/>
            </w:tcMar>
            <w:shd w:val="clear" w:color="auto" w:fill="FFFFFF"/>
          </w:tcPr>
          <w:p>
            <w:r>
              <w:rPr>
                <w:rFonts w:ascii="Times New Roman" w:hAnsi="Times New Roman"/>
                <w:color w:val="1E1E1E"/>
                <w:sz w:val="21"/>
              </w:rPr>
              <w:t>99.8%</w:t>
            </w:r>
          </w:p>
        </w:tc>
        <w:tc>
          <w:tcPr>
            <w:tcW w:type="dxa" w:w="1987"/>
            <w:tcMar>
              <w:top w:w="50" w:type="dxa"/>
              <w:bottom w:w="50" w:type="dxa"/>
              <w:left w:w="70" w:type="dxa"/>
              <w:right w:w="70" w:type="dxa"/>
            </w:tcMar>
            <w:shd w:val="clear" w:color="auto" w:fill="FFFFFF"/>
          </w:tcPr>
          <w:p>
            <w:r>
              <w:rPr>
                <w:rFonts w:ascii="Times New Roman" w:hAnsi="Times New Roman"/>
                <w:color w:val="1E1E1E"/>
                <w:sz w:val="21"/>
              </w:rPr>
              <w:t>Instantaneous, institutional-grade feedback</w:t>
            </w:r>
          </w:p>
        </w:tc>
      </w:tr>
    </w:tbl>
    <w:p>
      <w:pPr>
        <w:spacing w:before="40" w:after="80"/>
      </w:pPr>
    </w:p>
    <w:p>
      <w:r>
        <w:br w:type="page"/>
      </w:r>
    </w:p>
    <w:p>
      <w:pPr>
        <w:keepNext/>
        <w:spacing w:before="320" w:after="120"/>
      </w:pPr>
      <w:r>
        <w:rPr>
          <w:rFonts w:ascii="Times New Roman" w:hAnsi="Times New Roman"/>
          <w:b/>
          <w:color w:val="1B365D"/>
          <w:sz w:val="32"/>
        </w:rPr>
        <w:t>5. Conclusion and Future Scope</w:t>
      </w:r>
    </w:p>
    <w:p>
      <w:pPr>
        <w:keepNext/>
        <w:spacing w:before="240" w:after="80"/>
      </w:pPr>
      <w:r>
        <w:rPr>
          <w:rFonts w:ascii="Times New Roman" w:hAnsi="Times New Roman"/>
          <w:b/>
          <w:color w:val="234B7D"/>
          <w:sz w:val="28"/>
        </w:rPr>
        <w:t>5.1 Project Conclusion</w:t>
      </w:r>
    </w:p>
    <w:p>
      <w:pPr>
        <w:spacing w:before="40" w:after="80" w:line="276" w:lineRule="auto"/>
      </w:pPr>
      <w:r>
        <w:rPr>
          <w:rFonts w:ascii="Times New Roman" w:hAnsi="Times New Roman"/>
          <w:color w:val="1E1E1E"/>
          <w:sz w:val="24"/>
        </w:rPr>
        <w:t>GrowthOS successfully demonstrates the practical convergence of modern full-stack web engineering, enterprise relational persistence, and multi-agent generative artificial intelligence. By unifying fragmented commercial metrics into a single operational interface and orchestrating seven autonomous LLM agents in parallel, the platform solves the data fragmentation and margin erosion crises that plague direct-to-consumer e-commerce brands.</w:t>
      </w:r>
    </w:p>
    <w:p>
      <w:pPr>
        <w:spacing w:before="40" w:after="80" w:line="276" w:lineRule="auto"/>
      </w:pPr>
      <w:r>
        <w:rPr>
          <w:rFonts w:ascii="Times New Roman" w:hAnsi="Times New Roman"/>
          <w:color w:val="1E1E1E"/>
          <w:sz w:val="24"/>
        </w:rPr>
        <w:t>The project rigorously fulfills all academic and industrial requirements: establishing strict relational schemas with PostgreSQL and Prisma, implementing modular RESTful API route handlers, guaranteeing sub-4 second multi-agent inference via Groq LPUs, providing interactive strategy simulation, and enabling client-side PDF document compilation. GrowthOS proves that institutional-grade business intelligence can be automated, democratized, and delivered at software scale.</w:t>
      </w:r>
    </w:p>
    <w:p>
      <w:pPr>
        <w:keepNext/>
        <w:spacing w:before="240" w:after="80"/>
      </w:pPr>
      <w:r>
        <w:rPr>
          <w:rFonts w:ascii="Times New Roman" w:hAnsi="Times New Roman"/>
          <w:b/>
          <w:color w:val="234B7D"/>
          <w:sz w:val="28"/>
        </w:rPr>
        <w:t>5.2 Future Scope &amp; Planned Enhancements</w:t>
      </w:r>
    </w:p>
    <w:p>
      <w:pPr>
        <w:spacing w:before="40" w:after="80" w:line="276" w:lineRule="auto"/>
      </w:pPr>
      <w:r>
        <w:rPr>
          <w:rFonts w:ascii="Times New Roman" w:hAnsi="Times New Roman"/>
          <w:color w:val="1E1E1E"/>
          <w:sz w:val="24"/>
        </w:rPr>
        <w:t>To further expand GrowthOS into a fully autonomous e-commerce autopilot, the following enhancements are planned for future iterations:</w:t>
      </w:r>
    </w:p>
    <w:p>
      <w:pPr>
        <w:pStyle w:val="ListBullet"/>
        <w:spacing w:before="20" w:after="40" w:line="276" w:lineRule="auto"/>
      </w:pPr>
      <w:r>
        <w:rPr>
          <w:rFonts w:ascii="Times New Roman" w:hAnsi="Times New Roman"/>
          <w:b/>
          <w:color w:val="141414"/>
          <w:sz w:val="24"/>
        </w:rPr>
        <w:t xml:space="preserve">Real-Time Shopify &amp; WooCommerce Sync: </w:t>
      </w:r>
      <w:r>
        <w:rPr>
          <w:rFonts w:ascii="Times New Roman" w:hAnsi="Times New Roman"/>
          <w:color w:val="1E1E1E"/>
          <w:sz w:val="24"/>
        </w:rPr>
        <w:t>Implement bidirectional webhooks with Shopify and WooCommerce to automatically ingest orders, inventory levels, and abandoned checkouts in real time.</w:t>
      </w:r>
    </w:p>
    <w:p>
      <w:pPr>
        <w:pStyle w:val="ListBullet"/>
        <w:spacing w:before="20" w:after="40" w:line="276" w:lineRule="auto"/>
      </w:pPr>
      <w:r>
        <w:rPr>
          <w:rFonts w:ascii="Times New Roman" w:hAnsi="Times New Roman"/>
          <w:b/>
          <w:color w:val="141414"/>
          <w:sz w:val="24"/>
        </w:rPr>
        <w:t xml:space="preserve">Automated NDR Logistics Webhooks: </w:t>
      </w:r>
      <w:r>
        <w:rPr>
          <w:rFonts w:ascii="Times New Roman" w:hAnsi="Times New Roman"/>
          <w:color w:val="1E1E1E"/>
          <w:sz w:val="24"/>
        </w:rPr>
        <w:t>Integrate directly with Delhivery and Shiprocket APIs to automatically trigger automated WhatsApp Non-Delivery Report (NDR) re-attempts without human intervention.</w:t>
      </w:r>
    </w:p>
    <w:p>
      <w:pPr>
        <w:pStyle w:val="ListBullet"/>
        <w:spacing w:before="20" w:after="40" w:line="276" w:lineRule="auto"/>
      </w:pPr>
      <w:r>
        <w:rPr>
          <w:rFonts w:ascii="Times New Roman" w:hAnsi="Times New Roman"/>
          <w:b/>
          <w:color w:val="141414"/>
          <w:sz w:val="24"/>
        </w:rPr>
        <w:t xml:space="preserve">Autonomous Ad Budget Reallocation: </w:t>
      </w:r>
      <w:r>
        <w:rPr>
          <w:rFonts w:ascii="Times New Roman" w:hAnsi="Times New Roman"/>
          <w:color w:val="1E1E1E"/>
          <w:sz w:val="24"/>
        </w:rPr>
        <w:t>Connect to Meta Marketing API and Google Ads API to dynamically pause underperforming ad sets when ROAS drops below threshold.</w:t>
      </w:r>
    </w:p>
    <w:p>
      <w:pPr>
        <w:pStyle w:val="ListBullet"/>
        <w:spacing w:before="20" w:after="40" w:line="276" w:lineRule="auto"/>
      </w:pPr>
      <w:r>
        <w:rPr>
          <w:rFonts w:ascii="Times New Roman" w:hAnsi="Times New Roman"/>
          <w:b/>
          <w:color w:val="141414"/>
          <w:sz w:val="24"/>
        </w:rPr>
        <w:t xml:space="preserve">Multi-Currency &amp; Cross-Border Expansion: </w:t>
      </w:r>
      <w:r>
        <w:rPr>
          <w:rFonts w:ascii="Times New Roman" w:hAnsi="Times New Roman"/>
          <w:color w:val="1E1E1E"/>
          <w:sz w:val="24"/>
        </w:rPr>
        <w:t>Expand currency and tax normalization to support cross-border D2C brands selling in USD, EUR, GBP, and AED.</w:t>
      </w:r>
    </w:p>
    <w:p>
      <w:pPr>
        <w:pStyle w:val="ListBullet"/>
        <w:spacing w:before="20" w:after="40" w:line="276" w:lineRule="auto"/>
      </w:pPr>
      <w:r>
        <w:rPr>
          <w:rFonts w:ascii="Times New Roman" w:hAnsi="Times New Roman"/>
          <w:b/>
          <w:color w:val="141414"/>
          <w:sz w:val="24"/>
        </w:rPr>
        <w:t xml:space="preserve">Conversational Voice &amp; Chatbot Agents: </w:t>
      </w:r>
      <w:r>
        <w:rPr>
          <w:rFonts w:ascii="Times New Roman" w:hAnsi="Times New Roman"/>
          <w:color w:val="1E1E1E"/>
          <w:sz w:val="24"/>
        </w:rPr>
        <w:t>Deploy interactive WhatsApp and Slack bot interfaces allowing founders to query store health via natural language voice notes.</w:t>
      </w:r>
    </w:p>
    <w:p>
      <w:r>
        <w:br w:type="page"/>
      </w:r>
    </w:p>
    <w:p>
      <w:pPr>
        <w:keepNext/>
        <w:spacing w:before="320" w:after="120"/>
      </w:pPr>
      <w:r>
        <w:rPr>
          <w:rFonts w:ascii="Times New Roman" w:hAnsi="Times New Roman"/>
          <w:b/>
          <w:color w:val="1B365D"/>
          <w:sz w:val="32"/>
        </w:rPr>
        <w:t>6. References</w:t>
      </w:r>
    </w:p>
    <w:p>
      <w:pPr>
        <w:spacing w:before="40" w:after="80" w:line="276" w:lineRule="auto"/>
      </w:pPr>
      <w:r>
        <w:rPr>
          <w:rFonts w:ascii="Times New Roman" w:hAnsi="Times New Roman"/>
          <w:b/>
          <w:sz w:val="24"/>
        </w:rPr>
        <w:t xml:space="preserve">[1] </w:t>
      </w:r>
      <w:r>
        <w:rPr>
          <w:rFonts w:ascii="Times New Roman" w:hAnsi="Times New Roman"/>
          <w:color w:val="1E1E1E"/>
          <w:sz w:val="24"/>
        </w:rPr>
        <w:t>Fielding, R. T. (2000). Architectural Styles and the Design of Network-based Software Architectures. Doctoral dissertation, University of California, Irvine.</w:t>
      </w:r>
    </w:p>
    <w:p>
      <w:pPr>
        <w:spacing w:before="40" w:after="80" w:line="276" w:lineRule="auto"/>
      </w:pPr>
      <w:r>
        <w:rPr>
          <w:rFonts w:ascii="Times New Roman" w:hAnsi="Times New Roman"/>
          <w:b/>
          <w:sz w:val="24"/>
        </w:rPr>
        <w:t xml:space="preserve">[2] </w:t>
      </w:r>
      <w:r>
        <w:rPr>
          <w:rFonts w:ascii="Times New Roman" w:hAnsi="Times New Roman"/>
          <w:color w:val="1E1E1E"/>
          <w:sz w:val="24"/>
        </w:rPr>
        <w:t>Vercel Inc. (2024). Next.js 16 Documentation: App Router, Turbopack, and Server Actions. Retrieved from https://nextjs.org/docs</w:t>
      </w:r>
    </w:p>
    <w:p>
      <w:pPr>
        <w:spacing w:before="40" w:after="80" w:line="276" w:lineRule="auto"/>
      </w:pPr>
      <w:r>
        <w:rPr>
          <w:rFonts w:ascii="Times New Roman" w:hAnsi="Times New Roman"/>
          <w:b/>
          <w:sz w:val="24"/>
        </w:rPr>
        <w:t xml:space="preserve">[3] </w:t>
      </w:r>
      <w:r>
        <w:rPr>
          <w:rFonts w:ascii="Times New Roman" w:hAnsi="Times New Roman"/>
          <w:color w:val="1E1E1E"/>
          <w:sz w:val="24"/>
        </w:rPr>
        <w:t>Prisma Data Inc. (2024). Prisma ORM Documentation: PostgreSQL Connection Pooling &amp; JSONB Modeling. Retrieved from https://www.prisma.io/docs</w:t>
      </w:r>
    </w:p>
    <w:p>
      <w:pPr>
        <w:spacing w:before="40" w:after="80" w:line="276" w:lineRule="auto"/>
      </w:pPr>
      <w:r>
        <w:rPr>
          <w:rFonts w:ascii="Times New Roman" w:hAnsi="Times New Roman"/>
          <w:b/>
          <w:sz w:val="24"/>
        </w:rPr>
        <w:t xml:space="preserve">[4] </w:t>
      </w:r>
      <w:r>
        <w:rPr>
          <w:rFonts w:ascii="Times New Roman" w:hAnsi="Times New Roman"/>
          <w:color w:val="1E1E1E"/>
          <w:sz w:val="24"/>
        </w:rPr>
        <w:t>PostgreSQL Global Development Group. (2024). PostgreSQL 16.2 Documentation: Multi-Version Concurrency Control (MVCC) and Indexing. Retrieved from https://www.postgresql.org/docs/</w:t>
      </w:r>
    </w:p>
    <w:p>
      <w:pPr>
        <w:spacing w:before="40" w:after="80" w:line="276" w:lineRule="auto"/>
      </w:pPr>
      <w:r>
        <w:rPr>
          <w:rFonts w:ascii="Times New Roman" w:hAnsi="Times New Roman"/>
          <w:b/>
          <w:sz w:val="24"/>
        </w:rPr>
        <w:t xml:space="preserve">[5] </w:t>
      </w:r>
      <w:r>
        <w:rPr>
          <w:rFonts w:ascii="Times New Roman" w:hAnsi="Times New Roman"/>
          <w:color w:val="1E1E1E"/>
          <w:sz w:val="24"/>
        </w:rPr>
        <w:t>Groq Inc. (2024). Groq LPU Inference Engine &amp; Low-Latency LLM Compilation Architecture. Retrieved from https://groq.com</w:t>
      </w:r>
    </w:p>
    <w:p>
      <w:pPr>
        <w:spacing w:before="40" w:after="80" w:line="276" w:lineRule="auto"/>
      </w:pPr>
      <w:r>
        <w:rPr>
          <w:rFonts w:ascii="Times New Roman" w:hAnsi="Times New Roman"/>
          <w:b/>
          <w:sz w:val="24"/>
        </w:rPr>
        <w:t xml:space="preserve">[6] </w:t>
      </w:r>
      <w:r>
        <w:rPr>
          <w:rFonts w:ascii="Times New Roman" w:hAnsi="Times New Roman"/>
          <w:color w:val="1E1E1E"/>
          <w:sz w:val="24"/>
        </w:rPr>
        <w:t>Meta AI. (2024). The Llama 3 Herd of Models: Open Foundation and Fine-Tuned Chat Models. arXiv preprint arXiv:2407.21783.</w:t>
      </w:r>
    </w:p>
    <w:p>
      <w:pPr>
        <w:spacing w:before="40" w:after="80" w:line="276" w:lineRule="auto"/>
      </w:pPr>
      <w:r>
        <w:rPr>
          <w:rFonts w:ascii="Times New Roman" w:hAnsi="Times New Roman"/>
          <w:b/>
          <w:sz w:val="24"/>
        </w:rPr>
        <w:t xml:space="preserve">[7] </w:t>
      </w:r>
      <w:r>
        <w:rPr>
          <w:rFonts w:ascii="Times New Roman" w:hAnsi="Times New Roman"/>
          <w:color w:val="1E1E1E"/>
          <w:sz w:val="24"/>
        </w:rPr>
        <w:t>Shiprocket Inc. (2024). The State of Indian D2C E-Commerce: Logistics, COD Dependency, and RTO Benchmarks Report 2024.</w:t>
      </w:r>
    </w:p>
    <w:p>
      <w:pPr>
        <w:spacing w:before="40" w:after="80" w:line="276" w:lineRule="auto"/>
      </w:pPr>
      <w:r>
        <w:rPr>
          <w:rFonts w:ascii="Times New Roman" w:hAnsi="Times New Roman"/>
          <w:b/>
          <w:sz w:val="24"/>
        </w:rPr>
        <w:t xml:space="preserve">[8] </w:t>
      </w:r>
      <w:r>
        <w:rPr>
          <w:rFonts w:ascii="Times New Roman" w:hAnsi="Times New Roman"/>
          <w:color w:val="1E1E1E"/>
          <w:sz w:val="24"/>
        </w:rPr>
        <w:t>Bain &amp; Company. (2023). Unlocking the Next Billion Consumers: How Indian D2C Brands Can Scale Profitably. Bain Retail &amp; Consumer Goods Report.</w:t>
      </w:r>
    </w:p>
    <w:p>
      <w:pPr>
        <w:spacing w:before="40" w:after="80" w:line="276" w:lineRule="auto"/>
      </w:pPr>
      <w:r>
        <w:rPr>
          <w:rFonts w:ascii="Times New Roman" w:hAnsi="Times New Roman"/>
          <w:b/>
          <w:sz w:val="24"/>
        </w:rPr>
        <w:t xml:space="preserve">[9] </w:t>
      </w:r>
      <w:r>
        <w:rPr>
          <w:rFonts w:ascii="Times New Roman" w:hAnsi="Times New Roman"/>
          <w:color w:val="1E1E1E"/>
          <w:sz w:val="24"/>
        </w:rPr>
        <w:t>OpenAPI Initiative. (2023). OpenAPI Specification Version 3.0.3. Retrieved from https://spec.openapis.org/oas/v3.0.3</w:t>
      </w:r>
    </w:p>
    <w:p>
      <w:pPr>
        <w:spacing w:before="40" w:after="80" w:line="276" w:lineRule="auto"/>
      </w:pPr>
      <w:r>
        <w:rPr>
          <w:rFonts w:ascii="Times New Roman" w:hAnsi="Times New Roman"/>
          <w:b/>
          <w:sz w:val="24"/>
        </w:rPr>
        <w:t xml:space="preserve">[10] </w:t>
      </w:r>
      <w:r>
        <w:rPr>
          <w:rFonts w:ascii="Times New Roman" w:hAnsi="Times New Roman"/>
          <w:color w:val="1E1E1E"/>
          <w:sz w:val="24"/>
        </w:rPr>
        <w:t>Walls, C. (2022). Spring in Action (6th Edition). Manning Publications. ISBN: 978-1617297571.</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