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32"/>
          <w:szCs w:val="32"/>
        </w:rPr>
        <w:t xml:space="preserve">Curriculum Intelligence Engine</w:t>
      </w:r>
    </w:p>
    <w:p>
      <w:pPr>
        <w:spacing w:after="40"/>
      </w:pPr>
      <w:r>
        <w:rPr>
          <w:rFonts w:ascii="Calibri" w:cs="Calibri" w:eastAsia="Calibri" w:hAnsi="Calibri"/>
          <w:i/>
          <w:iCs/>
          <w:color w:val="595959"/>
          <w:sz w:val="19"/>
          <w:szCs w:val="19"/>
        </w:rPr>
        <w:t xml:space="preserve">Week 4 – Improved Model: baseline vs improved  |  AI University NLP Course Project 2026</w:t>
      </w:r>
    </w:p>
    <w:p>
      <w:pPr>
        <w:pBdr>
          <w:bottom w:val="single" w:color="1F3864" w:sz="6" w:space="4"/>
        </w:pBdr>
        <w:spacing w:after="160"/>
      </w:pPr>
      <w:r>
        <w:rPr>
          <w:rFonts w:ascii="Calibri" w:cs="Calibri" w:eastAsia="Calibri" w:hAnsi="Calibri"/>
          <w:color w:val="595959"/>
          <w:sz w:val="19"/>
          <w:szCs w:val="19"/>
        </w:rPr>
        <w:t xml:space="preserve">Group 9  ·  Roll Nos: J048, J049, J050, J052, J053  ·  Code: github.com/jainamsethia/Curriculum-Intelligence-Engine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c>
          <w:tcPr>
            <w:tcW w:type="dxa" w:w="1900"/>
            <w:tcBorders>
              <w:top w:val="single" w:color="BFBFBF" w:sz="4"/>
              <w:left w:val="single" w:color="BFBFBF" w:sz="4"/>
              <w:bottom w:val="single" w:color="BFBFBF" w:sz="4"/>
              <w:right w:val="single" w:color="BFBFBF" w:sz="4"/>
            </w:tcBorders>
            <w:shd w:fill="EEF2F7" w:color="auto" w:val="clear"/>
            <w:tcMar>
              <w:top w:type="dxa" w:w="100"/>
              <w:left w:type="dxa" w:w="120"/>
              <w:bottom w:type="dxa" w:w="100"/>
              <w:right w:type="dxa" w:w="120"/>
            </w:tcMar>
          </w:tcPr>
          <w:p>
            <w:r>
              <w:rPr>
                <w:rFonts w:ascii="Calibri" w:cs="Calibri" w:eastAsia="Calibri" w:hAnsi="Calibri"/>
                <w:b/>
                <w:bCs/>
                <w:color w:val="1F3864"/>
                <w:sz w:val="19"/>
                <w:szCs w:val="19"/>
              </w:rPr>
              <w:t xml:space="preserve">Week 4 Goal</w:t>
            </w:r>
          </w:p>
        </w:tc>
        <w:tc>
          <w:tcPr>
            <w:tcW w:type="dxa" w:w="8180"/>
            <w:tcBorders>
              <w:top w:val="single" w:color="BFBFBF" w:sz="4"/>
              <w:left w:val="single" w:color="BFBFBF" w:sz="4"/>
              <w:bottom w:val="single" w:color="BFBFBF" w:sz="4"/>
              <w:right w:val="single" w:color="BFBFBF" w:sz="4"/>
            </w:tcBorders>
            <w:tcMar>
              <w:top w:type="dxa" w:w="100"/>
              <w:left w:type="dxa" w:w="140"/>
              <w:bottom w:type="dxa" w:w="100"/>
              <w:right w:type="dxa" w:w="120"/>
            </w:tcMar>
          </w:tcPr>
          <w:p>
            <w:pPr>
              <w:spacing w:after="60" w:line="264"/>
            </w:pPr>
            <w:r>
              <w:rPr>
                <w:rFonts w:ascii="Calibri" w:cs="Calibri" w:eastAsia="Calibri" w:hAnsi="Calibri"/>
                <w:sz w:val="19"/>
                <w:szCs w:val="19"/>
              </w:rPr>
              <w:t xml:space="preserve">Implement an improved approach for four parts of the pipeline and compare each with its baseline on the same test data: </w:t>
            </w:r>
            <w:r>
              <w:rPr>
                <w:rFonts w:ascii="Calibri" w:cs="Calibri" w:eastAsia="Calibri" w:hAnsi="Calibri"/>
                <w:b/>
                <w:bCs/>
                <w:sz w:val="19"/>
                <w:szCs w:val="19"/>
              </w:rPr>
              <w:t xml:space="preserve">keyword search → vector retrieval</w:t>
            </w:r>
            <w:r>
              <w:rPr>
                <w:rFonts w:ascii="Calibri" w:cs="Calibri" w:eastAsia="Calibri" w:hAnsi="Calibri"/>
                <w:sz w:val="19"/>
                <w:szCs w:val="19"/>
              </w:rPr>
              <w:t xml:space="preserve">, </w:t>
            </w:r>
            <w:r>
              <w:rPr>
                <w:rFonts w:ascii="Calibri" w:cs="Calibri" w:eastAsia="Calibri" w:hAnsi="Calibri"/>
                <w:b/>
                <w:bCs/>
                <w:sz w:val="19"/>
                <w:szCs w:val="19"/>
              </w:rPr>
              <w:t xml:space="preserve">rule-based → transformer / LLM classification</w:t>
            </w:r>
            <w:r>
              <w:rPr>
                <w:rFonts w:ascii="Calibri" w:cs="Calibri" w:eastAsia="Calibri" w:hAnsi="Calibri"/>
                <w:sz w:val="19"/>
                <w:szCs w:val="19"/>
              </w:rPr>
              <w:t xml:space="preserve"> (Bloom’s taxonomy), </w:t>
            </w:r>
            <w:r>
              <w:rPr>
                <w:rFonts w:ascii="Calibri" w:cs="Calibri" w:eastAsia="Calibri" w:hAnsi="Calibri"/>
                <w:b/>
                <w:bCs/>
                <w:sz w:val="19"/>
                <w:szCs w:val="19"/>
              </w:rPr>
              <w:t xml:space="preserve">rule-based → NER-style / LLM extraction</w:t>
            </w:r>
            <w:r>
              <w:rPr>
                <w:rFonts w:ascii="Calibri" w:cs="Calibri" w:eastAsia="Calibri" w:hAnsi="Calibri"/>
                <w:sz w:val="19"/>
                <w:szCs w:val="19"/>
              </w:rPr>
              <w:t xml:space="preserve"> (prerequisites) and </w:t>
            </w:r>
            <w:r>
              <w:rPr>
                <w:rFonts w:ascii="Calibri" w:cs="Calibri" w:eastAsia="Calibri" w:hAnsi="Calibri"/>
                <w:b/>
                <w:bCs/>
                <w:sz w:val="19"/>
                <w:szCs w:val="19"/>
              </w:rPr>
              <w:t xml:space="preserve">basic → LLM-assisted summarisation</w:t>
            </w:r>
            <w:r>
              <w:rPr>
                <w:rFonts w:ascii="Calibri" w:cs="Calibri" w:eastAsia="Calibri" w:hAnsi="Calibri"/>
                <w:sz w:val="19"/>
                <w:szCs w:val="19"/>
              </w:rPr>
              <w:t xml:space="preserve">. Improvements are kept only where the evidence supports them; where they do not help, the report says so.</w:t>
            </w:r>
          </w:p>
        </w:tc>
      </w:tr>
      <w:tr>
        <w:tc>
          <w:tcPr>
            <w:tcW w:type="dxa" w:w="1900"/>
            <w:tcBorders>
              <w:top w:val="single" w:color="BFBFBF" w:sz="4"/>
              <w:left w:val="single" w:color="BFBFBF" w:sz="4"/>
              <w:bottom w:val="single" w:color="BFBFBF" w:sz="4"/>
              <w:right w:val="single" w:color="BFBFBF" w:sz="4"/>
            </w:tcBorders>
            <w:shd w:fill="EEF2F7" w:color="auto" w:val="clear"/>
            <w:tcMar>
              <w:top w:type="dxa" w:w="100"/>
              <w:left w:type="dxa" w:w="120"/>
              <w:bottom w:type="dxa" w:w="100"/>
              <w:right w:type="dxa" w:w="120"/>
            </w:tcMar>
          </w:tcPr>
          <w:p>
            <w:r>
              <w:rPr>
                <w:rFonts w:ascii="Calibri" w:cs="Calibri" w:eastAsia="Calibri" w:hAnsi="Calibri"/>
                <w:b/>
                <w:bCs/>
                <w:color w:val="1F3864"/>
                <w:sz w:val="19"/>
                <w:szCs w:val="19"/>
              </w:rPr>
              <w:t xml:space="preserve">Setup</w:t>
            </w:r>
          </w:p>
        </w:tc>
        <w:tc>
          <w:tcPr>
            <w:tcW w:type="dxa" w:w="8180"/>
            <w:tcBorders>
              <w:top w:val="single" w:color="BFBFBF" w:sz="4"/>
              <w:left w:val="single" w:color="BFBFBF" w:sz="4"/>
              <w:bottom w:val="single" w:color="BFBFBF" w:sz="4"/>
              <w:right w:val="single" w:color="BFBFBF" w:sz="4"/>
            </w:tcBorders>
            <w:tcMar>
              <w:top w:type="dxa" w:w="100"/>
              <w:left w:type="dxa" w:w="140"/>
              <w:bottom w:type="dxa" w:w="100"/>
              <w:right w:type="dxa" w:w="120"/>
            </w:tcMar>
          </w:tcPr>
          <w:p>
            <w:pPr>
              <w:pStyle w:val="ListParagraph"/>
              <w:numPr>
                <w:ilvl w:val="0"/>
                <w:numId w:val="2"/>
              </w:numPr>
              <w:spacing w:after="30" w:line="256"/>
            </w:pPr>
            <w:r>
              <w:rPr>
                <w:rFonts w:ascii="Calibri" w:cs="Calibri" w:eastAsia="Calibri" w:hAnsi="Calibri"/>
                <w:sz w:val="19"/>
                <w:szCs w:val="19"/>
              </w:rPr>
              <w:t xml:space="preserve">Data: the NMIMS syllabus dataset of Week 3 (2366 course versions, 655 courses). Same course-level split (458 train / 197 test); 100 of the training courses form a validation set for every choice made in this week.</w:t>
            </w:r>
          </w:p>
          <w:p>
            <w:pPr>
              <w:pStyle w:val="ListParagraph"/>
              <w:numPr>
                <w:ilvl w:val="0"/>
                <w:numId w:val="2"/>
              </w:numPr>
              <w:spacing w:after="30" w:line="256"/>
            </w:pPr>
            <w:r>
              <w:rPr>
                <w:rFonts w:ascii="Calibri" w:cs="Calibri" w:eastAsia="Calibri" w:hAnsi="Calibri"/>
                <w:sz w:val="19"/>
                <w:szCs w:val="19"/>
              </w:rPr>
              <w:t xml:space="preserve">Compute: CPU only. The LLM is Phi-3 (3.8B, 4-bit) served locally by Ollama, so nothing leaves the machine. Encoders: all-MiniLM-L6-v2, bge-small-en-v1.5, nomic-embed-text and bge-base-en-v1.5; reranker: ms-marco MiniLM cross-encoder.</w:t>
            </w:r>
          </w:p>
          <w:p>
            <w:pPr>
              <w:pStyle w:val="ListParagraph"/>
              <w:numPr>
                <w:ilvl w:val="0"/>
                <w:numId w:val="2"/>
              </w:numPr>
              <w:spacing w:after="30" w:line="256"/>
            </w:pPr>
            <w:r>
              <w:rPr>
                <w:rFonts w:ascii="Calibri" w:cs="Calibri" w:eastAsia="Calibri" w:hAnsi="Calibri"/>
                <w:sz w:val="19"/>
                <w:szCs w:val="19"/>
              </w:rPr>
              <w:t xml:space="preserve">Statistics: confidence intervals resample whole courses (queries of one course are correlated); paired differences use the same resampling; McNemar’s exact test for classification. </w:t>
            </w:r>
            <w:r>
              <w:rPr>
                <w:rFonts w:ascii="Calibri" w:cs="Calibri" w:eastAsia="Calibri" w:hAnsi="Calibri"/>
                <w:b/>
                <w:bCs/>
                <w:sz w:val="19"/>
                <w:szCs w:val="19"/>
              </w:rPr>
              <w:t xml:space="preserve">Label provenance:</w:t>
            </w:r>
            <w:r>
              <w:rPr>
                <w:rFonts w:ascii="Calibri" w:cs="Calibri" w:eastAsia="Calibri" w:hAnsi="Calibri"/>
                <w:sz w:val="19"/>
                <w:szCs w:val="19"/>
              </w:rPr>
              <w:t xml:space="preserve"> the prerequisite test set and the Week 3 gold pairs are LLM-labelled; retrieval, Bloom and summary ground truths come from the syllabi themselves (source course, faculty K/L tag, faculty objective).</w:t>
            </w:r>
          </w:p>
        </w:tc>
      </w:tr>
    </w:tbl>
    <w:p>
      <w:pPr>
        <w:keepNext/>
        <w:pBdr>
          <w:bottom w:val="single" w:color="BFBFBF" w:sz="4" w:space="2"/>
        </w:pBdr>
        <w:spacing w:after="80" w:before="220"/>
      </w:pPr>
      <w:r>
        <w:rPr>
          <w:rFonts w:ascii="Calibri" w:cs="Calibri" w:eastAsia="Calibri" w:hAnsi="Calibri"/>
          <w:b/>
          <w:bCs/>
          <w:color w:val="1F3864"/>
          <w:sz w:val="24"/>
          <w:szCs w:val="24"/>
        </w:rPr>
        <w:t xml:space="preserve">Baseline vs Improved: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300"/>
        <w:gridCol w:w="800"/>
        <w:gridCol w:w="700"/>
        <w:gridCol w:w="700"/>
        <w:gridCol w:w="1900"/>
        <w:gridCol w:w="980"/>
      </w:tblGrid>
      <w:tr>
        <w:trPr>
          <w:cantSplit/>
          <w:tblHeader/>
        </w:trPr>
        <w:tc>
          <w:tcPr>
            <w:tcW w:type="dxa" w:w="1200"/>
            <w:tcBorders>
              <w:top w:val="single" w:color="BFBFBF" w:sz="4"/>
              <w:left w:val="single" w:color="BFBFBF" w:sz="4"/>
              <w:bottom w:val="single" w:color="BFBFBF" w:sz="4"/>
              <w:right w:val="single" w:color="BFBFBF" w:sz="4"/>
            </w:tcBorders>
            <w:shd w:fill="EEF2F7" w:color="auto" w:val="clear"/>
            <w:tcMar>
              <w:top w:type="dxa" w:w="45"/>
              <w:left w:type="dxa" w:w="80"/>
              <w:bottom w:type="dxa" w:w="45"/>
              <w:right w:type="dxa" w:w="80"/>
            </w:tcMar>
          </w:tcPr>
          <w:p>
            <w:pPr>
              <w:keepNext w:val="false"/>
              <w:jc w:val="left"/>
            </w:pPr>
            <w:r>
              <w:rPr>
                <w:rFonts w:ascii="Calibri" w:cs="Calibri" w:eastAsia="Calibri" w:hAnsi="Calibri"/>
                <w:b/>
                <w:bCs/>
                <w:color w:val="1F3864"/>
                <w:sz w:val="16"/>
                <w:szCs w:val="16"/>
              </w:rPr>
              <w:t xml:space="preserve">Task</w:t>
            </w:r>
          </w:p>
        </w:tc>
        <w:tc>
          <w:tcPr>
            <w:tcW w:type="dxa" w:w="1500"/>
            <w:tcBorders>
              <w:top w:val="single" w:color="BFBFBF" w:sz="4"/>
              <w:left w:val="single" w:color="BFBFBF" w:sz="4"/>
              <w:bottom w:val="single" w:color="BFBFBF" w:sz="4"/>
              <w:right w:val="single" w:color="BFBFBF" w:sz="4"/>
            </w:tcBorders>
            <w:shd w:fill="EEF2F7" w:color="auto" w:val="clear"/>
            <w:tcMar>
              <w:top w:type="dxa" w:w="45"/>
              <w:left w:type="dxa" w:w="80"/>
              <w:bottom w:type="dxa" w:w="45"/>
              <w:right w:type="dxa" w:w="80"/>
            </w:tcMar>
          </w:tcPr>
          <w:p>
            <w:pPr>
              <w:keepNext w:val="false"/>
              <w:jc w:val="left"/>
            </w:pPr>
            <w:r>
              <w:rPr>
                <w:rFonts w:ascii="Calibri" w:cs="Calibri" w:eastAsia="Calibri" w:hAnsi="Calibri"/>
                <w:b/>
                <w:bCs/>
                <w:color w:val="1F3864"/>
                <w:sz w:val="16"/>
                <w:szCs w:val="16"/>
              </w:rPr>
              <w:t xml:space="preserve">Baseline</w:t>
            </w:r>
          </w:p>
        </w:tc>
        <w:tc>
          <w:tcPr>
            <w:tcW w:type="dxa" w:w="2300"/>
            <w:tcBorders>
              <w:top w:val="single" w:color="BFBFBF" w:sz="4"/>
              <w:left w:val="single" w:color="BFBFBF" w:sz="4"/>
              <w:bottom w:val="single" w:color="BFBFBF" w:sz="4"/>
              <w:right w:val="single" w:color="BFBFBF" w:sz="4"/>
            </w:tcBorders>
            <w:shd w:fill="EEF2F7" w:color="auto" w:val="clear"/>
            <w:tcMar>
              <w:top w:type="dxa" w:w="45"/>
              <w:left w:type="dxa" w:w="80"/>
              <w:bottom w:type="dxa" w:w="45"/>
              <w:right w:type="dxa" w:w="80"/>
            </w:tcMar>
          </w:tcPr>
          <w:p>
            <w:pPr>
              <w:keepNext w:val="false"/>
              <w:jc w:val="left"/>
            </w:pPr>
            <w:r>
              <w:rPr>
                <w:rFonts w:ascii="Calibri" w:cs="Calibri" w:eastAsia="Calibri" w:hAnsi="Calibri"/>
                <w:b/>
                <w:bCs/>
                <w:color w:val="1F3864"/>
                <w:sz w:val="16"/>
                <w:szCs w:val="16"/>
              </w:rPr>
              <w:t xml:space="preserve">Improved approach</w:t>
            </w:r>
          </w:p>
        </w:tc>
        <w:tc>
          <w:tcPr>
            <w:tcW w:type="dxa" w:w="800"/>
            <w:tcBorders>
              <w:top w:val="single" w:color="BFBFBF" w:sz="4"/>
              <w:left w:val="single" w:color="BFBFBF" w:sz="4"/>
              <w:bottom w:val="single" w:color="BFBFBF" w:sz="4"/>
              <w:right w:val="single" w:color="BFBFBF" w:sz="4"/>
            </w:tcBorders>
            <w:shd w:fill="EEF2F7" w:color="auto" w:val="clear"/>
            <w:tcMar>
              <w:top w:type="dxa" w:w="45"/>
              <w:left w:type="dxa" w:w="80"/>
              <w:bottom w:type="dxa" w:w="45"/>
              <w:right w:type="dxa" w:w="80"/>
            </w:tcMar>
          </w:tcPr>
          <w:p>
            <w:pPr>
              <w:keepNext w:val="false"/>
              <w:jc w:val="center"/>
            </w:pPr>
            <w:r>
              <w:rPr>
                <w:rFonts w:ascii="Calibri" w:cs="Calibri" w:eastAsia="Calibri" w:hAnsi="Calibri"/>
                <w:b/>
                <w:bCs/>
                <w:color w:val="1F3864"/>
                <w:sz w:val="16"/>
                <w:szCs w:val="16"/>
              </w:rPr>
              <w:t xml:space="preserve">Metric</w:t>
            </w:r>
          </w:p>
        </w:tc>
        <w:tc>
          <w:tcPr>
            <w:tcW w:type="dxa" w:w="700"/>
            <w:tcBorders>
              <w:top w:val="single" w:color="BFBFBF" w:sz="4"/>
              <w:left w:val="single" w:color="BFBFBF" w:sz="4"/>
              <w:bottom w:val="single" w:color="BFBFBF" w:sz="4"/>
              <w:right w:val="single" w:color="BFBFBF" w:sz="4"/>
            </w:tcBorders>
            <w:shd w:fill="EEF2F7" w:color="auto" w:val="clear"/>
            <w:tcMar>
              <w:top w:type="dxa" w:w="45"/>
              <w:left w:type="dxa" w:w="80"/>
              <w:bottom w:type="dxa" w:w="45"/>
              <w:right w:type="dxa" w:w="80"/>
            </w:tcMar>
          </w:tcPr>
          <w:p>
            <w:pPr>
              <w:keepNext w:val="false"/>
              <w:jc w:val="center"/>
            </w:pPr>
            <w:r>
              <w:rPr>
                <w:rFonts w:ascii="Calibri" w:cs="Calibri" w:eastAsia="Calibri" w:hAnsi="Calibri"/>
                <w:b/>
                <w:bCs/>
                <w:color w:val="1F3864"/>
                <w:sz w:val="16"/>
                <w:szCs w:val="16"/>
              </w:rPr>
              <w:t xml:space="preserve">Baseline</w:t>
            </w:r>
          </w:p>
        </w:tc>
        <w:tc>
          <w:tcPr>
            <w:tcW w:type="dxa" w:w="700"/>
            <w:tcBorders>
              <w:top w:val="single" w:color="BFBFBF" w:sz="4"/>
              <w:left w:val="single" w:color="BFBFBF" w:sz="4"/>
              <w:bottom w:val="single" w:color="BFBFBF" w:sz="4"/>
              <w:right w:val="single" w:color="BFBFBF" w:sz="4"/>
            </w:tcBorders>
            <w:shd w:fill="EEF2F7" w:color="auto" w:val="clear"/>
            <w:tcMar>
              <w:top w:type="dxa" w:w="45"/>
              <w:left w:type="dxa" w:w="80"/>
              <w:bottom w:type="dxa" w:w="45"/>
              <w:right w:type="dxa" w:w="80"/>
            </w:tcMar>
          </w:tcPr>
          <w:p>
            <w:pPr>
              <w:keepNext w:val="false"/>
              <w:jc w:val="center"/>
            </w:pPr>
            <w:r>
              <w:rPr>
                <w:rFonts w:ascii="Calibri" w:cs="Calibri" w:eastAsia="Calibri" w:hAnsi="Calibri"/>
                <w:b/>
                <w:bCs/>
                <w:color w:val="1F3864"/>
                <w:sz w:val="16"/>
                <w:szCs w:val="16"/>
              </w:rPr>
              <w:t xml:space="preserve">Improved</w:t>
            </w:r>
          </w:p>
        </w:tc>
        <w:tc>
          <w:tcPr>
            <w:tcW w:type="dxa" w:w="1900"/>
            <w:tcBorders>
              <w:top w:val="single" w:color="BFBFBF" w:sz="4"/>
              <w:left w:val="single" w:color="BFBFBF" w:sz="4"/>
              <w:bottom w:val="single" w:color="BFBFBF" w:sz="4"/>
              <w:right w:val="single" w:color="BFBFBF" w:sz="4"/>
            </w:tcBorders>
            <w:shd w:fill="EEF2F7" w:color="auto" w:val="clear"/>
            <w:tcMar>
              <w:top w:type="dxa" w:w="45"/>
              <w:left w:type="dxa" w:w="80"/>
              <w:bottom w:type="dxa" w:w="45"/>
              <w:right w:type="dxa" w:w="80"/>
            </w:tcMar>
          </w:tcPr>
          <w:p>
            <w:pPr>
              <w:keepNext w:val="false"/>
              <w:jc w:val="center"/>
            </w:pPr>
            <w:r>
              <w:rPr>
                <w:rFonts w:ascii="Calibri" w:cs="Calibri" w:eastAsia="Calibri" w:hAnsi="Calibri"/>
                <w:b/>
                <w:bCs/>
                <w:color w:val="1F3864"/>
                <w:sz w:val="16"/>
                <w:szCs w:val="16"/>
              </w:rPr>
              <w:t xml:space="preserve">Difference [95% CI]</w:t>
            </w:r>
          </w:p>
        </w:tc>
        <w:tc>
          <w:tcPr>
            <w:tcW w:type="dxa" w:w="980"/>
            <w:tcBorders>
              <w:top w:val="single" w:color="BFBFBF" w:sz="4"/>
              <w:left w:val="single" w:color="BFBFBF" w:sz="4"/>
              <w:bottom w:val="single" w:color="BFBFBF" w:sz="4"/>
              <w:right w:val="single" w:color="BFBFBF" w:sz="4"/>
            </w:tcBorders>
            <w:shd w:fill="EEF2F7" w:color="auto" w:val="clear"/>
            <w:tcMar>
              <w:top w:type="dxa" w:w="45"/>
              <w:left w:type="dxa" w:w="80"/>
              <w:bottom w:type="dxa" w:w="45"/>
              <w:right w:type="dxa" w:w="80"/>
            </w:tcMar>
          </w:tcPr>
          <w:p>
            <w:pPr>
              <w:keepNext w:val="false"/>
              <w:jc w:val="center"/>
            </w:pPr>
            <w:r>
              <w:rPr>
                <w:rFonts w:ascii="Calibri" w:cs="Calibri" w:eastAsia="Calibri" w:hAnsi="Calibri"/>
                <w:b/>
                <w:bCs/>
                <w:color w:val="1F3864"/>
                <w:sz w:val="16"/>
                <w:szCs w:val="16"/>
              </w:rPr>
              <w:t xml:space="preserve">Verdict</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1. Course search</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TF-IDF cosine (Week 2)</w:t>
            </w:r>
          </w:p>
        </w:tc>
        <w:tc>
          <w:tcPr>
            <w:tcW w:type="dxa" w:w="2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Hybrid: BM25 + dense encoder (RRF)</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MRR@10</w:t>
            </w:r>
          </w:p>
        </w:tc>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0.582</w:t>
            </w:r>
          </w:p>
        </w:tc>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0.617</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+0.035 [0.011, 0.057]</w:t>
            </w:r>
          </w:p>
        </w:tc>
        <w:tc>
          <w:tcPr>
            <w:tcW w:type="dxa" w:w="980"/>
            <w:tcBorders>
              <w:top w:val="single" w:color="BFBFBF" w:sz="4"/>
              <w:left w:val="single" w:color="BFBFBF" w:sz="4"/>
              <w:bottom w:val="single" w:color="BFBFBF" w:sz="4"/>
              <w:right w:val="single" w:color="BFBFBF" w:sz="4"/>
            </w:tcBorders>
            <w:shd w:fill="E6F4EC" w:color="auto" w:val="clear"/>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improved</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
            </w:r>
          </w:p>
        </w:tc>
        <w:tc>
          <w:tcPr>
            <w:tcW w:type="dxa" w:w="2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Hybrid: BM25 + domain-adapted MiniLM (RRF)</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MRR@10</w:t>
            </w:r>
          </w:p>
        </w:tc>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0.582</w:t>
            </w:r>
          </w:p>
        </w:tc>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0.630</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+0.048 [0.023, 0.073]</w:t>
            </w:r>
          </w:p>
        </w:tc>
        <w:tc>
          <w:tcPr>
            <w:tcW w:type="dxa" w:w="980"/>
            <w:tcBorders>
              <w:top w:val="single" w:color="BFBFBF" w:sz="4"/>
              <w:left w:val="single" w:color="BFBFBF" w:sz="4"/>
              <w:bottom w:val="single" w:color="BFBFBF" w:sz="4"/>
              <w:right w:val="single" w:color="BFBFBF" w:sz="4"/>
            </w:tcBorders>
            <w:shd w:fill="E6F4EC" w:color="auto" w:val="clear"/>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improved</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
            </w:r>
          </w:p>
        </w:tc>
        <w:tc>
          <w:tcPr>
            <w:tcW w:type="dxa" w:w="2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Hybrid + cross-encoder rerank</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MRR@10</w:t>
            </w:r>
          </w:p>
        </w:tc>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0.582</w:t>
            </w:r>
          </w:p>
        </w:tc>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0.607</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+0.025 [-0.003, 0.052]</w:t>
            </w:r>
          </w:p>
        </w:tc>
        <w:tc>
          <w:tcPr>
            <w:tcW w:type="dxa" w:w="980"/>
            <w:tcBorders>
              <w:top w:val="single" w:color="BFBFBF" w:sz="4"/>
              <w:left w:val="single" w:color="BFBFBF" w:sz="4"/>
              <w:bottom w:val="single" w:color="BFBFBF" w:sz="4"/>
              <w:right w:val="single" w:color="BFBFBF" w:sz="4"/>
            </w:tcBorders>
            <w:shd w:fill="FFF6DD" w:color="auto" w:val="clear"/>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no clear difference</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
            </w:r>
          </w:p>
        </w:tc>
        <w:tc>
          <w:tcPr>
            <w:tcW w:type="dxa" w:w="2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Domain-adapted MiniLM (best unit)</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MRR@10</w:t>
            </w:r>
          </w:p>
        </w:tc>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0.582</w:t>
            </w:r>
          </w:p>
        </w:tc>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0.610</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+0.028 [-0.005, 0.062]</w:t>
            </w:r>
          </w:p>
        </w:tc>
        <w:tc>
          <w:tcPr>
            <w:tcW w:type="dxa" w:w="980"/>
            <w:tcBorders>
              <w:top w:val="single" w:color="BFBFBF" w:sz="4"/>
              <w:left w:val="single" w:color="BFBFBF" w:sz="4"/>
              <w:bottom w:val="single" w:color="BFBFBF" w:sz="4"/>
              <w:right w:val="single" w:color="BFBFBF" w:sz="4"/>
            </w:tcBorders>
            <w:shd w:fill="FFF6DD" w:color="auto" w:val="clear"/>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no clear difference</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2. Bloom level</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Rule-based verb lexicon</w:t>
            </w:r>
          </w:p>
        </w:tc>
        <w:tc>
          <w:tcPr>
            <w:tcW w:type="dxa" w:w="2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Fine-tuned transformer (text + rule hint)</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accuracy</w:t>
            </w:r>
          </w:p>
        </w:tc>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0.727</w:t>
            </w:r>
          </w:p>
        </w:tc>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0.733</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+0.006 [-0.033, 0.045]</w:t>
            </w:r>
          </w:p>
        </w:tc>
        <w:tc>
          <w:tcPr>
            <w:tcW w:type="dxa" w:w="980"/>
            <w:tcBorders>
              <w:top w:val="single" w:color="BFBFBF" w:sz="4"/>
              <w:left w:val="single" w:color="BFBFBF" w:sz="4"/>
              <w:bottom w:val="single" w:color="BFBFBF" w:sz="4"/>
              <w:right w:val="single" w:color="BFBFBF" w:sz="4"/>
            </w:tcBorders>
            <w:shd w:fill="FFF6DD" w:color="auto" w:val="clear"/>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no clear difference</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
            </w:r>
          </w:p>
        </w:tc>
        <w:tc>
          <w:tcPr>
            <w:tcW w:type="dxa" w:w="2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Fine-tuned transformer (text)</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accuracy</w:t>
            </w:r>
          </w:p>
        </w:tc>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0.727</w:t>
            </w:r>
          </w:p>
        </w:tc>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0.678</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−0.049 [-0.112, 0.013]</w:t>
            </w:r>
          </w:p>
        </w:tc>
        <w:tc>
          <w:tcPr>
            <w:tcW w:type="dxa" w:w="980"/>
            <w:tcBorders>
              <w:top w:val="single" w:color="BFBFBF" w:sz="4"/>
              <w:left w:val="single" w:color="BFBFBF" w:sz="4"/>
              <w:bottom w:val="single" w:color="BFBFBF" w:sz="4"/>
              <w:right w:val="single" w:color="BFBFBF" w:sz="4"/>
            </w:tcBorders>
            <w:shd w:fill="FFF6DD" w:color="auto" w:val="clear"/>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no clear difference</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
            </w:r>
          </w:p>
        </w:tc>
        <w:tc>
          <w:tcPr>
            <w:tcW w:type="dxa" w:w="2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Phi-3 zero-shot</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accuracy</w:t>
            </w:r>
          </w:p>
        </w:tc>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0.727</w:t>
            </w:r>
          </w:p>
        </w:tc>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0.718</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−0.009 [-0.048, 0.026]</w:t>
            </w:r>
          </w:p>
        </w:tc>
        <w:tc>
          <w:tcPr>
            <w:tcW w:type="dxa" w:w="980"/>
            <w:tcBorders>
              <w:top w:val="single" w:color="BFBFBF" w:sz="4"/>
              <w:left w:val="single" w:color="BFBFBF" w:sz="4"/>
              <w:bottom w:val="single" w:color="BFBFBF" w:sz="4"/>
              <w:right w:val="single" w:color="BFBFBF" w:sz="4"/>
            </w:tcBorders>
            <w:shd w:fill="FFF6DD" w:color="auto" w:val="clear"/>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no clear difference</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
            </w:r>
          </w:p>
        </w:tc>
        <w:tc>
          <w:tcPr>
            <w:tcW w:type="dxa" w:w="2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Phi-3 few-shot (12 examples)</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accuracy</w:t>
            </w:r>
          </w:p>
        </w:tc>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0.727</w:t>
            </w:r>
          </w:p>
        </w:tc>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0.607</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−0.120 [-0.177, -0.064]</w:t>
            </w:r>
          </w:p>
        </w:tc>
        <w:tc>
          <w:tcPr>
            <w:tcW w:type="dxa" w:w="980"/>
            <w:tcBorders>
              <w:top w:val="single" w:color="BFBFBF" w:sz="4"/>
              <w:left w:val="single" w:color="BFBFBF" w:sz="4"/>
              <w:bottom w:val="single" w:color="BFBFBF" w:sz="4"/>
              <w:right w:val="single" w:color="BFBFBF" w:sz="4"/>
            </w:tcBorders>
            <w:shd w:fill="FBE9E7" w:color="auto" w:val="clear"/>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worse</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3. Prerequisite extraction</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Rule-based splitter</w:t>
            </w:r>
          </w:p>
        </w:tc>
        <w:tc>
          <w:tcPr>
            <w:tcW w:type="dxa" w:w="2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spaCy noun chunks (NER-style)</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F1</w:t>
            </w:r>
          </w:p>
        </w:tc>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0.784</w:t>
            </w:r>
          </w:p>
        </w:tc>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0.606</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−0.178 [-0.237, -0.113]</w:t>
            </w:r>
          </w:p>
        </w:tc>
        <w:tc>
          <w:tcPr>
            <w:tcW w:type="dxa" w:w="980"/>
            <w:tcBorders>
              <w:top w:val="single" w:color="BFBFBF" w:sz="4"/>
              <w:left w:val="single" w:color="BFBFBF" w:sz="4"/>
              <w:bottom w:val="single" w:color="BFBFBF" w:sz="4"/>
              <w:right w:val="single" w:color="BFBFBF" w:sz="4"/>
            </w:tcBorders>
            <w:shd w:fill="FBE9E7" w:color="auto" w:val="clear"/>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worse</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
            </w:r>
          </w:p>
        </w:tc>
        <w:tc>
          <w:tcPr>
            <w:tcW w:type="dxa" w:w="2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Phi-3 few-shot (LLM-assisted)</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F1</w:t>
            </w:r>
          </w:p>
        </w:tc>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0.784</w:t>
            </w:r>
          </w:p>
        </w:tc>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0.852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+0.068 [0.007, 0.130]</w:t>
            </w:r>
          </w:p>
        </w:tc>
        <w:tc>
          <w:tcPr>
            <w:tcW w:type="dxa" w:w="980"/>
            <w:tcBorders>
              <w:top w:val="single" w:color="BFBFBF" w:sz="4"/>
              <w:left w:val="single" w:color="BFBFBF" w:sz="4"/>
              <w:bottom w:val="single" w:color="BFBFBF" w:sz="4"/>
              <w:right w:val="single" w:color="BFBFBF" w:sz="4"/>
            </w:tcBorders>
            <w:shd w:fill="E6F4EC" w:color="auto" w:val="clear"/>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improved</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4. Course summary</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Extractive: first two outcomes</w:t>
            </w:r>
          </w:p>
        </w:tc>
        <w:tc>
          <w:tcPr>
            <w:tcW w:type="dxa" w:w="2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Phi-3 (unit titles + outcomes)</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ROUGE-L</w:t>
            </w:r>
          </w:p>
        </w:tc>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0.217</w:t>
            </w:r>
          </w:p>
        </w:tc>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0.257</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+0.040 [0.022, 0.057]</w:t>
            </w:r>
          </w:p>
        </w:tc>
        <w:tc>
          <w:tcPr>
            <w:tcW w:type="dxa" w:w="980"/>
            <w:tcBorders>
              <w:top w:val="single" w:color="BFBFBF" w:sz="4"/>
              <w:left w:val="single" w:color="BFBFBF" w:sz="4"/>
              <w:bottom w:val="single" w:color="BFBFBF" w:sz="4"/>
              <w:right w:val="single" w:color="BFBFBF" w:sz="4"/>
            </w:tcBorders>
            <w:shd w:fill="E6F4EC" w:color="auto" w:val="clear"/>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improved</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
            </w:r>
          </w:p>
        </w:tc>
        <w:tc>
          <w:tcPr>
            <w:tcW w:type="dxa" w:w="2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Phi-3 (full unit text + outcomes)</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ROUGE-L</w:t>
            </w:r>
          </w:p>
        </w:tc>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0.217</w:t>
            </w:r>
          </w:p>
        </w:tc>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0.267</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+0.050 [0.035, 0.065]</w:t>
            </w:r>
          </w:p>
        </w:tc>
        <w:tc>
          <w:tcPr>
            <w:tcW w:type="dxa" w:w="980"/>
            <w:tcBorders>
              <w:top w:val="single" w:color="BFBFBF" w:sz="4"/>
              <w:left w:val="single" w:color="BFBFBF" w:sz="4"/>
              <w:bottom w:val="single" w:color="BFBFBF" w:sz="4"/>
              <w:right w:val="single" w:color="BFBFBF" w:sz="4"/>
            </w:tcBorders>
            <w:shd w:fill="E6F4EC" w:color="auto" w:val="clear"/>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improved</w:t>
            </w:r>
          </w:p>
        </w:tc>
      </w:tr>
    </w:tbl>
    <w:p>
      <w:pPr>
        <w:spacing w:after="120" w:before="40"/>
      </w:pPr>
      <w:r>
        <w:rPr>
          <w:rFonts w:ascii="Calibri" w:cs="Calibri" w:eastAsia="Calibri" w:hAnsi="Calibri"/>
          <w:i/>
          <w:iCs/>
          <w:color w:val="595959"/>
          <w:sz w:val="17"/>
          <w:szCs w:val="17"/>
        </w:rPr>
        <w:t xml:space="preserve">Verdict: “improved” only if the 95% interval of the paired difference excludes zero; “worse” if it lies below zero; otherwise “no clear difference”.</w:t>
      </w:r>
    </w:p>
    <w:p>
      <w:pPr>
        <w:keepNext/>
        <w:spacing w:before="80"/>
        <w:jc w:val="center"/>
      </w:pPr>
      <w:r>
        <w:drawing>
          <wp:inline distT="0" distB="0" distL="0" distR="0">
            <wp:extent cx="6191250" cy="4200525"/>
            <wp:effectExtent t="0" r="0" b="0" l="0"/>
            <wp:docPr id="1" name="fig_w4_comparison.png" descr="fig_w4_comparison.png" title="fig_w4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91250" cy="4200525"/>
                    </a:xfrm>
                    <a:prstGeom prst="rect">
                      <a:avLst/>
                    </a:prstGeom>
                  </pic:spPr>
                </pic:pic>
              </a:graphicData>
            </a:graphic>
          </wp:inline>
        </w:drawing>
      </w:r>
    </w:p>
    <w:p>
      <w:pPr>
        <w:spacing w:after="120" w:before="40"/>
      </w:pPr>
      <w:r>
        <w:rPr>
          <w:rFonts w:ascii="Calibri" w:cs="Calibri" w:eastAsia="Calibri" w:hAnsi="Calibri"/>
          <w:i/>
          <w:iCs/>
          <w:color w:val="595959"/>
          <w:sz w:val="17"/>
          <w:szCs w:val="17"/>
        </w:rPr>
        <w:t xml:space="preserve">Baselines (blue) and candidate improvements (orange). Bars show 95% intervals that resample whole courses; the 60-string prerequisite test has none in the figure (see the table).</w:t>
      </w:r>
    </w:p>
    <w:p>
      <w:pPr>
        <w:keepNext/>
        <w:pBdr>
          <w:bottom w:val="single" w:color="BFBFBF" w:sz="4" w:space="2"/>
        </w:pBdr>
        <w:spacing w:after="80" w:before="220"/>
      </w:pPr>
      <w:r>
        <w:rPr>
          <w:rFonts w:ascii="Calibri" w:cs="Calibri" w:eastAsia="Calibri" w:hAnsi="Calibri"/>
          <w:b/>
          <w:bCs/>
          <w:color w:val="1F3864"/>
          <w:sz w:val="24"/>
          <w:szCs w:val="24"/>
        </w:rPr>
        <w:t xml:space="preserve">1. Course search: keyword → vector retrieval</w:t>
      </w:r>
    </w:p>
    <w:p>
      <w:pPr>
        <w:spacing w:after="60" w:line="264"/>
      </w:pPr>
      <w:r>
        <w:rPr>
          <w:rFonts w:ascii="Calibri" w:cs="Calibri" w:eastAsia="Calibri" w:hAnsi="Calibri"/>
          <w:sz w:val="19"/>
          <w:szCs w:val="19"/>
        </w:rPr>
        <w:t xml:space="preserve">Question: which course teaches this learning outcome? Each query is one outcome statement (869 test queries from 197 unseen courses); the collection holds 640 courses represented only by their unit descriptions, so outcomes, objectives, title and code cannot leak. A course counts as found if it, or a near-duplicate of it (TF-IDF ≥ 0.85, 607 clusters), is returned. Choices among encoders and aggregators were made on 100 validation courses (471 queries), never on the test courses.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1750"/>
        <w:gridCol w:w="850"/>
        <w:gridCol w:w="850"/>
        <w:gridCol w:w="900"/>
        <w:gridCol w:w="2130"/>
      </w:tblGrid>
      <w:tr>
        <w:trPr>
          <w:cantSplit/>
          <w:tblHeader/>
        </w:trPr>
        <w:tc>
          <w:tcPr>
            <w:tcW w:type="dxa" w:w="3600"/>
            <w:tcBorders>
              <w:top w:val="single" w:color="BFBFBF" w:sz="4"/>
              <w:left w:val="single" w:color="BFBFBF" w:sz="4"/>
              <w:bottom w:val="single" w:color="BFBFBF" w:sz="4"/>
              <w:right w:val="single" w:color="BFBFBF" w:sz="4"/>
            </w:tcBorders>
            <w:shd w:fill="EEF2F7" w:color="auto" w:val="clear"/>
            <w:tcMar>
              <w:top w:type="dxa" w:w="45"/>
              <w:left w:type="dxa" w:w="80"/>
              <w:bottom w:type="dxa" w:w="45"/>
              <w:right w:type="dxa" w:w="80"/>
            </w:tcMar>
          </w:tcPr>
          <w:p>
            <w:pPr>
              <w:keepNext w:val="false"/>
              <w:jc w:val="left"/>
            </w:pPr>
            <w:r>
              <w:rPr>
                <w:rFonts w:ascii="Calibri" w:cs="Calibri" w:eastAsia="Calibri" w:hAnsi="Calibri"/>
                <w:b/>
                <w:bCs/>
                <w:color w:val="1F3864"/>
                <w:sz w:val="16"/>
                <w:szCs w:val="16"/>
              </w:rPr>
              <w:t xml:space="preserve">System</w:t>
            </w:r>
          </w:p>
        </w:tc>
        <w:tc>
          <w:tcPr>
            <w:tcW w:type="dxa" w:w="1750"/>
            <w:tcBorders>
              <w:top w:val="single" w:color="BFBFBF" w:sz="4"/>
              <w:left w:val="single" w:color="BFBFBF" w:sz="4"/>
              <w:bottom w:val="single" w:color="BFBFBF" w:sz="4"/>
              <w:right w:val="single" w:color="BFBFBF" w:sz="4"/>
            </w:tcBorders>
            <w:shd w:fill="EEF2F7" w:color="auto" w:val="clear"/>
            <w:tcMar>
              <w:top w:type="dxa" w:w="45"/>
              <w:left w:type="dxa" w:w="80"/>
              <w:bottom w:type="dxa" w:w="45"/>
              <w:right w:type="dxa" w:w="80"/>
            </w:tcMar>
          </w:tcPr>
          <w:p>
            <w:pPr>
              <w:keepNext w:val="false"/>
              <w:jc w:val="center"/>
            </w:pPr>
            <w:r>
              <w:rPr>
                <w:rFonts w:ascii="Calibri" w:cs="Calibri" w:eastAsia="Calibri" w:hAnsi="Calibri"/>
                <w:b/>
                <w:bCs/>
                <w:color w:val="1F3864"/>
                <w:sz w:val="16"/>
                <w:szCs w:val="16"/>
              </w:rPr>
              <w:t xml:space="preserve">MRR@10 [95% CI]</w:t>
            </w:r>
          </w:p>
        </w:tc>
        <w:tc>
          <w:tcPr>
            <w:tcW w:type="dxa" w:w="850"/>
            <w:tcBorders>
              <w:top w:val="single" w:color="BFBFBF" w:sz="4"/>
              <w:left w:val="single" w:color="BFBFBF" w:sz="4"/>
              <w:bottom w:val="single" w:color="BFBFBF" w:sz="4"/>
              <w:right w:val="single" w:color="BFBFBF" w:sz="4"/>
            </w:tcBorders>
            <w:shd w:fill="EEF2F7" w:color="auto" w:val="clear"/>
            <w:tcMar>
              <w:top w:type="dxa" w:w="45"/>
              <w:left w:type="dxa" w:w="80"/>
              <w:bottom w:type="dxa" w:w="45"/>
              <w:right w:type="dxa" w:w="80"/>
            </w:tcMar>
          </w:tcPr>
          <w:p>
            <w:pPr>
              <w:keepNext w:val="false"/>
              <w:jc w:val="center"/>
            </w:pPr>
            <w:r>
              <w:rPr>
                <w:rFonts w:ascii="Calibri" w:cs="Calibri" w:eastAsia="Calibri" w:hAnsi="Calibri"/>
                <w:b/>
                <w:bCs/>
                <w:color w:val="1F3864"/>
                <w:sz w:val="16"/>
                <w:szCs w:val="16"/>
              </w:rPr>
              <w:t xml:space="preserve">Recall@1</w:t>
            </w:r>
          </w:p>
        </w:tc>
        <w:tc>
          <w:tcPr>
            <w:tcW w:type="dxa" w:w="850"/>
            <w:tcBorders>
              <w:top w:val="single" w:color="BFBFBF" w:sz="4"/>
              <w:left w:val="single" w:color="BFBFBF" w:sz="4"/>
              <w:bottom w:val="single" w:color="BFBFBF" w:sz="4"/>
              <w:right w:val="single" w:color="BFBFBF" w:sz="4"/>
            </w:tcBorders>
            <w:shd w:fill="EEF2F7" w:color="auto" w:val="clear"/>
            <w:tcMar>
              <w:top w:type="dxa" w:w="45"/>
              <w:left w:type="dxa" w:w="80"/>
              <w:bottom w:type="dxa" w:w="45"/>
              <w:right w:type="dxa" w:w="80"/>
            </w:tcMar>
          </w:tcPr>
          <w:p>
            <w:pPr>
              <w:keepNext w:val="false"/>
              <w:jc w:val="center"/>
            </w:pPr>
            <w:r>
              <w:rPr>
                <w:rFonts w:ascii="Calibri" w:cs="Calibri" w:eastAsia="Calibri" w:hAnsi="Calibri"/>
                <w:b/>
                <w:bCs/>
                <w:color w:val="1F3864"/>
                <w:sz w:val="16"/>
                <w:szCs w:val="16"/>
              </w:rPr>
              <w:t xml:space="preserve">Recall@5</w:t>
            </w:r>
          </w:p>
        </w:tc>
        <w:tc>
          <w:tcPr>
            <w:tcW w:type="dxa" w:w="900"/>
            <w:tcBorders>
              <w:top w:val="single" w:color="BFBFBF" w:sz="4"/>
              <w:left w:val="single" w:color="BFBFBF" w:sz="4"/>
              <w:bottom w:val="single" w:color="BFBFBF" w:sz="4"/>
              <w:right w:val="single" w:color="BFBFBF" w:sz="4"/>
            </w:tcBorders>
            <w:shd w:fill="EEF2F7" w:color="auto" w:val="clear"/>
            <w:tcMar>
              <w:top w:type="dxa" w:w="45"/>
              <w:left w:type="dxa" w:w="80"/>
              <w:bottom w:type="dxa" w:w="45"/>
              <w:right w:type="dxa" w:w="80"/>
            </w:tcMar>
          </w:tcPr>
          <w:p>
            <w:pPr>
              <w:keepNext w:val="false"/>
              <w:jc w:val="center"/>
            </w:pPr>
            <w:r>
              <w:rPr>
                <w:rFonts w:ascii="Calibri" w:cs="Calibri" w:eastAsia="Calibri" w:hAnsi="Calibri"/>
                <w:b/>
                <w:bCs/>
                <w:color w:val="1F3864"/>
                <w:sz w:val="16"/>
                <w:szCs w:val="16"/>
              </w:rPr>
              <w:t xml:space="preserve">Recall@10</w:t>
            </w:r>
          </w:p>
        </w:tc>
        <w:tc>
          <w:tcPr>
            <w:tcW w:type="dxa" w:w="2130"/>
            <w:tcBorders>
              <w:top w:val="single" w:color="BFBFBF" w:sz="4"/>
              <w:left w:val="single" w:color="BFBFBF" w:sz="4"/>
              <w:bottom w:val="single" w:color="BFBFBF" w:sz="4"/>
              <w:right w:val="single" w:color="BFBFBF" w:sz="4"/>
            </w:tcBorders>
            <w:shd w:fill="EEF2F7" w:color="auto" w:val="clear"/>
            <w:tcMar>
              <w:top w:type="dxa" w:w="45"/>
              <w:left w:type="dxa" w:w="80"/>
              <w:bottom w:type="dxa" w:w="45"/>
              <w:right w:type="dxa" w:w="80"/>
            </w:tcMar>
          </w:tcPr>
          <w:p>
            <w:pPr>
              <w:keepNext w:val="false"/>
              <w:jc w:val="center"/>
            </w:pPr>
            <w:r>
              <w:rPr>
                <w:rFonts w:ascii="Calibri" w:cs="Calibri" w:eastAsia="Calibri" w:hAnsi="Calibri"/>
                <w:b/>
                <w:bCs/>
                <w:color w:val="1F3864"/>
                <w:sz w:val="16"/>
                <w:szCs w:val="16"/>
              </w:rPr>
              <w:t xml:space="preserve">MRR gain over TF-IDF [95% CI]</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Hybrid: BM25, whole course + MiniLM domain-adapted (ours) / best unit (RRF)</w:t>
            </w:r>
          </w:p>
        </w:tc>
        <w:tc>
          <w:tcPr>
            <w:tcW w:type="dxa" w:w="17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0.630 [0.591, 0.667]</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0.493</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0.802</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0.888</w:t>
            </w:r>
          </w:p>
        </w:tc>
        <w:tc>
          <w:tcPr>
            <w:tcW w:type="dxa" w:w="213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+0.048 [0.023, 0.073]</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Hybrid: BM25, whole course + bge-base-en-v1.5 / course vector (RRF)</w:t>
            </w:r>
          </w:p>
        </w:tc>
        <w:tc>
          <w:tcPr>
            <w:tcW w:type="dxa" w:w="17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0.617 [0.578, 0.657]</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0.482</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0.796</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0.875</w:t>
            </w:r>
          </w:p>
        </w:tc>
        <w:tc>
          <w:tcPr>
            <w:tcW w:type="dxa" w:w="213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+0.035 [0.011, 0.057]</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nomic-embed-text / best unit</w:t>
            </w:r>
          </w:p>
        </w:tc>
        <w:tc>
          <w:tcPr>
            <w:tcW w:type="dxa" w:w="17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0.615 [0.577, 0.651]</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0.484</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0.801</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0.863</w:t>
            </w:r>
          </w:p>
        </w:tc>
        <w:tc>
          <w:tcPr>
            <w:tcW w:type="dxa" w:w="213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+0.033 [0.001, 0.066]</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MiniLM domain-adapted (ours) / best unit</w:t>
            </w:r>
          </w:p>
        </w:tc>
        <w:tc>
          <w:tcPr>
            <w:tcW w:type="dxa" w:w="17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0.610 [0.573, 0.646]</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0.466</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0.808</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0.896</w:t>
            </w:r>
          </w:p>
        </w:tc>
        <w:tc>
          <w:tcPr>
            <w:tcW w:type="dxa" w:w="213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+0.028 [-0.005, 0.062]</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Hybrid + cross-encoder rerank (top 10)</w:t>
            </w:r>
          </w:p>
        </w:tc>
        <w:tc>
          <w:tcPr>
            <w:tcW w:type="dxa" w:w="17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0.607 [0.569, 0.645]</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0.465</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0.802</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0.878</w:t>
            </w:r>
          </w:p>
        </w:tc>
        <w:tc>
          <w:tcPr>
            <w:tcW w:type="dxa" w:w="213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+0.025 [-0.003, 0.052]</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bge-base-en-v1.5 / best unit</w:t>
            </w:r>
          </w:p>
        </w:tc>
        <w:tc>
          <w:tcPr>
            <w:tcW w:type="dxa" w:w="17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0.606 [0.570, 0.641]</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0.459</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0.802</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0.886</w:t>
            </w:r>
          </w:p>
        </w:tc>
        <w:tc>
          <w:tcPr>
            <w:tcW w:type="dxa" w:w="213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+0.024 [-0.007, 0.054]</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MiniLM-L6 (Week 3 encoder) / best unit</w:t>
            </w:r>
          </w:p>
        </w:tc>
        <w:tc>
          <w:tcPr>
            <w:tcW w:type="dxa" w:w="17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0.598 [0.561, 0.634]</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0.455</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0.796</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0.890</w:t>
            </w:r>
          </w:p>
        </w:tc>
        <w:tc>
          <w:tcPr>
            <w:tcW w:type="dxa" w:w="213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+0.016 [-0.016, 0.048]</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MiniLM domain-adapted (ours) / course vector</w:t>
            </w:r>
          </w:p>
        </w:tc>
        <w:tc>
          <w:tcPr>
            <w:tcW w:type="dxa" w:w="17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0.596 [0.557, 0.633]</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0.457</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0.785</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0.883</w:t>
            </w:r>
          </w:p>
        </w:tc>
        <w:tc>
          <w:tcPr>
            <w:tcW w:type="dxa" w:w="213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+0.014 [-0.021, 0.047]</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MiniLM-L6 (Week 3 encoder) / course vector</w:t>
            </w:r>
          </w:p>
        </w:tc>
        <w:tc>
          <w:tcPr>
            <w:tcW w:type="dxa" w:w="17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0.583 [0.545, 0.619]</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0.441</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0.783</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0.883</w:t>
            </w:r>
          </w:p>
        </w:tc>
        <w:tc>
          <w:tcPr>
            <w:tcW w:type="dxa" w:w="213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+0.001 [-0.035, 0.034]</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TF-IDF cosine (Week 2 baseline)</w:t>
            </w:r>
          </w:p>
        </w:tc>
        <w:tc>
          <w:tcPr>
            <w:tcW w:type="dxa" w:w="17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0.582 [0.540, 0.622]</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0.473</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0.736</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0.817</w:t>
            </w:r>
          </w:p>
        </w:tc>
        <w:tc>
          <w:tcPr>
            <w:tcW w:type="dxa" w:w="213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baseline</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BM25, whole course</w:t>
            </w:r>
          </w:p>
        </w:tc>
        <w:tc>
          <w:tcPr>
            <w:tcW w:type="dxa" w:w="17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0.578 [0.534, 0.619]</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0.467</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0.731</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0.812</w:t>
            </w:r>
          </w:p>
        </w:tc>
        <w:tc>
          <w:tcPr>
            <w:tcW w:type="dxa" w:w="213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−0.004 [-0.026, 0.017]</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bge-small-en-v1.5 / best unit</w:t>
            </w:r>
          </w:p>
        </w:tc>
        <w:tc>
          <w:tcPr>
            <w:tcW w:type="dxa" w:w="17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0.575 [0.538, 0.611]</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0.426</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0.786</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0.858</w:t>
            </w:r>
          </w:p>
        </w:tc>
        <w:tc>
          <w:tcPr>
            <w:tcW w:type="dxa" w:w="213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−0.007 [-0.038, 0.024]</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nomic-embed-text / course vector</w:t>
            </w:r>
          </w:p>
        </w:tc>
        <w:tc>
          <w:tcPr>
            <w:tcW w:type="dxa" w:w="17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0.575 [0.532, 0.613]</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0.443</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0.755</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0.843</w:t>
            </w:r>
          </w:p>
        </w:tc>
        <w:tc>
          <w:tcPr>
            <w:tcW w:type="dxa" w:w="213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−0.007 [-0.042, 0.026]</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bge-base-en-v1.5 / course vector</w:t>
            </w:r>
          </w:p>
        </w:tc>
        <w:tc>
          <w:tcPr>
            <w:tcW w:type="dxa" w:w="17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0.574 [0.534, 0.614]</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0.435</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0.762</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0.861</w:t>
            </w:r>
          </w:p>
        </w:tc>
        <w:tc>
          <w:tcPr>
            <w:tcW w:type="dxa" w:w="213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−0.008 [-0.040, 0.024]</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bge-small-en-v1.5 / course vector</w:t>
            </w:r>
          </w:p>
        </w:tc>
        <w:tc>
          <w:tcPr>
            <w:tcW w:type="dxa" w:w="17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0.557 [0.520, 0.596]</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0.417</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0.754</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0.841</w:t>
            </w:r>
          </w:p>
        </w:tc>
        <w:tc>
          <w:tcPr>
            <w:tcW w:type="dxa" w:w="213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−0.025 [-0.062, 0.010]</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BM25, best unit</w:t>
            </w:r>
          </w:p>
        </w:tc>
        <w:tc>
          <w:tcPr>
            <w:tcW w:type="dxa" w:w="17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0.534 [0.497, 0.573]</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0.407</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0.719</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0.799</w:t>
            </w:r>
          </w:p>
        </w:tc>
        <w:tc>
          <w:tcPr>
            <w:tcW w:type="dxa" w:w="213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−0.048 [-0.075, -0.020]</w:t>
            </w:r>
          </w:p>
        </w:tc>
      </w:tr>
    </w:tbl>
    <w:p>
      <w:pPr>
        <w:spacing w:after="120" w:before="40"/>
      </w:pPr>
      <w:r>
        <w:rPr>
          <w:rFonts w:ascii="Calibri" w:cs="Calibri" w:eastAsia="Calibri" w:hAnsi="Calibri"/>
          <w:i/>
          <w:iCs/>
          <w:color w:val="595959"/>
          <w:sz w:val="17"/>
          <w:szCs w:val="17"/>
        </w:rPr>
        <w:t xml:space="preserve">Selected on validation: keyword = BM25, whole course; dense = bge-base-en-v1.5 / course vector. Intervals resample whole courses, because the outcomes of one course are correlated. Domain adaptation (contrastive fine-tuning on 1692 outcome→unit pairs of 347 training courses): validation MRR@10 by epoch 0 (base encoder): 0.6214, 1: 0.625, 2: 0.6502, 3: 0.644, 4: 0.6461, 5: 0.6491.</w:t>
      </w:r>
    </w:p>
    <w:p>
      <w:pPr>
        <w:keepNext/>
        <w:pBdr>
          <w:bottom w:val="single" w:color="BFBFBF" w:sz="4" w:space="2"/>
        </w:pBdr>
        <w:spacing w:after="80" w:before="220"/>
      </w:pPr>
      <w:r>
        <w:rPr>
          <w:rFonts w:ascii="Calibri" w:cs="Calibri" w:eastAsia="Calibri" w:hAnsi="Calibri"/>
          <w:b/>
          <w:bCs/>
          <w:color w:val="1F3864"/>
          <w:sz w:val="24"/>
          <w:szCs w:val="24"/>
        </w:rPr>
        <w:t xml:space="preserve">2. Bloom’s taxonomy: rule-based → transformer</w:t>
      </w:r>
    </w:p>
    <w:p>
      <w:pPr>
        <w:spacing w:after="60" w:line="264"/>
      </w:pPr>
      <w:r>
        <w:rPr>
          <w:rFonts w:ascii="Calibri" w:cs="Calibri" w:eastAsia="Calibri" w:hAnsi="Calibri"/>
          <w:sz w:val="19"/>
          <w:szCs w:val="19"/>
        </w:rPr>
        <w:t xml:space="preserve">Ground truth is the faculty’s own K/L tag printed in the syllabus (326 single-level outcomes from 66 courses). Every outcome is predicted by models that never saw its course (5-fold cross-validation grouped by course), which gives 326 test outcomes instead of the 98 of Week 3. The transformer is all-MiniLM-L6-v2 fine-tuned end to end (1 seed); “rule hint” adds the verb-lexicon level to its input. Phi-3 is prompted with the level definitions, with and without 12 examples from the training folds.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1000"/>
        <w:gridCol w:w="850"/>
        <w:gridCol w:w="2150"/>
        <w:gridCol w:w="1080"/>
      </w:tblGrid>
      <w:tr>
        <w:trPr>
          <w:cantSplit/>
          <w:tblHeader/>
        </w:trPr>
        <w:tc>
          <w:tcPr>
            <w:tcW w:type="dxa" w:w="3300"/>
            <w:tcBorders>
              <w:top w:val="single" w:color="BFBFBF" w:sz="4"/>
              <w:left w:val="single" w:color="BFBFBF" w:sz="4"/>
              <w:bottom w:val="single" w:color="BFBFBF" w:sz="4"/>
              <w:right w:val="single" w:color="BFBFBF" w:sz="4"/>
            </w:tcBorders>
            <w:shd w:fill="EEF2F7" w:color="auto" w:val="clear"/>
            <w:tcMar>
              <w:top w:type="dxa" w:w="45"/>
              <w:left w:type="dxa" w:w="80"/>
              <w:bottom w:type="dxa" w:w="45"/>
              <w:right w:type="dxa" w:w="80"/>
            </w:tcMar>
          </w:tcPr>
          <w:p>
            <w:pPr>
              <w:keepNext/>
              <w:jc w:val="left"/>
            </w:pPr>
            <w:r>
              <w:rPr>
                <w:rFonts w:ascii="Calibri" w:cs="Calibri" w:eastAsia="Calibri" w:hAnsi="Calibri"/>
                <w:b/>
                <w:bCs/>
                <w:color w:val="1F3864"/>
                <w:sz w:val="16"/>
                <w:szCs w:val="16"/>
              </w:rPr>
              <w:t xml:space="preserve">System</w:t>
            </w:r>
          </w:p>
        </w:tc>
        <w:tc>
          <w:tcPr>
            <w:tcW w:type="dxa" w:w="1700"/>
            <w:tcBorders>
              <w:top w:val="single" w:color="BFBFBF" w:sz="4"/>
              <w:left w:val="single" w:color="BFBFBF" w:sz="4"/>
              <w:bottom w:val="single" w:color="BFBFBF" w:sz="4"/>
              <w:right w:val="single" w:color="BFBFBF" w:sz="4"/>
            </w:tcBorders>
            <w:shd w:fill="EEF2F7" w:color="auto" w:val="clear"/>
            <w:tcMar>
              <w:top w:type="dxa" w:w="45"/>
              <w:left w:type="dxa" w:w="80"/>
              <w:bottom w:type="dxa" w:w="45"/>
              <w:right w:type="dxa" w:w="80"/>
            </w:tcMar>
          </w:tcPr>
          <w:p>
            <w:pPr>
              <w:keepNext/>
              <w:jc w:val="center"/>
            </w:pPr>
            <w:r>
              <w:rPr>
                <w:rFonts w:ascii="Calibri" w:cs="Calibri" w:eastAsia="Calibri" w:hAnsi="Calibri"/>
                <w:b/>
                <w:bCs/>
                <w:color w:val="1F3864"/>
                <w:sz w:val="16"/>
                <w:szCs w:val="16"/>
              </w:rPr>
              <w:t xml:space="preserve">Accuracy [95% CI]</w:t>
            </w:r>
          </w:p>
        </w:tc>
        <w:tc>
          <w:tcPr>
            <w:tcW w:type="dxa" w:w="1000"/>
            <w:tcBorders>
              <w:top w:val="single" w:color="BFBFBF" w:sz="4"/>
              <w:left w:val="single" w:color="BFBFBF" w:sz="4"/>
              <w:bottom w:val="single" w:color="BFBFBF" w:sz="4"/>
              <w:right w:val="single" w:color="BFBFBF" w:sz="4"/>
            </w:tcBorders>
            <w:shd w:fill="EEF2F7" w:color="auto" w:val="clear"/>
            <w:tcMar>
              <w:top w:type="dxa" w:w="45"/>
              <w:left w:type="dxa" w:w="80"/>
              <w:bottom w:type="dxa" w:w="45"/>
              <w:right w:type="dxa" w:w="80"/>
            </w:tcMar>
          </w:tcPr>
          <w:p>
            <w:pPr>
              <w:keepNext/>
              <w:jc w:val="center"/>
            </w:pPr>
            <w:r>
              <w:rPr>
                <w:rFonts w:ascii="Calibri" w:cs="Calibri" w:eastAsia="Calibri" w:hAnsi="Calibri"/>
                <w:b/>
                <w:bCs/>
                <w:color w:val="1F3864"/>
                <w:sz w:val="16"/>
                <w:szCs w:val="16"/>
              </w:rPr>
              <w:t xml:space="preserve">Within ±1 level</w:t>
            </w:r>
          </w:p>
        </w:tc>
        <w:tc>
          <w:tcPr>
            <w:tcW w:type="dxa" w:w="850"/>
            <w:tcBorders>
              <w:top w:val="single" w:color="BFBFBF" w:sz="4"/>
              <w:left w:val="single" w:color="BFBFBF" w:sz="4"/>
              <w:bottom w:val="single" w:color="BFBFBF" w:sz="4"/>
              <w:right w:val="single" w:color="BFBFBF" w:sz="4"/>
            </w:tcBorders>
            <w:shd w:fill="EEF2F7" w:color="auto" w:val="clear"/>
            <w:tcMar>
              <w:top w:type="dxa" w:w="45"/>
              <w:left w:type="dxa" w:w="80"/>
              <w:bottom w:type="dxa" w:w="45"/>
              <w:right w:type="dxa" w:w="80"/>
            </w:tcMar>
          </w:tcPr>
          <w:p>
            <w:pPr>
              <w:keepNext/>
              <w:jc w:val="center"/>
            </w:pPr>
            <w:r>
              <w:rPr>
                <w:rFonts w:ascii="Calibri" w:cs="Calibri" w:eastAsia="Calibri" w:hAnsi="Calibri"/>
                <w:b/>
                <w:bCs/>
                <w:color w:val="1F3864"/>
                <w:sz w:val="16"/>
                <w:szCs w:val="16"/>
              </w:rPr>
              <w:t xml:space="preserve">Macro-F1</w:t>
            </w:r>
          </w:p>
        </w:tc>
        <w:tc>
          <w:tcPr>
            <w:tcW w:type="dxa" w:w="2150"/>
            <w:tcBorders>
              <w:top w:val="single" w:color="BFBFBF" w:sz="4"/>
              <w:left w:val="single" w:color="BFBFBF" w:sz="4"/>
              <w:bottom w:val="single" w:color="BFBFBF" w:sz="4"/>
              <w:right w:val="single" w:color="BFBFBF" w:sz="4"/>
            </w:tcBorders>
            <w:shd w:fill="EEF2F7" w:color="auto" w:val="clear"/>
            <w:tcMar>
              <w:top w:type="dxa" w:w="45"/>
              <w:left w:type="dxa" w:w="80"/>
              <w:bottom w:type="dxa" w:w="45"/>
              <w:right w:type="dxa" w:w="80"/>
            </w:tcMar>
          </w:tcPr>
          <w:p>
            <w:pPr>
              <w:keepNext/>
              <w:jc w:val="center"/>
            </w:pPr>
            <w:r>
              <w:rPr>
                <w:rFonts w:ascii="Calibri" w:cs="Calibri" w:eastAsia="Calibri" w:hAnsi="Calibri"/>
                <w:b/>
                <w:bCs/>
                <w:color w:val="1F3864"/>
                <w:sz w:val="16"/>
                <w:szCs w:val="16"/>
              </w:rPr>
              <w:t xml:space="preserve">Right where lexicon wrong / wrong where lexicon right</w:t>
            </w:r>
          </w:p>
        </w:tc>
        <w:tc>
          <w:tcPr>
            <w:tcW w:type="dxa" w:w="1080"/>
            <w:tcBorders>
              <w:top w:val="single" w:color="BFBFBF" w:sz="4"/>
              <w:left w:val="single" w:color="BFBFBF" w:sz="4"/>
              <w:bottom w:val="single" w:color="BFBFBF" w:sz="4"/>
              <w:right w:val="single" w:color="BFBFBF" w:sz="4"/>
            </w:tcBorders>
            <w:shd w:fill="EEF2F7" w:color="auto" w:val="clear"/>
            <w:tcMar>
              <w:top w:type="dxa" w:w="45"/>
              <w:left w:type="dxa" w:w="80"/>
              <w:bottom w:type="dxa" w:w="45"/>
              <w:right w:type="dxa" w:w="80"/>
            </w:tcMar>
          </w:tcPr>
          <w:p>
            <w:pPr>
              <w:keepNext/>
              <w:jc w:val="center"/>
            </w:pPr>
            <w:r>
              <w:rPr>
                <w:rFonts w:ascii="Calibri" w:cs="Calibri" w:eastAsia="Calibri" w:hAnsi="Calibri"/>
                <w:b/>
                <w:bCs/>
                <w:color w:val="1F3864"/>
                <w:sz w:val="16"/>
                <w:szCs w:val="16"/>
              </w:rPr>
              <w:t xml:space="preserve">McNemar p</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Calibri" w:cs="Calibri" w:eastAsia="Calibri" w:hAnsi="Calibri"/>
                <w:b w:val="false"/>
                <w:bCs w:val="false"/>
                <w:sz w:val="16"/>
                <w:szCs w:val="16"/>
              </w:rPr>
              <w:t xml:space="preserve">Majority class</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0.393 [0.329, 0.457]</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0.80</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0.09</w:t>
            </w:r>
          </w:p>
        </w:tc>
        <w:tc>
          <w:tcPr>
            <w:tcW w:type="dxa" w:w="21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30 / 139</w:t>
            </w:r>
          </w:p>
        </w:tc>
        <w:tc>
          <w:tcPr>
            <w:tcW w:type="dxa" w:w="108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&lt;0.001</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Calibri" w:cs="Calibri" w:eastAsia="Calibri" w:hAnsi="Calibri"/>
                <w:b w:val="false"/>
                <w:bCs w:val="false"/>
                <w:sz w:val="16"/>
                <w:szCs w:val="16"/>
              </w:rPr>
              <w:t xml:space="preserve">Rule-based verb lexicon (Week 3)</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0.727 [0.676, 0.774]</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0.86</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0.68</w:t>
            </w:r>
          </w:p>
        </w:tc>
        <w:tc>
          <w:tcPr>
            <w:tcW w:type="dxa" w:w="21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baseline</w:t>
            </w:r>
          </w:p>
        </w:tc>
        <w:tc>
          <w:tcPr>
            <w:tcW w:type="dxa" w:w="108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Calibri" w:cs="Calibri" w:eastAsia="Calibri" w:hAnsi="Calibri"/>
                <w:b w:val="false"/>
                <w:bCs w:val="false"/>
                <w:sz w:val="16"/>
                <w:szCs w:val="16"/>
              </w:rPr>
              <w:t xml:space="preserve">Week 3 pipeline classifier</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0.706 [0.654, 0.757]</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0.87</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0.63</w:t>
            </w:r>
          </w:p>
        </w:tc>
        <w:tc>
          <w:tcPr>
            <w:tcW w:type="dxa" w:w="21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13 / 20</w:t>
            </w:r>
          </w:p>
        </w:tc>
        <w:tc>
          <w:tcPr>
            <w:tcW w:type="dxa" w:w="108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0.296</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Calibri" w:cs="Calibri" w:eastAsia="Calibri" w:hAnsi="Calibri"/>
                <w:b w:val="false"/>
                <w:bCs w:val="false"/>
                <w:sz w:val="16"/>
                <w:szCs w:val="16"/>
              </w:rPr>
              <w:t xml:space="preserve">TF-IDF + logistic regression</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0.641 [0.600, 0.682]</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0.85</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0.53</w:t>
            </w:r>
          </w:p>
        </w:tc>
        <w:tc>
          <w:tcPr>
            <w:tcW w:type="dxa" w:w="21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27 / 55</w:t>
            </w:r>
          </w:p>
        </w:tc>
        <w:tc>
          <w:tcPr>
            <w:tcW w:type="dxa" w:w="108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0.003</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Calibri" w:cs="Calibri" w:eastAsia="Calibri" w:hAnsi="Calibri"/>
                <w:b w:val="false"/>
                <w:bCs w:val="false"/>
                <w:sz w:val="16"/>
                <w:szCs w:val="16"/>
              </w:rPr>
              <w:t xml:space="preserve">Fine-tuned transformer (text)</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0.678 [0.622, 0.733]</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0.90</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0.37</w:t>
            </w:r>
          </w:p>
        </w:tc>
        <w:tc>
          <w:tcPr>
            <w:tcW w:type="dxa" w:w="21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35 / 51</w:t>
            </w:r>
          </w:p>
        </w:tc>
        <w:tc>
          <w:tcPr>
            <w:tcW w:type="dxa" w:w="108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0.105</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Calibri" w:cs="Calibri" w:eastAsia="Calibri" w:hAnsi="Calibri"/>
                <w:b w:val="false"/>
                <w:bCs w:val="false"/>
                <w:sz w:val="16"/>
                <w:szCs w:val="16"/>
              </w:rPr>
              <w:t xml:space="preserve">Fine-tuned transformer (text + rule hint)</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0.733 [0.679, 0.783]</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0.88</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0.66</w:t>
            </w:r>
          </w:p>
        </w:tc>
        <w:tc>
          <w:tcPr>
            <w:tcW w:type="dxa" w:w="21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14 / 12</w:t>
            </w:r>
          </w:p>
        </w:tc>
        <w:tc>
          <w:tcPr>
            <w:tcW w:type="dxa" w:w="108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0.845</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Calibri" w:cs="Calibri" w:eastAsia="Calibri" w:hAnsi="Calibri"/>
                <w:b w:val="false"/>
                <w:bCs w:val="false"/>
                <w:sz w:val="16"/>
                <w:szCs w:val="16"/>
              </w:rPr>
              <w:t xml:space="preserve">Phi-3 zero-shot</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0.718 [0.667, 0.769]</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0.88</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0.62</w:t>
            </w:r>
          </w:p>
        </w:tc>
        <w:tc>
          <w:tcPr>
            <w:tcW w:type="dxa" w:w="21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20 / 23</w:t>
            </w:r>
          </w:p>
        </w:tc>
        <w:tc>
          <w:tcPr>
            <w:tcW w:type="dxa" w:w="108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0.761</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Phi-3 few-shot (12 examples)</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0.607 [0.547, 0.666]</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0.82</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0.55</w:t>
            </w:r>
          </w:p>
        </w:tc>
        <w:tc>
          <w:tcPr>
            <w:tcW w:type="dxa" w:w="21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18 / 57</w:t>
            </w:r>
          </w:p>
        </w:tc>
        <w:tc>
          <w:tcPr>
            <w:tcW w:type="dxa" w:w="108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&lt;0.001</w:t>
            </w:r>
          </w:p>
        </w:tc>
      </w:tr>
    </w:tbl>
    <w:p>
      <w:pPr>
        <w:keepNext/>
        <w:pBdr>
          <w:bottom w:val="single" w:color="BFBFBF" w:sz="4" w:space="2"/>
        </w:pBdr>
        <w:spacing w:after="80" w:before="220"/>
      </w:pPr>
      <w:r>
        <w:rPr>
          <w:rFonts w:ascii="Calibri" w:cs="Calibri" w:eastAsia="Calibri" w:hAnsi="Calibri"/>
          <w:b/>
          <w:bCs/>
          <w:color w:val="1F3864"/>
          <w:sz w:val="24"/>
          <w:szCs w:val="24"/>
        </w:rPr>
        <w:t xml:space="preserve">3. Prerequisite extraction: rule-based → NER-style model → LLM</w:t>
      </w:r>
    </w:p>
    <w:p>
      <w:pPr>
        <w:spacing w:after="60" w:line="264"/>
      </w:pPr>
      <w:r>
        <w:rPr>
          <w:rFonts w:ascii="Calibri" w:cs="Calibri" w:eastAsia="Calibri" w:hAnsi="Calibri"/>
          <w:sz w:val="19"/>
          <w:szCs w:val="19"/>
        </w:rPr>
        <w:t xml:space="preserve">The input is the free-text “Pre-requisite” field; the output is the list of prerequisite subjects. 60 strings were sampled across structures and labelled with the subjects a reviewer would list (single LLM annotator; 14 have an empty answer: “Nil”, or objectives text that the parser captured by mistake). A predicted phrase matches when its content words overlap a gold phrase (Jaccard ≥ 0.5). Systems: the Week 3 regex splitter, spaCy noun chunks (a classic NER-style span model), and few-shot Phi-3 returning JSON.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850"/>
        <w:gridCol w:w="800"/>
        <w:gridCol w:w="2500"/>
        <w:gridCol w:w="1500"/>
        <w:gridCol w:w="900"/>
        <w:gridCol w:w="730"/>
      </w:tblGrid>
      <w:tr>
        <w:trPr>
          <w:cantSplit/>
          <w:tblHeader/>
        </w:trPr>
        <w:tc>
          <w:tcPr>
            <w:tcW w:type="dxa" w:w="2800"/>
            <w:tcBorders>
              <w:top w:val="single" w:color="BFBFBF" w:sz="4"/>
              <w:left w:val="single" w:color="BFBFBF" w:sz="4"/>
              <w:bottom w:val="single" w:color="BFBFBF" w:sz="4"/>
              <w:right w:val="single" w:color="BFBFBF" w:sz="4"/>
            </w:tcBorders>
            <w:shd w:fill="EEF2F7" w:color="auto" w:val="clear"/>
            <w:tcMar>
              <w:top w:type="dxa" w:w="45"/>
              <w:left w:type="dxa" w:w="80"/>
              <w:bottom w:type="dxa" w:w="45"/>
              <w:right w:type="dxa" w:w="80"/>
            </w:tcMar>
          </w:tcPr>
          <w:p>
            <w:pPr>
              <w:keepNext/>
              <w:jc w:val="left"/>
            </w:pPr>
            <w:r>
              <w:rPr>
                <w:rFonts w:ascii="Calibri" w:cs="Calibri" w:eastAsia="Calibri" w:hAnsi="Calibri"/>
                <w:b/>
                <w:bCs/>
                <w:color w:val="1F3864"/>
                <w:sz w:val="16"/>
                <w:szCs w:val="16"/>
              </w:rPr>
              <w:t xml:space="preserve">System</w:t>
            </w:r>
          </w:p>
        </w:tc>
        <w:tc>
          <w:tcPr>
            <w:tcW w:type="dxa" w:w="850"/>
            <w:tcBorders>
              <w:top w:val="single" w:color="BFBFBF" w:sz="4"/>
              <w:left w:val="single" w:color="BFBFBF" w:sz="4"/>
              <w:bottom w:val="single" w:color="BFBFBF" w:sz="4"/>
              <w:right w:val="single" w:color="BFBFBF" w:sz="4"/>
            </w:tcBorders>
            <w:shd w:fill="EEF2F7" w:color="auto" w:val="clear"/>
            <w:tcMar>
              <w:top w:type="dxa" w:w="45"/>
              <w:left w:type="dxa" w:w="80"/>
              <w:bottom w:type="dxa" w:w="45"/>
              <w:right w:type="dxa" w:w="80"/>
            </w:tcMar>
          </w:tcPr>
          <w:p>
            <w:pPr>
              <w:keepNext/>
              <w:jc w:val="center"/>
            </w:pPr>
            <w:r>
              <w:rPr>
                <w:rFonts w:ascii="Calibri" w:cs="Calibri" w:eastAsia="Calibri" w:hAnsi="Calibri"/>
                <w:b/>
                <w:bCs/>
                <w:color w:val="1F3864"/>
                <w:sz w:val="16"/>
                <w:szCs w:val="16"/>
              </w:rPr>
              <w:t xml:space="preserve">Precision</w:t>
            </w:r>
          </w:p>
        </w:tc>
        <w:tc>
          <w:tcPr>
            <w:tcW w:type="dxa" w:w="800"/>
            <w:tcBorders>
              <w:top w:val="single" w:color="BFBFBF" w:sz="4"/>
              <w:left w:val="single" w:color="BFBFBF" w:sz="4"/>
              <w:bottom w:val="single" w:color="BFBFBF" w:sz="4"/>
              <w:right w:val="single" w:color="BFBFBF" w:sz="4"/>
            </w:tcBorders>
            <w:shd w:fill="EEF2F7" w:color="auto" w:val="clear"/>
            <w:tcMar>
              <w:top w:type="dxa" w:w="45"/>
              <w:left w:type="dxa" w:w="80"/>
              <w:bottom w:type="dxa" w:w="45"/>
              <w:right w:type="dxa" w:w="80"/>
            </w:tcMar>
          </w:tcPr>
          <w:p>
            <w:pPr>
              <w:keepNext/>
              <w:jc w:val="center"/>
            </w:pPr>
            <w:r>
              <w:rPr>
                <w:rFonts w:ascii="Calibri" w:cs="Calibri" w:eastAsia="Calibri" w:hAnsi="Calibri"/>
                <w:b/>
                <w:bCs/>
                <w:color w:val="1F3864"/>
                <w:sz w:val="16"/>
                <w:szCs w:val="16"/>
              </w:rPr>
              <w:t xml:space="preserve">Recall</w:t>
            </w:r>
          </w:p>
        </w:tc>
        <w:tc>
          <w:tcPr>
            <w:tcW w:type="dxa" w:w="2500"/>
            <w:tcBorders>
              <w:top w:val="single" w:color="BFBFBF" w:sz="4"/>
              <w:left w:val="single" w:color="BFBFBF" w:sz="4"/>
              <w:bottom w:val="single" w:color="BFBFBF" w:sz="4"/>
              <w:right w:val="single" w:color="BFBFBF" w:sz="4"/>
            </w:tcBorders>
            <w:shd w:fill="EEF2F7" w:color="auto" w:val="clear"/>
            <w:tcMar>
              <w:top w:type="dxa" w:w="45"/>
              <w:left w:type="dxa" w:w="80"/>
              <w:bottom w:type="dxa" w:w="45"/>
              <w:right w:type="dxa" w:w="80"/>
            </w:tcMar>
          </w:tcPr>
          <w:p>
            <w:pPr>
              <w:keepNext/>
              <w:jc w:val="center"/>
            </w:pPr>
            <w:r>
              <w:rPr>
                <w:rFonts w:ascii="Calibri" w:cs="Calibri" w:eastAsia="Calibri" w:hAnsi="Calibri"/>
                <w:b/>
                <w:bCs/>
                <w:color w:val="1F3864"/>
                <w:sz w:val="16"/>
                <w:szCs w:val="16"/>
              </w:rPr>
              <w:t xml:space="preserve">F1 [gain over rules, 95% CI]</w:t>
            </w:r>
          </w:p>
        </w:tc>
        <w:tc>
          <w:tcPr>
            <w:tcW w:type="dxa" w:w="1500"/>
            <w:tcBorders>
              <w:top w:val="single" w:color="BFBFBF" w:sz="4"/>
              <w:left w:val="single" w:color="BFBFBF" w:sz="4"/>
              <w:bottom w:val="single" w:color="BFBFBF" w:sz="4"/>
              <w:right w:val="single" w:color="BFBFBF" w:sz="4"/>
            </w:tcBorders>
            <w:shd w:fill="EEF2F7" w:color="auto" w:val="clear"/>
            <w:tcMar>
              <w:top w:type="dxa" w:w="45"/>
              <w:left w:type="dxa" w:w="80"/>
              <w:bottom w:type="dxa" w:w="45"/>
              <w:right w:type="dxa" w:w="80"/>
            </w:tcMar>
          </w:tcPr>
          <w:p>
            <w:pPr>
              <w:keepNext/>
              <w:jc w:val="center"/>
            </w:pPr>
            <w:r>
              <w:rPr>
                <w:rFonts w:ascii="Calibri" w:cs="Calibri" w:eastAsia="Calibri" w:hAnsi="Calibri"/>
                <w:b/>
                <w:bCs/>
                <w:color w:val="1F3864"/>
                <w:sz w:val="16"/>
                <w:szCs w:val="16"/>
              </w:rPr>
              <w:t xml:space="preserve">False alarms on empty-answer strings</w:t>
            </w:r>
          </w:p>
        </w:tc>
        <w:tc>
          <w:tcPr>
            <w:tcW w:type="dxa" w:w="900"/>
            <w:tcBorders>
              <w:top w:val="single" w:color="BFBFBF" w:sz="4"/>
              <w:left w:val="single" w:color="BFBFBF" w:sz="4"/>
              <w:bottom w:val="single" w:color="BFBFBF" w:sz="4"/>
              <w:right w:val="single" w:color="BFBFBF" w:sz="4"/>
            </w:tcBorders>
            <w:shd w:fill="EEF2F7" w:color="auto" w:val="clear"/>
            <w:tcMar>
              <w:top w:type="dxa" w:w="45"/>
              <w:left w:type="dxa" w:w="80"/>
              <w:bottom w:type="dxa" w:w="45"/>
              <w:right w:type="dxa" w:w="80"/>
            </w:tcMar>
          </w:tcPr>
          <w:p>
            <w:pPr>
              <w:keepNext/>
              <w:jc w:val="center"/>
            </w:pPr>
            <w:r>
              <w:rPr>
                <w:rFonts w:ascii="Calibri" w:cs="Calibri" w:eastAsia="Calibri" w:hAnsi="Calibri"/>
                <w:b/>
                <w:bCs/>
                <w:color w:val="1F3864"/>
                <w:sz w:val="16"/>
                <w:szCs w:val="16"/>
              </w:rPr>
              <w:t xml:space="preserve">Unparseable outputs</w:t>
            </w:r>
          </w:p>
        </w:tc>
        <w:tc>
          <w:tcPr>
            <w:tcW w:type="dxa" w:w="730"/>
            <w:tcBorders>
              <w:top w:val="single" w:color="BFBFBF" w:sz="4"/>
              <w:left w:val="single" w:color="BFBFBF" w:sz="4"/>
              <w:bottom w:val="single" w:color="BFBFBF" w:sz="4"/>
              <w:right w:val="single" w:color="BFBFBF" w:sz="4"/>
            </w:tcBorders>
            <w:shd w:fill="EEF2F7" w:color="auto" w:val="clear"/>
            <w:tcMar>
              <w:top w:type="dxa" w:w="45"/>
              <w:left w:type="dxa" w:w="80"/>
              <w:bottom w:type="dxa" w:w="45"/>
              <w:right w:type="dxa" w:w="80"/>
            </w:tcMar>
          </w:tcPr>
          <w:p>
            <w:pPr>
              <w:keepNext/>
              <w:jc w:val="center"/>
            </w:pPr>
            <w:r>
              <w:rPr>
                <w:rFonts w:ascii="Calibri" w:cs="Calibri" w:eastAsia="Calibri" w:hAnsi="Calibri"/>
                <w:b/>
                <w:bCs/>
                <w:color w:val="1F3864"/>
                <w:sz w:val="16"/>
                <w:szCs w:val="16"/>
              </w:rPr>
              <w:t xml:space="preserve">s / string</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Calibri" w:cs="Calibri" w:eastAsia="Calibri" w:hAnsi="Calibri"/>
                <w:b w:val="false"/>
                <w:bCs w:val="false"/>
                <w:sz w:val="16"/>
                <w:szCs w:val="16"/>
              </w:rPr>
              <w:t xml:space="preserve">Rule-based splitter (Week 3)</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0.68</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0.93</w:t>
            </w:r>
          </w:p>
        </w:tc>
        <w:tc>
          <w:tcPr>
            <w:tcW w:type="dxa" w:w="2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0.78</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64%</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0</w:t>
            </w:r>
          </w:p>
        </w:tc>
        <w:tc>
          <w:tcPr>
            <w:tcW w:type="dxa" w:w="73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&lt;0.05</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Calibri" w:cs="Calibri" w:eastAsia="Calibri" w:hAnsi="Calibri"/>
                <w:b w:val="false"/>
                <w:bCs w:val="false"/>
                <w:sz w:val="16"/>
                <w:szCs w:val="16"/>
              </w:rPr>
              <w:t xml:space="preserve">spaCy noun chunks (NER-style)</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0.46</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0.90</w:t>
            </w:r>
          </w:p>
        </w:tc>
        <w:tc>
          <w:tcPr>
            <w:tcW w:type="dxa" w:w="2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0.61 [−0.178, [-0.237, -0.113]]</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79%</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0</w:t>
            </w:r>
          </w:p>
        </w:tc>
        <w:tc>
          <w:tcPr>
            <w:tcW w:type="dxa" w:w="73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0.139</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Phi-3 few-shot (LLM-assisted)</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0.77</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0.96</w:t>
            </w:r>
          </w:p>
        </w:tc>
        <w:tc>
          <w:tcPr>
            <w:tcW w:type="dxa" w:w="2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0.85 [+0.068, [0.007, 0.130]]</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64%</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w:t>
            </w:r>
          </w:p>
        </w:tc>
        <w:tc>
          <w:tcPr>
            <w:tcW w:type="dxa" w:w="73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4.137</w:t>
            </w:r>
          </w:p>
        </w:tc>
      </w:tr>
    </w:tbl>
    <w:p>
      <w:pPr>
        <w:spacing w:after="120" w:before="40"/>
      </w:pPr>
      <w:r>
        <w:rPr>
          <w:rFonts w:ascii="Calibri" w:cs="Calibri" w:eastAsia="Calibri" w:hAnsi="Calibri"/>
          <w:i/>
          <w:iCs/>
          <w:color w:val="595959"/>
          <w:sz w:val="17"/>
          <w:szCs w:val="17"/>
        </w:rPr>
        <w:t xml:space="preserve">F1 by string type: Rule-based splitter: single 1.00, comma 0.90, and/or 0.76, code 0.83, sentence 0.63, nil 0.00 | spaCy noun chunks: single 0.94, comma 0.82, and/or 0.68, code 0.74, sentence 0.37, nil 0.00 | Phi-3 few-shot: single 1.00, comma 0.91, and/or 0.83, code 1.00, sentence 0.69, nil 0.00</w:t>
      </w:r>
    </w:p>
    <w:p>
      <w:pPr>
        <w:keepNext/>
        <w:pBdr>
          <w:bottom w:val="single" w:color="BFBFBF" w:sz="4" w:space="2"/>
        </w:pBdr>
        <w:spacing w:after="80" w:before="220"/>
      </w:pPr>
      <w:r>
        <w:rPr>
          <w:rFonts w:ascii="Calibri" w:cs="Calibri" w:eastAsia="Calibri" w:hAnsi="Calibri"/>
          <w:b/>
          <w:bCs/>
          <w:color w:val="1F3864"/>
          <w:sz w:val="24"/>
          <w:szCs w:val="24"/>
        </w:rPr>
        <w:t xml:space="preserve">4. Summarisation: basic → LLM-assisted</w:t>
      </w:r>
    </w:p>
    <w:p>
      <w:pPr>
        <w:spacing w:after="60" w:line="264"/>
      </w:pPr>
      <w:r>
        <w:rPr>
          <w:rFonts w:ascii="Calibri" w:cs="Calibri" w:eastAsia="Calibri" w:hAnsi="Calibri"/>
          <w:sz w:val="19"/>
          <w:szCs w:val="19"/>
        </w:rPr>
        <w:t xml:space="preserve">Task: write the course-objective paragraph of a course from its name, unit topics and learning outcomes. The reference is the faculty-written “Course Objective” of 40 unseen courses; it is never shown to any system. Baselines are extractive (a template over the first unit titles, the first two outcomes, and the sentences closest to the course centroid embedding). The improved systems are Phi-3 (3.8B, local, Ollama), given either the unit titles or the full unit text. “Unsupported terms” is the share of a summary’s content words that appear nowhere in the input (a hallucination proxy).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800"/>
        <w:gridCol w:w="1700"/>
        <w:gridCol w:w="1350"/>
        <w:gridCol w:w="620"/>
        <w:gridCol w:w="1000"/>
        <w:gridCol w:w="810"/>
      </w:tblGrid>
      <w:tr>
        <w:trPr>
          <w:cantSplit/>
          <w:tblHeader/>
        </w:trPr>
        <w:tc>
          <w:tcPr>
            <w:tcW w:type="dxa" w:w="3000"/>
            <w:tcBorders>
              <w:top w:val="single" w:color="BFBFBF" w:sz="4"/>
              <w:left w:val="single" w:color="BFBFBF" w:sz="4"/>
              <w:bottom w:val="single" w:color="BFBFBF" w:sz="4"/>
              <w:right w:val="single" w:color="BFBFBF" w:sz="4"/>
            </w:tcBorders>
            <w:shd w:fill="EEF2F7" w:color="auto" w:val="clear"/>
            <w:tcMar>
              <w:top w:type="dxa" w:w="45"/>
              <w:left w:type="dxa" w:w="80"/>
              <w:bottom w:type="dxa" w:w="45"/>
              <w:right w:type="dxa" w:w="80"/>
            </w:tcMar>
          </w:tcPr>
          <w:p>
            <w:pPr>
              <w:keepNext/>
              <w:jc w:val="left"/>
            </w:pPr>
            <w:r>
              <w:rPr>
                <w:rFonts w:ascii="Calibri" w:cs="Calibri" w:eastAsia="Calibri" w:hAnsi="Calibri"/>
                <w:b/>
                <w:bCs/>
                <w:color w:val="1F3864"/>
                <w:sz w:val="16"/>
                <w:szCs w:val="16"/>
              </w:rPr>
              <w:t xml:space="preserve">System</w:t>
            </w:r>
          </w:p>
        </w:tc>
        <w:tc>
          <w:tcPr>
            <w:tcW w:type="dxa" w:w="800"/>
            <w:tcBorders>
              <w:top w:val="single" w:color="BFBFBF" w:sz="4"/>
              <w:left w:val="single" w:color="BFBFBF" w:sz="4"/>
              <w:bottom w:val="single" w:color="BFBFBF" w:sz="4"/>
              <w:right w:val="single" w:color="BFBFBF" w:sz="4"/>
            </w:tcBorders>
            <w:shd w:fill="EEF2F7" w:color="auto" w:val="clear"/>
            <w:tcMar>
              <w:top w:type="dxa" w:w="45"/>
              <w:left w:type="dxa" w:w="80"/>
              <w:bottom w:type="dxa" w:w="45"/>
              <w:right w:type="dxa" w:w="80"/>
            </w:tcMar>
          </w:tcPr>
          <w:p>
            <w:pPr>
              <w:keepNext/>
              <w:jc w:val="center"/>
            </w:pPr>
            <w:r>
              <w:rPr>
                <w:rFonts w:ascii="Calibri" w:cs="Calibri" w:eastAsia="Calibri" w:hAnsi="Calibri"/>
                <w:b/>
                <w:bCs/>
                <w:color w:val="1F3864"/>
                <w:sz w:val="16"/>
                <w:szCs w:val="16"/>
              </w:rPr>
              <w:t xml:space="preserve">ROUGE-1</w:t>
            </w:r>
          </w:p>
        </w:tc>
        <w:tc>
          <w:tcPr>
            <w:tcW w:type="dxa" w:w="800"/>
            <w:tcBorders>
              <w:top w:val="single" w:color="BFBFBF" w:sz="4"/>
              <w:left w:val="single" w:color="BFBFBF" w:sz="4"/>
              <w:bottom w:val="single" w:color="BFBFBF" w:sz="4"/>
              <w:right w:val="single" w:color="BFBFBF" w:sz="4"/>
            </w:tcBorders>
            <w:shd w:fill="EEF2F7" w:color="auto" w:val="clear"/>
            <w:tcMar>
              <w:top w:type="dxa" w:w="45"/>
              <w:left w:type="dxa" w:w="80"/>
              <w:bottom w:type="dxa" w:w="45"/>
              <w:right w:type="dxa" w:w="80"/>
            </w:tcMar>
          </w:tcPr>
          <w:p>
            <w:pPr>
              <w:keepNext/>
              <w:jc w:val="center"/>
            </w:pPr>
            <w:r>
              <w:rPr>
                <w:rFonts w:ascii="Calibri" w:cs="Calibri" w:eastAsia="Calibri" w:hAnsi="Calibri"/>
                <w:b/>
                <w:bCs/>
                <w:color w:val="1F3864"/>
                <w:sz w:val="16"/>
                <w:szCs w:val="16"/>
              </w:rPr>
              <w:t xml:space="preserve">ROUGE-2</w:t>
            </w:r>
          </w:p>
        </w:tc>
        <w:tc>
          <w:tcPr>
            <w:tcW w:type="dxa" w:w="1700"/>
            <w:tcBorders>
              <w:top w:val="single" w:color="BFBFBF" w:sz="4"/>
              <w:left w:val="single" w:color="BFBFBF" w:sz="4"/>
              <w:bottom w:val="single" w:color="BFBFBF" w:sz="4"/>
              <w:right w:val="single" w:color="BFBFBF" w:sz="4"/>
            </w:tcBorders>
            <w:shd w:fill="EEF2F7" w:color="auto" w:val="clear"/>
            <w:tcMar>
              <w:top w:type="dxa" w:w="45"/>
              <w:left w:type="dxa" w:w="80"/>
              <w:bottom w:type="dxa" w:w="45"/>
              <w:right w:type="dxa" w:w="80"/>
            </w:tcMar>
          </w:tcPr>
          <w:p>
            <w:pPr>
              <w:keepNext/>
              <w:jc w:val="center"/>
            </w:pPr>
            <w:r>
              <w:rPr>
                <w:rFonts w:ascii="Calibri" w:cs="Calibri" w:eastAsia="Calibri" w:hAnsi="Calibri"/>
                <w:b/>
                <w:bCs/>
                <w:color w:val="1F3864"/>
                <w:sz w:val="16"/>
                <w:szCs w:val="16"/>
              </w:rPr>
              <w:t xml:space="preserve">ROUGE-L [95% CI]</w:t>
            </w:r>
          </w:p>
        </w:tc>
        <w:tc>
          <w:tcPr>
            <w:tcW w:type="dxa" w:w="1350"/>
            <w:tcBorders>
              <w:top w:val="single" w:color="BFBFBF" w:sz="4"/>
              <w:left w:val="single" w:color="BFBFBF" w:sz="4"/>
              <w:bottom w:val="single" w:color="BFBFBF" w:sz="4"/>
              <w:right w:val="single" w:color="BFBFBF" w:sz="4"/>
            </w:tcBorders>
            <w:shd w:fill="EEF2F7" w:color="auto" w:val="clear"/>
            <w:tcMar>
              <w:top w:type="dxa" w:w="45"/>
              <w:left w:type="dxa" w:w="80"/>
              <w:bottom w:type="dxa" w:w="45"/>
              <w:right w:type="dxa" w:w="80"/>
            </w:tcMar>
          </w:tcPr>
          <w:p>
            <w:pPr>
              <w:keepNext/>
              <w:jc w:val="center"/>
            </w:pPr>
            <w:r>
              <w:rPr>
                <w:rFonts w:ascii="Calibri" w:cs="Calibri" w:eastAsia="Calibri" w:hAnsi="Calibri"/>
                <w:b/>
                <w:bCs/>
                <w:color w:val="1F3864"/>
                <w:sz w:val="16"/>
                <w:szCs w:val="16"/>
              </w:rPr>
              <w:t xml:space="preserve">Embedding cosine to reference</w:t>
            </w:r>
          </w:p>
        </w:tc>
        <w:tc>
          <w:tcPr>
            <w:tcW w:type="dxa" w:w="620"/>
            <w:tcBorders>
              <w:top w:val="single" w:color="BFBFBF" w:sz="4"/>
              <w:left w:val="single" w:color="BFBFBF" w:sz="4"/>
              <w:bottom w:val="single" w:color="BFBFBF" w:sz="4"/>
              <w:right w:val="single" w:color="BFBFBF" w:sz="4"/>
            </w:tcBorders>
            <w:shd w:fill="EEF2F7" w:color="auto" w:val="clear"/>
            <w:tcMar>
              <w:top w:type="dxa" w:w="45"/>
              <w:left w:type="dxa" w:w="80"/>
              <w:bottom w:type="dxa" w:w="45"/>
              <w:right w:type="dxa" w:w="80"/>
            </w:tcMar>
          </w:tcPr>
          <w:p>
            <w:pPr>
              <w:keepNext/>
              <w:jc w:val="center"/>
            </w:pPr>
            <w:r>
              <w:rPr>
                <w:rFonts w:ascii="Calibri" w:cs="Calibri" w:eastAsia="Calibri" w:hAnsi="Calibri"/>
                <w:b/>
                <w:bCs/>
                <w:color w:val="1F3864"/>
                <w:sz w:val="16"/>
                <w:szCs w:val="16"/>
              </w:rPr>
              <w:t xml:space="preserve">Words</w:t>
            </w:r>
          </w:p>
        </w:tc>
        <w:tc>
          <w:tcPr>
            <w:tcW w:type="dxa" w:w="1000"/>
            <w:tcBorders>
              <w:top w:val="single" w:color="BFBFBF" w:sz="4"/>
              <w:left w:val="single" w:color="BFBFBF" w:sz="4"/>
              <w:bottom w:val="single" w:color="BFBFBF" w:sz="4"/>
              <w:right w:val="single" w:color="BFBFBF" w:sz="4"/>
            </w:tcBorders>
            <w:shd w:fill="EEF2F7" w:color="auto" w:val="clear"/>
            <w:tcMar>
              <w:top w:type="dxa" w:w="45"/>
              <w:left w:type="dxa" w:w="80"/>
              <w:bottom w:type="dxa" w:w="45"/>
              <w:right w:type="dxa" w:w="80"/>
            </w:tcMar>
          </w:tcPr>
          <w:p>
            <w:pPr>
              <w:keepNext/>
              <w:jc w:val="center"/>
            </w:pPr>
            <w:r>
              <w:rPr>
                <w:rFonts w:ascii="Calibri" w:cs="Calibri" w:eastAsia="Calibri" w:hAnsi="Calibri"/>
                <w:b/>
                <w:bCs/>
                <w:color w:val="1F3864"/>
                <w:sz w:val="16"/>
                <w:szCs w:val="16"/>
              </w:rPr>
              <w:t xml:space="preserve">Unsupported terms</w:t>
            </w:r>
          </w:p>
        </w:tc>
        <w:tc>
          <w:tcPr>
            <w:tcW w:type="dxa" w:w="810"/>
            <w:tcBorders>
              <w:top w:val="single" w:color="BFBFBF" w:sz="4"/>
              <w:left w:val="single" w:color="BFBFBF" w:sz="4"/>
              <w:bottom w:val="single" w:color="BFBFBF" w:sz="4"/>
              <w:right w:val="single" w:color="BFBFBF" w:sz="4"/>
            </w:tcBorders>
            <w:shd w:fill="EEF2F7" w:color="auto" w:val="clear"/>
            <w:tcMar>
              <w:top w:type="dxa" w:w="45"/>
              <w:left w:type="dxa" w:w="80"/>
              <w:bottom w:type="dxa" w:w="45"/>
              <w:right w:type="dxa" w:w="80"/>
            </w:tcMar>
          </w:tcPr>
          <w:p>
            <w:pPr>
              <w:keepNext/>
              <w:jc w:val="center"/>
            </w:pPr>
            <w:r>
              <w:rPr>
                <w:rFonts w:ascii="Calibri" w:cs="Calibri" w:eastAsia="Calibri" w:hAnsi="Calibri"/>
                <w:b/>
                <w:bCs/>
                <w:color w:val="1F3864"/>
                <w:sz w:val="16"/>
                <w:szCs w:val="16"/>
              </w:rPr>
              <w:t xml:space="preserve">s / course</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Calibri" w:cs="Calibri" w:eastAsia="Calibri" w:hAnsi="Calibri"/>
                <w:b w:val="false"/>
                <w:bCs w:val="false"/>
                <w:sz w:val="16"/>
                <w:szCs w:val="16"/>
              </w:rPr>
              <w:t xml:space="preserve">Template: first unit titles</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0.251</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0.064</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0.196 [0.171, 0.222]</w:t>
            </w:r>
          </w:p>
        </w:tc>
        <w:tc>
          <w:tcPr>
            <w:tcW w:type="dxa" w:w="13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0.599</w:t>
            </w:r>
          </w:p>
        </w:tc>
        <w:tc>
          <w:tcPr>
            <w:tcW w:type="dxa" w:w="62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24</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14%</w:t>
            </w:r>
          </w:p>
        </w:tc>
        <w:tc>
          <w:tcPr>
            <w:tcW w:type="dxa" w:w="81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&lt;0.05</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Calibri" w:cs="Calibri" w:eastAsia="Calibri" w:hAnsi="Calibri"/>
                <w:b w:val="false"/>
                <w:bCs w:val="false"/>
                <w:sz w:val="16"/>
                <w:szCs w:val="16"/>
              </w:rPr>
              <w:t xml:space="preserve">Extractive: first two outcomes</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0.307</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0.076</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0.217 [0.195, 0.239]</w:t>
            </w:r>
          </w:p>
        </w:tc>
        <w:tc>
          <w:tcPr>
            <w:tcW w:type="dxa" w:w="13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0.571</w:t>
            </w:r>
          </w:p>
        </w:tc>
        <w:tc>
          <w:tcPr>
            <w:tcW w:type="dxa" w:w="62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24</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0%</w:t>
            </w:r>
          </w:p>
        </w:tc>
        <w:tc>
          <w:tcPr>
            <w:tcW w:type="dxa" w:w="81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&lt;0.05</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Calibri" w:cs="Calibri" w:eastAsia="Calibri" w:hAnsi="Calibri"/>
                <w:b w:val="false"/>
                <w:bCs w:val="false"/>
                <w:sz w:val="16"/>
                <w:szCs w:val="16"/>
              </w:rPr>
              <w:t xml:space="preserve">Extractive: centroid sentences</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0.219</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0.036</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0.156 [0.137, 0.174]</w:t>
            </w:r>
          </w:p>
        </w:tc>
        <w:tc>
          <w:tcPr>
            <w:tcW w:type="dxa" w:w="13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0.501</w:t>
            </w:r>
          </w:p>
        </w:tc>
        <w:tc>
          <w:tcPr>
            <w:tcW w:type="dxa" w:w="62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48</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0%</w:t>
            </w:r>
          </w:p>
        </w:tc>
        <w:tc>
          <w:tcPr>
            <w:tcW w:type="dxa" w:w="81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0.56</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Calibri" w:cs="Calibri" w:eastAsia="Calibri" w:hAnsi="Calibri"/>
                <w:b w:val="false"/>
                <w:bCs w:val="false"/>
                <w:sz w:val="16"/>
                <w:szCs w:val="16"/>
              </w:rPr>
              <w:t xml:space="preserve">Phi-3 (unit titles + outcomes)</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0.372</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0.099</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0.257 [0.237, 0.276]</w:t>
            </w:r>
          </w:p>
        </w:tc>
        <w:tc>
          <w:tcPr>
            <w:tcW w:type="dxa" w:w="13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0.680</w:t>
            </w:r>
          </w:p>
        </w:tc>
        <w:tc>
          <w:tcPr>
            <w:tcW w:type="dxa" w:w="62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42</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33%</w:t>
            </w:r>
          </w:p>
        </w:tc>
        <w:tc>
          <w:tcPr>
            <w:tcW w:type="dxa" w:w="81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10.5</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Phi-3 (full unit text + outcomes)</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0.390</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0.106</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0.267 [0.246, 0.287]</w:t>
            </w:r>
          </w:p>
        </w:tc>
        <w:tc>
          <w:tcPr>
            <w:tcW w:type="dxa" w:w="13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0.696</w:t>
            </w:r>
          </w:p>
        </w:tc>
        <w:tc>
          <w:tcPr>
            <w:tcW w:type="dxa" w:w="62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44</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31%</w:t>
            </w:r>
          </w:p>
        </w:tc>
        <w:tc>
          <w:tcPr>
            <w:tcW w:type="dxa" w:w="81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22.39</w:t>
            </w:r>
          </w:p>
        </w:tc>
      </w:tr>
    </w:tbl>
    <w:p>
      <w:pPr>
        <w:spacing w:after="120" w:before="40"/>
      </w:pPr>
      <w:r>
        <w:rPr>
          <w:rFonts w:ascii="Calibri" w:cs="Calibri" w:eastAsia="Calibri" w:hAnsi="Calibri"/>
          <w:i/>
          <w:iCs/>
          <w:color w:val="595959"/>
          <w:sz w:val="17"/>
          <w:szCs w:val="17"/>
        </w:rPr>
        <w:t xml:space="preserve">Example (Earthquake Engineering). Reference: “This course focusses on the basics of structural dynamics. It also focusses on the evaluation of dynamic properties of structures and their response subjected to dynamic loads and earthquake loads as per the requirements of Indian standard codal provisions” LLM: “The course aims to equip students with the skills to analyze and design structures for seismic resistance, focusing on understanding SDOF and MDOF systems, characterizing ground motion, and applying IS code method for seismic analysis.”</w:t>
      </w:r>
    </w:p>
    <w:p>
      <w:pPr>
        <w:keepNext/>
        <w:pBdr>
          <w:bottom w:val="single" w:color="BFBFBF" w:sz="4" w:space="2"/>
        </w:pBdr>
        <w:spacing w:after="80" w:before="220"/>
      </w:pPr>
      <w:r>
        <w:rPr>
          <w:rFonts w:ascii="Calibri" w:cs="Calibri" w:eastAsia="Calibri" w:hAnsi="Calibri"/>
          <w:b/>
          <w:bCs/>
          <w:color w:val="1F3864"/>
          <w:sz w:val="24"/>
          <w:szCs w:val="24"/>
        </w:rPr>
        <w:t xml:space="preserve">Pipeline v2: what changed</w:t>
      </w:r>
    </w:p>
    <w:p>
      <w:pPr>
        <w:pStyle w:val="ListParagraph"/>
        <w:numPr>
          <w:ilvl w:val="0"/>
          <w:numId w:val="2"/>
        </w:numPr>
        <w:spacing w:after="30" w:line="256"/>
      </w:pPr>
      <w:r>
        <w:rPr>
          <w:rFonts w:ascii="Calibri" w:cs="Calibri" w:eastAsia="Calibri" w:hAnsi="Calibri"/>
          <w:b/>
          <w:bCs/>
          <w:sz w:val="19"/>
          <w:szCs w:val="19"/>
        </w:rPr>
        <w:t xml:space="preserve">Course search:</w:t>
      </w:r>
      <w:r>
        <w:rPr>
          <w:rFonts w:ascii="Calibri" w:cs="Calibri" w:eastAsia="Calibri" w:hAnsi="Calibri"/>
          <w:sz w:val="19"/>
          <w:szCs w:val="19"/>
        </w:rPr>
        <w:t xml:space="preserve"> Pipeline.search(query, mode) (hybrid, dense or keyword). The default is the system selected on validation: BM25 over whole courses fused with bge-base course vectors by reciprocal rank fusion. --mode course-vector keeps the Week 3 method for comparison.</w:t>
      </w:r>
    </w:p>
    <w:p>
      <w:pPr>
        <w:pStyle w:val="ListParagraph"/>
        <w:numPr>
          <w:ilvl w:val="0"/>
          <w:numId w:val="2"/>
        </w:numPr>
        <w:spacing w:after="30" w:line="256"/>
      </w:pPr>
      <w:r>
        <w:rPr>
          <w:rFonts w:ascii="Calibri" w:cs="Calibri" w:eastAsia="Calibri" w:hAnsi="Calibri"/>
          <w:b/>
          <w:bCs/>
          <w:sz w:val="19"/>
          <w:szCs w:val="19"/>
        </w:rPr>
        <w:t xml:space="preserve">Comparison summary (optional):</w:t>
      </w:r>
      <w:r>
        <w:rPr>
          <w:rFonts w:ascii="Calibri" w:cs="Calibri" w:eastAsia="Calibri" w:hAnsi="Calibri"/>
          <w:sz w:val="19"/>
          <w:szCs w:val="19"/>
        </w:rPr>
        <w:t xml:space="preserve"> compare --summary asks the local Phi-3 for a three-sentence committee summary and checks it against the report. If a percentage differs, or more than 20% of its content words are not in the report, the template summary is returned instead.</w:t>
      </w:r>
    </w:p>
    <w:p>
      <w:pPr>
        <w:pStyle w:val="ListParagraph"/>
        <w:numPr>
          <w:ilvl w:val="0"/>
          <w:numId w:val="2"/>
        </w:numPr>
        <w:spacing w:after="30" w:line="256"/>
      </w:pPr>
      <w:r>
        <w:rPr>
          <w:rFonts w:ascii="Calibri" w:cs="Calibri" w:eastAsia="Calibri" w:hAnsi="Calibri"/>
          <w:b/>
          <w:bCs/>
          <w:sz w:val="19"/>
          <w:szCs w:val="19"/>
        </w:rPr>
        <w:t xml:space="preserve">Not wired in:</w:t>
      </w:r>
      <w:r>
        <w:rPr>
          <w:rFonts w:ascii="Calibri" w:cs="Calibri" w:eastAsia="Calibri" w:hAnsi="Calibri"/>
          <w:sz w:val="19"/>
          <w:szCs w:val="19"/>
        </w:rPr>
        <w:t xml:space="preserve"> LLM prerequisite extraction (about 4 s per string and needs Ollama) and the fine-tuned Bloom models, which did not beat the verb lexicon. Experiments are in src/w4_*.py and shared code in src/improved.py.</w:t>
      </w:r>
    </w:p>
    <w:p>
      <w:pPr>
        <w:keepNext/>
        <w:spacing w:after="50" w:before="100"/>
      </w:pPr>
      <w:r>
        <w:rPr>
          <w:rFonts w:ascii="Calibri" w:cs="Calibri" w:eastAsia="Calibri" w:hAnsi="Calibri"/>
          <w:b/>
          <w:bCs/>
          <w:sz w:val="19"/>
          <w:szCs w:val="19"/>
        </w:rPr>
        <w:t xml:space="preserve">Course search, same queries, three methods</w:t>
      </w:r>
      <w:r>
        <w:rPr>
          <w:rFonts w:ascii="Calibri" w:cs="Calibri" w:eastAsia="Calibri" w:hAnsi="Calibri"/>
          <w:sz w:val="19"/>
          <w:szCs w:val="19"/>
        </w:rPr>
        <w:t xml:space="preserve"> (top 3 courses)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700"/>
        <w:gridCol w:w="2580"/>
      </w:tblGrid>
      <w:tr>
        <w:trPr>
          <w:cantSplit/>
          <w:tblHeader/>
        </w:trPr>
        <w:tc>
          <w:tcPr>
            <w:tcW w:type="dxa" w:w="2200"/>
            <w:tcBorders>
              <w:top w:val="single" w:color="BFBFBF" w:sz="4"/>
              <w:left w:val="single" w:color="BFBFBF" w:sz="4"/>
              <w:bottom w:val="single" w:color="BFBFBF" w:sz="4"/>
              <w:right w:val="single" w:color="BFBFBF" w:sz="4"/>
            </w:tcBorders>
            <w:shd w:fill="EEF2F7" w:color="auto" w:val="clear"/>
            <w:tcMar>
              <w:top w:type="dxa" w:w="45"/>
              <w:left w:type="dxa" w:w="80"/>
              <w:bottom w:type="dxa" w:w="45"/>
              <w:right w:type="dxa" w:w="80"/>
            </w:tcMar>
          </w:tcPr>
          <w:p>
            <w:pPr>
              <w:keepNext/>
              <w:jc w:val="left"/>
            </w:pPr>
            <w:r>
              <w:rPr>
                <w:rFonts w:ascii="Calibri" w:cs="Calibri" w:eastAsia="Calibri" w:hAnsi="Calibri"/>
                <w:b/>
                <w:bCs/>
                <w:color w:val="1F3864"/>
                <w:sz w:val="16"/>
                <w:szCs w:val="16"/>
              </w:rPr>
              <w:t xml:space="preserve">Query</w:t>
            </w:r>
          </w:p>
        </w:tc>
        <w:tc>
          <w:tcPr>
            <w:tcW w:type="dxa" w:w="2600"/>
            <w:tcBorders>
              <w:top w:val="single" w:color="BFBFBF" w:sz="4"/>
              <w:left w:val="single" w:color="BFBFBF" w:sz="4"/>
              <w:bottom w:val="single" w:color="BFBFBF" w:sz="4"/>
              <w:right w:val="single" w:color="BFBFBF" w:sz="4"/>
            </w:tcBorders>
            <w:shd w:fill="EEF2F7" w:color="auto" w:val="clear"/>
            <w:tcMar>
              <w:top w:type="dxa" w:w="45"/>
              <w:left w:type="dxa" w:w="80"/>
              <w:bottom w:type="dxa" w:w="45"/>
              <w:right w:type="dxa" w:w="80"/>
            </w:tcMar>
          </w:tcPr>
          <w:p>
            <w:pPr>
              <w:keepNext/>
              <w:jc w:val="center"/>
            </w:pPr>
            <w:r>
              <w:rPr>
                <w:rFonts w:ascii="Calibri" w:cs="Calibri" w:eastAsia="Calibri" w:hAnsi="Calibri"/>
                <w:b/>
                <w:bCs/>
                <w:color w:val="1F3864"/>
                <w:sz w:val="16"/>
                <w:szCs w:val="16"/>
              </w:rPr>
              <w:t xml:space="preserve">Keyword (BM25)</w:t>
            </w:r>
          </w:p>
        </w:tc>
        <w:tc>
          <w:tcPr>
            <w:tcW w:type="dxa" w:w="2700"/>
            <w:tcBorders>
              <w:top w:val="single" w:color="BFBFBF" w:sz="4"/>
              <w:left w:val="single" w:color="BFBFBF" w:sz="4"/>
              <w:bottom w:val="single" w:color="BFBFBF" w:sz="4"/>
              <w:right w:val="single" w:color="BFBFBF" w:sz="4"/>
            </w:tcBorders>
            <w:shd w:fill="EEF2F7" w:color="auto" w:val="clear"/>
            <w:tcMar>
              <w:top w:type="dxa" w:w="45"/>
              <w:left w:type="dxa" w:w="80"/>
              <w:bottom w:type="dxa" w:w="45"/>
              <w:right w:type="dxa" w:w="80"/>
            </w:tcMar>
          </w:tcPr>
          <w:p>
            <w:pPr>
              <w:keepNext/>
              <w:jc w:val="center"/>
            </w:pPr>
            <w:r>
              <w:rPr>
                <w:rFonts w:ascii="Calibri" w:cs="Calibri" w:eastAsia="Calibri" w:hAnsi="Calibri"/>
                <w:b/>
                <w:bCs/>
                <w:color w:val="1F3864"/>
                <w:sz w:val="16"/>
                <w:szCs w:val="16"/>
              </w:rPr>
              <w:t xml:space="preserve">Hybrid (v2 default)</w:t>
            </w:r>
          </w:p>
        </w:tc>
        <w:tc>
          <w:tcPr>
            <w:tcW w:type="dxa" w:w="2580"/>
            <w:tcBorders>
              <w:top w:val="single" w:color="BFBFBF" w:sz="4"/>
              <w:left w:val="single" w:color="BFBFBF" w:sz="4"/>
              <w:bottom w:val="single" w:color="BFBFBF" w:sz="4"/>
              <w:right w:val="single" w:color="BFBFBF" w:sz="4"/>
            </w:tcBorders>
            <w:shd w:fill="EEF2F7" w:color="auto" w:val="clear"/>
            <w:tcMar>
              <w:top w:type="dxa" w:w="45"/>
              <w:left w:type="dxa" w:w="80"/>
              <w:bottom w:type="dxa" w:w="45"/>
              <w:right w:type="dxa" w:w="80"/>
            </w:tcMar>
          </w:tcPr>
          <w:p>
            <w:pPr>
              <w:keepNext/>
              <w:jc w:val="center"/>
            </w:pPr>
            <w:r>
              <w:rPr>
                <w:rFonts w:ascii="Calibri" w:cs="Calibri" w:eastAsia="Calibri" w:hAnsi="Calibri"/>
                <w:b/>
                <w:bCs/>
                <w:color w:val="1F3864"/>
                <w:sz w:val="16"/>
                <w:szCs w:val="16"/>
              </w:rPr>
              <w:t xml:space="preserve">Week 3 course vector</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Calibri" w:cs="Calibri" w:eastAsia="Calibri" w:hAnsi="Calibri"/>
                <w:b w:val="false"/>
                <w:bCs w:val="false"/>
                <w:sz w:val="16"/>
                <w:szCs w:val="16"/>
              </w:rPr>
              <w:t xml:space="preserve">transformers and large language models</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Generative AI; Speech and Natural La...; Cognitive Science &amp; A...</w:t>
            </w:r>
          </w:p>
        </w:tc>
        <w:tc>
          <w:tcPr>
            <w:tcW w:type="dxa" w:w="2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Generative AI; Speech and Natural La...; Natural Language Proc...</w:t>
            </w:r>
          </w:p>
        </w:tc>
        <w:tc>
          <w:tcPr>
            <w:tcW w:type="dxa" w:w="258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Generative AI; Speech and Natural La...; Formal Language and A...</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Calibri" w:cs="Calibri" w:eastAsia="Calibri" w:hAnsi="Calibri"/>
                <w:b w:val="false"/>
                <w:bCs w:val="false"/>
                <w:sz w:val="16"/>
                <w:szCs w:val="16"/>
              </w:rPr>
              <w:t xml:space="preserve">blockchain and smart contracts</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Blockchain Technology; Introduction to Block...; Fundamentals of Block...</w:t>
            </w:r>
          </w:p>
        </w:tc>
        <w:tc>
          <w:tcPr>
            <w:tcW w:type="dxa" w:w="2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Blockchain Technology; Introduction to Block...; Fundamentals of Block...</w:t>
            </w:r>
          </w:p>
        </w:tc>
        <w:tc>
          <w:tcPr>
            <w:tcW w:type="dxa" w:w="258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Blockchain Technology; Introduction to Block...; Fundamentals of Block...</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Calibri" w:cs="Calibri" w:eastAsia="Calibri" w:hAnsi="Calibri"/>
                <w:b w:val="false"/>
                <w:bCs w:val="false"/>
                <w:sz w:val="16"/>
                <w:szCs w:val="16"/>
              </w:rPr>
              <w:t xml:space="preserve">cloud computing and DevOps</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DevOps; Cloud, Microservices ...; Cloud Computing and IoT</w:t>
            </w:r>
          </w:p>
        </w:tc>
        <w:tc>
          <w:tcPr>
            <w:tcW w:type="dxa" w:w="2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DevOps; Cloud, Microservices ...; Cloud Technology</w:t>
            </w:r>
          </w:p>
        </w:tc>
        <w:tc>
          <w:tcPr>
            <w:tcW w:type="dxa" w:w="258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Calibri" w:cs="Calibri" w:eastAsia="Calibri" w:hAnsi="Calibri"/>
                <w:b w:val="false"/>
                <w:bCs w:val="false"/>
                <w:sz w:val="16"/>
                <w:szCs w:val="16"/>
              </w:rPr>
              <w:t xml:space="preserve">Cloud, Microservices ...; DevOps; Cloud Technology</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Calibri" w:cs="Calibri" w:eastAsia="Calibri" w:hAnsi="Calibri"/>
                <w:b w:val="false"/>
                <w:bCs w:val="false"/>
                <w:sz w:val="16"/>
                <w:szCs w:val="16"/>
              </w:rPr>
              <w:t xml:space="preserve">protecting a network from attacks</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Network Security; Blockchain Technology; Information Systems S...</w:t>
            </w:r>
          </w:p>
        </w:tc>
        <w:tc>
          <w:tcPr>
            <w:tcW w:type="dxa" w:w="2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Network Security; Information Systems S...; Cybersecurity Fundame...</w:t>
            </w:r>
          </w:p>
        </w:tc>
        <w:tc>
          <w:tcPr>
            <w:tcW w:type="dxa" w:w="258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Calibri" w:cs="Calibri" w:eastAsia="Calibri" w:hAnsi="Calibri"/>
                <w:b w:val="false"/>
                <w:bCs w:val="false"/>
                <w:sz w:val="16"/>
                <w:szCs w:val="16"/>
              </w:rPr>
              <w:t xml:space="preserve">Network Security; Network design; Cyber Security</w:t>
            </w:r>
          </w:p>
        </w:tc>
      </w:tr>
    </w:tbl>
    <w:p>
      <w:pPr>
        <w:spacing w:after="120" w:before="40"/>
      </w:pPr>
      <w:r>
        <w:rPr>
          <w:rFonts w:ascii="Calibri" w:cs="Calibri" w:eastAsia="Calibri" w:hAnsi="Calibri"/>
          <w:i/>
          <w:iCs/>
          <w:color w:val="595959"/>
          <w:sz w:val="17"/>
          <w:szCs w:val="17"/>
        </w:rPr>
        <w:t xml:space="preserve">For “transformers and large language models” the Week 3 method returned Formal Language and Automata Theory; the hybrid returns NLP courses. LLM comparison summaries: 3 of 3 examples failed the faithfulness guard (unsupported-term rate 0.207, 0.31, 0.231) and fell back to the template. Example of a rejected text (Machine Learning 2026-27 vs Deep Learning 2026-27): “Courses A and B have no unit overlap, sharing only a 11% overlap probability based on reviewer comments. Course A includes unique topics such as Linear Model Selection and Regularization, while Course B offers specialized conte...”</w:t>
      </w:r>
    </w:p>
    <w:p>
      <w:pPr>
        <w:keepNext/>
        <w:pBdr>
          <w:bottom w:val="single" w:color="BFBFBF" w:sz="4" w:space="2"/>
        </w:pBdr>
        <w:spacing w:after="80" w:before="220"/>
      </w:pPr>
      <w:r>
        <w:rPr>
          <w:rFonts w:ascii="Calibri" w:cs="Calibri" w:eastAsia="Calibri" w:hAnsi="Calibri"/>
          <w:b/>
          <w:bCs/>
          <w:color w:val="1F3864"/>
          <w:sz w:val="24"/>
          <w:szCs w:val="24"/>
        </w:rPr>
        <w:t xml:space="preserve">Findings and Limitations</w:t>
      </w:r>
    </w:p>
    <w:p>
      <w:pPr>
        <w:pStyle w:val="ListParagraph"/>
        <w:numPr>
          <w:ilvl w:val="0"/>
          <w:numId w:val="2"/>
        </w:numPr>
        <w:spacing w:after="30" w:line="256"/>
      </w:pPr>
      <w:r>
        <w:rPr>
          <w:rFonts w:ascii="Calibri" w:cs="Calibri" w:eastAsia="Calibri" w:hAnsi="Calibri"/>
          <w:b/>
          <w:bCs/>
          <w:sz w:val="19"/>
          <w:szCs w:val="19"/>
        </w:rPr>
        <w:t xml:space="preserve">Search: hybrid retrieval is the clearest improvement.</w:t>
      </w:r>
      <w:r>
        <w:rPr>
          <w:rFonts w:ascii="Calibri" w:cs="Calibri" w:eastAsia="Calibri" w:hAnsi="Calibri"/>
          <w:sz w:val="19"/>
          <w:szCs w:val="19"/>
        </w:rPr>
        <w:t xml:space="preserve"> MRR@10 rises from 0.582 (TF-IDF) to 0.617 with the validation-selected BM25 + bge-base hybrid (+0.035 [0.011, 0.057]) and to 0.630 when the encoder is domain-adapted; Recall@10 rises from 0.82 to 0.88. Single encoders are not reliably better than TF-IDF at rank 1, BM25 alone is no better than TF-IDF, and the off-the-shelf cross-encoder reranker did not help (0.607 against 0.617).</w:t>
      </w:r>
    </w:p>
    <w:p>
      <w:pPr>
        <w:pStyle w:val="ListParagraph"/>
        <w:numPr>
          <w:ilvl w:val="0"/>
          <w:numId w:val="2"/>
        </w:numPr>
        <w:spacing w:after="30" w:line="256"/>
      </w:pPr>
      <w:r>
        <w:rPr>
          <w:rFonts w:ascii="Calibri" w:cs="Calibri" w:eastAsia="Calibri" w:hAnsi="Calibri"/>
          <w:b/>
          <w:bCs/>
          <w:sz w:val="19"/>
          <w:szCs w:val="19"/>
        </w:rPr>
        <w:t xml:space="preserve">Bloom’s taxonomy: no improved model clearly beats the verb lexicon</w:t>
      </w:r>
      <w:r>
        <w:rPr>
          <w:rFonts w:ascii="Calibri" w:cs="Calibri" w:eastAsia="Calibri" w:hAnsi="Calibri"/>
          <w:sz w:val="19"/>
          <w:szCs w:val="19"/>
        </w:rPr>
        <w:t xml:space="preserve"> (0.727). The transformer with the lexicon hint ties it (0.733), and Phi-3 zero-shot ties it (0.718) without any labelled data, which matters for institutions whose tags differ. Few-shot prompting made Phi-3 worse (0.607). A vote between the lexicon, the transformer and Phi-3 gained +0.015 [-0.006, 0.039] (exploratory, not significant); an oracle choosing the right model per outcome would reach 0.81, so the errors are only partly complementary.</w:t>
      </w:r>
    </w:p>
    <w:p>
      <w:pPr>
        <w:pStyle w:val="ListParagraph"/>
        <w:numPr>
          <w:ilvl w:val="0"/>
          <w:numId w:val="2"/>
        </w:numPr>
        <w:spacing w:after="30" w:line="256"/>
      </w:pPr>
      <w:r>
        <w:rPr>
          <w:rFonts w:ascii="Calibri" w:cs="Calibri" w:eastAsia="Calibri" w:hAnsi="Calibri"/>
          <w:b/>
          <w:bCs/>
          <w:sz w:val="19"/>
          <w:szCs w:val="19"/>
        </w:rPr>
        <w:t xml:space="preserve">Prerequisites: the LLM helps, the NER-style model does not.</w:t>
      </w:r>
      <w:r>
        <w:rPr>
          <w:rFonts w:ascii="Calibri" w:cs="Calibri" w:eastAsia="Calibri" w:hAnsi="Calibri"/>
          <w:sz w:val="19"/>
          <w:szCs w:val="19"/>
        </w:rPr>
        <w:t xml:space="preserve"> Phi-3 few-shot raises F1 from 0.78 to 0.85 (+0.068 [0.007, 0.130]), mostly on strings with course codes, names containing “and” or “&amp;”, and full sentences; spaCy noun chunks are worse (0.61). Both systems raise false alarms on 64% of the 14 strings that name no prerequisite, because the Week 3 parser captured objectives text in that field: a parser fix is needed, not a better extractor. The LLM costs 4.14 s per string.</w:t>
      </w:r>
    </w:p>
    <w:p>
      <w:pPr>
        <w:pStyle w:val="ListParagraph"/>
        <w:numPr>
          <w:ilvl w:val="0"/>
          <w:numId w:val="2"/>
        </w:numPr>
        <w:spacing w:after="30" w:line="256"/>
      </w:pPr>
      <w:r>
        <w:rPr>
          <w:rFonts w:ascii="Calibri" w:cs="Calibri" w:eastAsia="Calibri" w:hAnsi="Calibri"/>
          <w:b/>
          <w:bCs/>
          <w:sz w:val="19"/>
          <w:szCs w:val="19"/>
        </w:rPr>
        <w:t xml:space="preserve">Summaries: the LLM scores higher, but needs review.</w:t>
      </w:r>
      <w:r>
        <w:rPr>
          <w:rFonts w:ascii="Calibri" w:cs="Calibri" w:eastAsia="Calibri" w:hAnsi="Calibri"/>
          <w:sz w:val="19"/>
          <w:szCs w:val="19"/>
        </w:rPr>
        <w:t xml:space="preserve"> Against the faculty objective, Phi-3 beats the best extractive baseline on ROUGE-L (+0.040 [0.022, 0.057] with unit titles, +0.050 [0.035, 0.065] with full unit text) and on embedding similarity (0.57 to 0.70), at 11–22 s per course. But 31%–33% of its content words appear nowhere in the input (generic phrases such as “comprehensive understanding”, but also unseen topics), and faculty objectives themselves use such wording, which ROUGE rewards.</w:t>
      </w:r>
    </w:p>
    <w:p>
      <w:pPr>
        <w:pStyle w:val="ListParagraph"/>
        <w:numPr>
          <w:ilvl w:val="0"/>
          <w:numId w:val="2"/>
        </w:numPr>
        <w:spacing w:after="30" w:line="256"/>
      </w:pPr>
      <w:r>
        <w:rPr>
          <w:rFonts w:ascii="Calibri" w:cs="Calibri" w:eastAsia="Calibri" w:hAnsi="Calibri"/>
          <w:b/>
          <w:bCs/>
          <w:sz w:val="19"/>
          <w:szCs w:val="19"/>
        </w:rPr>
        <w:t xml:space="preserve">Limits:</w:t>
      </w:r>
      <w:r>
        <w:rPr>
          <w:rFonts w:ascii="Calibri" w:cs="Calibri" w:eastAsia="Calibri" w:hAnsi="Calibri"/>
          <w:sz w:val="19"/>
          <w:szCs w:val="19"/>
        </w:rPr>
        <w:t xml:space="preserve"> the retrieval ground truth counts only the source course, so true relevance is understated for every system; the prerequisite set (60 strings) is small and LLM-labelled; Bloom’s results come from 66 courses; one 3.8B model on CPU; everything is specific to the NMIMS template. Intervals that resample courses are wide for small course counts.</w:t>
      </w:r>
    </w:p>
    <w:p>
      <w:pPr>
        <w:keepNext/>
        <w:pBdr>
          <w:bottom w:val="single" w:color="BFBFBF" w:sz="4" w:space="2"/>
        </w:pBdr>
        <w:spacing w:after="80" w:before="220"/>
      </w:pPr>
      <w:r>
        <w:rPr>
          <w:rFonts w:ascii="Calibri" w:cs="Calibri" w:eastAsia="Calibri" w:hAnsi="Calibri"/>
          <w:b/>
          <w:bCs/>
          <w:color w:val="1F3864"/>
          <w:sz w:val="24"/>
          <w:szCs w:val="24"/>
        </w:rPr>
        <w:t xml:space="preserve">Next Steps (Week 5)</w:t>
      </w:r>
    </w:p>
    <w:p>
      <w:pPr>
        <w:pStyle w:val="ListParagraph"/>
        <w:numPr>
          <w:ilvl w:val="0"/>
          <w:numId w:val="2"/>
        </w:numPr>
        <w:spacing w:after="30" w:line="256"/>
      </w:pPr>
      <w:r>
        <w:rPr>
          <w:rFonts w:ascii="Calibri" w:cs="Calibri" w:eastAsia="Calibri" w:hAnsi="Calibri"/>
          <w:sz w:val="19"/>
          <w:szCs w:val="19"/>
        </w:rPr>
        <w:t xml:space="preserve">Expose POST /compare-curricula and POST /map-outcomes as an API with a small UI, using the hybrid search and the optional guarded summary.</w:t>
      </w:r>
    </w:p>
    <w:p>
      <w:pPr>
        <w:pStyle w:val="ListParagraph"/>
        <w:numPr>
          <w:ilvl w:val="0"/>
          <w:numId w:val="2"/>
        </w:numPr>
        <w:spacing w:after="30" w:line="256"/>
      </w:pPr>
      <w:r>
        <w:rPr>
          <w:rFonts w:ascii="Calibri" w:cs="Calibri" w:eastAsia="Calibri" w:hAnsi="Calibri"/>
          <w:sz w:val="19"/>
          <w:szCs w:val="19"/>
        </w:rPr>
        <w:t xml:space="preserve">Fix the parser so objectives text is not captured as prerequisites; then wire in LLM prerequisite extraction and re-measure.</w:t>
      </w:r>
    </w:p>
    <w:p>
      <w:pPr>
        <w:pStyle w:val="ListParagraph"/>
        <w:numPr>
          <w:ilvl w:val="0"/>
          <w:numId w:val="2"/>
        </w:numPr>
        <w:spacing w:after="30" w:line="256"/>
      </w:pPr>
      <w:r>
        <w:rPr>
          <w:rFonts w:ascii="Calibri" w:cs="Calibri" w:eastAsia="Calibri" w:hAnsi="Calibri"/>
          <w:sz w:val="19"/>
          <w:szCs w:val="19"/>
        </w:rPr>
        <w:t xml:space="preserve">Build a harder, human-annotated partial-overlap set and try a larger LLM (or a GPU) for summaries and the faithfulness check.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6704ee7e8bcf6bb7683e8a0c73465bb64cf893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2026-09-30T18:24:20.964Z</dcterms:created>
  <dcterms:modified xsi:type="dcterms:W3CDTF">2026-09-30T18:24:20.965Z</dcterms:modified>
</cp:coreProperties>
</file>

<file path=docProps/custom.xml><?xml version="1.0" encoding="utf-8"?>
<Properties xmlns="http://schemas.openxmlformats.org/officeDocument/2006/custom-properties" xmlns:vt="http://schemas.openxmlformats.org/officeDocument/2006/docPropsVTypes"/>
</file>