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2"/>
          <w:szCs w:val="32"/>
        </w:rPr>
        <w:t xml:space="preserve">Curriculum Intelligence Engine</w:t>
      </w:r>
    </w:p>
    <w:p>
      <w:pPr>
        <w:spacing w:after="40"/>
      </w:pPr>
      <w:r>
        <w:rPr>
          <w:rFonts w:ascii="Calibri" w:cs="Calibri" w:eastAsia="Calibri" w:hAnsi="Calibri"/>
          <w:i/>
          <w:iCs/>
          <w:color w:val="595959"/>
          <w:sz w:val="19"/>
          <w:szCs w:val="19"/>
        </w:rPr>
        <w:t xml:space="preserve">Week 2 – Dataset &amp; Baseline  |  AI University NLP Course Project 2026</w:t>
      </w:r>
    </w:p>
    <w:p>
      <w:pPr>
        <w:pBdr>
          <w:bottom w:val="single" w:color="1F3864" w:sz="6" w:space="4"/>
        </w:pBdr>
        <w:spacing w:after="160"/>
      </w:pPr>
      <w:r>
        <w:rPr>
          <w:rFonts w:ascii="Calibri" w:cs="Calibri" w:eastAsia="Calibri" w:hAnsi="Calibri"/>
          <w:color w:val="595959"/>
          <w:sz w:val="19"/>
          <w:szCs w:val="19"/>
        </w:rPr>
        <w:t xml:space="preserve">Group 9  ·  Roll Nos: J048, J049, J050, J052, J053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Borders>
              <w:top w:val="single" w:color="BFBFBF" w:sz="4"/>
              <w:left w:val="single" w:color="BFBFBF" w:sz="4"/>
              <w:bottom w:val="single" w:color="BFBFBF" w:sz="4"/>
              <w:right w:val="single" w:color="BFBFBF" w:sz="4"/>
            </w:tcBorders>
            <w:shd w:fill="EEF2F7" w:color="auto" w:val="clear"/>
            <w:tcMar>
              <w:top w:type="dxa" w:w="100"/>
              <w:left w:type="dxa" w:w="120"/>
              <w:bottom w:type="dxa" w:w="100"/>
              <w:right w:type="dxa" w:w="120"/>
            </w:tcMar>
          </w:tcPr>
          <w:p>
            <w:r>
              <w:rPr>
                <w:rFonts w:ascii="Calibri" w:cs="Calibri" w:eastAsia="Calibri" w:hAnsi="Calibri"/>
                <w:b/>
                <w:bCs/>
                <w:color w:val="1F3864"/>
                <w:sz w:val="19"/>
                <w:szCs w:val="19"/>
              </w:rPr>
              <w:t xml:space="preserve">Week 2 Goal</w:t>
            </w:r>
          </w:p>
        </w:tc>
        <w:tc>
          <w:tcPr>
            <w:tcW w:type="dxa" w:w="8180"/>
            <w:tcBorders>
              <w:top w:val="single" w:color="BFBFBF" w:sz="4"/>
              <w:left w:val="single" w:color="BFBFBF" w:sz="4"/>
              <w:bottom w:val="single" w:color="BFBFBF" w:sz="4"/>
              <w:right w:val="single" w:color="BFBFBF" w:sz="4"/>
            </w:tcBorders>
            <w:tcMar>
              <w:top w:type="dxa" w:w="100"/>
              <w:left w:type="dxa" w:w="140"/>
              <w:bottom w:type="dxa" w:w="100"/>
              <w:right w:type="dxa" w:w="120"/>
            </w:tcMar>
          </w:tcPr>
          <w:p>
            <w:pPr>
              <w:spacing w:after="60" w:line="264"/>
            </w:pPr>
            <w:r>
              <w:rPr>
                <w:rFonts w:ascii="Calibri" w:cs="Calibri" w:eastAsia="Calibri" w:hAnsi="Calibri"/>
                <w:sz w:val="19"/>
                <w:szCs w:val="19"/>
              </w:rPr>
              <w:t xml:space="preserve">Turn the Week 1 plan into a usable dataset and a working baseline with a first evaluation: data collection, cleaning, preprocessing, annotation, train/test split and baseline model. Everything below is reproducible with three scripts (</w:t>
            </w:r>
            <w:r>
              <w:rPr>
                <w:rFonts w:ascii="Calibri" w:cs="Calibri" w:eastAsia="Calibri" w:hAnsi="Calibri"/>
                <w:b/>
                <w:bCs/>
                <w:sz w:val="19"/>
                <w:szCs w:val="19"/>
              </w:rPr>
              <w:t xml:space="preserve">collect.py → preprocess.py → baseline.py</w:t>
            </w:r>
            <w:r>
              <w:rPr>
                <w:rFonts w:ascii="Calibri" w:cs="Calibri" w:eastAsia="Calibri" w:hAnsi="Calibri"/>
                <w:sz w:val="19"/>
                <w:szCs w:val="19"/>
              </w:rPr>
              <w:t xml:space="preserve">). Deliverables: code (</w:t>
            </w:r>
            <w:r>
              <w:rPr>
                <w:rFonts w:ascii="Calibri" w:cs="Calibri" w:eastAsia="Calibri" w:hAnsi="Calibri"/>
                <w:b/>
                <w:bCs/>
                <w:sz w:val="19"/>
                <w:szCs w:val="19"/>
              </w:rPr>
              <w:t xml:space="preserve">src/</w:t>
            </w:r>
            <w:r>
              <w:rPr>
                <w:rFonts w:ascii="Calibri" w:cs="Calibri" w:eastAsia="Calibri" w:hAnsi="Calibri"/>
                <w:sz w:val="19"/>
                <w:szCs w:val="19"/>
              </w:rPr>
              <w:t xml:space="preserve">), raw and cleaned dataset with annotations (</w:t>
            </w:r>
            <w:r>
              <w:rPr>
                <w:rFonts w:ascii="Calibri" w:cs="Calibri" w:eastAsia="Calibri" w:hAnsi="Calibri"/>
                <w:b/>
                <w:bCs/>
                <w:sz w:val="19"/>
                <w:szCs w:val="19"/>
              </w:rPr>
              <w:t xml:space="preserve">data/</w:t>
            </w:r>
            <w:r>
              <w:rPr>
                <w:rFonts w:ascii="Calibri" w:cs="Calibri" w:eastAsia="Calibri" w:hAnsi="Calibri"/>
                <w:sz w:val="19"/>
                <w:szCs w:val="19"/>
              </w:rPr>
              <w:t xml:space="preserve">), metrics, predictions and figures (</w:t>
            </w:r>
            <w:r>
              <w:rPr>
                <w:rFonts w:ascii="Calibri" w:cs="Calibri" w:eastAsia="Calibri" w:hAnsi="Calibri"/>
                <w:b/>
                <w:bCs/>
                <w:sz w:val="19"/>
                <w:szCs w:val="19"/>
              </w:rPr>
              <w:t xml:space="preserve">results/</w:t>
            </w:r>
            <w:r>
              <w:rPr>
                <w:rFonts w:ascii="Calibri" w:cs="Calibri" w:eastAsia="Calibri" w:hAnsi="Calibri"/>
                <w:sz w:val="19"/>
                <w:szCs w:val="19"/>
              </w:rPr>
              <w:t xml:space="preserve">), and this report.</w:t>
            </w:r>
          </w:p>
        </w:tc>
      </w:tr>
      <w:tr>
        <w:tc>
          <w:tcPr>
            <w:tcW w:type="dxa" w:w="1900"/>
            <w:tcBorders>
              <w:top w:val="single" w:color="BFBFBF" w:sz="4"/>
              <w:left w:val="single" w:color="BFBFBF" w:sz="4"/>
              <w:bottom w:val="single" w:color="BFBFBF" w:sz="4"/>
              <w:right w:val="single" w:color="BFBFBF" w:sz="4"/>
            </w:tcBorders>
            <w:shd w:fill="EEF2F7" w:color="auto" w:val="clear"/>
            <w:tcMar>
              <w:top w:type="dxa" w:w="100"/>
              <w:left w:type="dxa" w:w="120"/>
              <w:bottom w:type="dxa" w:w="100"/>
              <w:right w:type="dxa" w:w="120"/>
            </w:tcMar>
          </w:tcPr>
          <w:p>
            <w:r>
              <w:rPr>
                <w:rFonts w:ascii="Calibri" w:cs="Calibri" w:eastAsia="Calibri" w:hAnsi="Calibri"/>
                <w:b/>
                <w:bCs/>
                <w:color w:val="1F3864"/>
                <w:sz w:val="19"/>
                <w:szCs w:val="19"/>
              </w:rPr>
              <w:t xml:space="preserve">Data Collection</w:t>
            </w:r>
          </w:p>
        </w:tc>
        <w:tc>
          <w:tcPr>
            <w:tcW w:type="dxa" w:w="8180"/>
            <w:tcBorders>
              <w:top w:val="single" w:color="BFBFBF" w:sz="4"/>
              <w:left w:val="single" w:color="BFBFBF" w:sz="4"/>
              <w:bottom w:val="single" w:color="BFBFBF" w:sz="4"/>
              <w:right w:val="single" w:color="BFBFBF" w:sz="4"/>
            </w:tcBorders>
            <w:tcMar>
              <w:top w:type="dxa" w:w="100"/>
              <w:left w:type="dxa" w:w="140"/>
              <w:bottom w:type="dxa" w:w="100"/>
              <w:right w:type="dxa" w:w="120"/>
            </w:tcMar>
          </w:tcPr>
          <w:p>
            <w:pPr>
              <w:pStyle w:val="ListParagraph"/>
              <w:numPr>
                <w:ilvl w:val="0"/>
                <w:numId w:val="2"/>
              </w:numPr>
              <w:spacing w:after="30" w:line="256"/>
            </w:pPr>
            <w:r>
              <w:rPr>
                <w:rFonts w:ascii="Calibri" w:cs="Calibri" w:eastAsia="Calibri" w:hAnsi="Calibri"/>
                <w:b/>
                <w:bCs/>
                <w:sz w:val="19"/>
                <w:szCs w:val="19"/>
              </w:rPr>
              <w:t xml:space="preserve">Source:</w:t>
            </w:r>
            <w:r>
              <w:rPr>
                <w:rFonts w:ascii="Calibri" w:cs="Calibri" w:eastAsia="Calibri" w:hAnsi="Calibri"/>
                <w:sz w:val="19"/>
                <w:szCs w:val="19"/>
              </w:rPr>
              <w:t xml:space="preserve"> MIT OpenCourseWare (licence CC BY-NC-SA 4.0). Course metadata, catalog description and OCW topic tags come from the public MIT Learn search API; the Syllabus, Calendar and Lecture-Notes pages come from ocw.mit.edu.</w:t>
            </w:r>
          </w:p>
          <w:p>
            <w:pPr>
              <w:pStyle w:val="ListParagraph"/>
              <w:numPr>
                <w:ilvl w:val="0"/>
                <w:numId w:val="2"/>
              </w:numPr>
              <w:spacing w:after="30" w:line="256"/>
            </w:pPr>
            <w:r>
              <w:rPr>
                <w:rFonts w:ascii="Calibri" w:cs="Calibri" w:eastAsia="Calibri" w:hAnsi="Calibri"/>
                <w:b/>
                <w:bCs/>
                <w:sz w:val="19"/>
                <w:szCs w:val="19"/>
              </w:rPr>
              <w:t xml:space="preserve">Selection:</w:t>
            </w:r>
            <w:r>
              <w:rPr>
                <w:rFonts w:ascii="Calibri" w:cs="Calibri" w:eastAsia="Calibri" w:hAnsi="Calibri"/>
                <w:sz w:val="19"/>
                <w:szCs w:val="19"/>
              </w:rPr>
              <w:t xml:space="preserve"> 17 queries in the overlapping areas named in the proposal (machine learning, deep learning, AI, NLP, statistics, probability, inference, data science, algorithms, linear algebra, optimization, computer vision, econometrics, signal processing, reinforcement learning, neural networks, data mining); top 8 hits each; kept only courses tagged Computer Science, Mathematics, Probability &amp; Statistics, AI or Econometrics; at most 2 semesters per course number.</w:t>
            </w:r>
          </w:p>
          <w:p>
            <w:pPr>
              <w:pStyle w:val="ListParagraph"/>
              <w:numPr>
                <w:ilvl w:val="0"/>
                <w:numId w:val="2"/>
              </w:numPr>
              <w:spacing w:after="30" w:line="256"/>
            </w:pPr>
            <w:r>
              <w:rPr>
                <w:rFonts w:ascii="Calibri" w:cs="Calibri" w:eastAsia="Calibri" w:hAnsi="Calibri"/>
                <w:b/>
                <w:bCs/>
                <w:sz w:val="19"/>
                <w:szCs w:val="19"/>
              </w:rPr>
              <w:t xml:space="preserve">Result:</w:t>
            </w:r>
            <w:r>
              <w:rPr>
                <w:rFonts w:ascii="Calibri" w:cs="Calibri" w:eastAsia="Calibri" w:hAnsi="Calibri"/>
                <w:sz w:val="19"/>
                <w:szCs w:val="19"/>
              </w:rPr>
              <w:t xml:space="preserve"> 87 courses from 15 departments (Electrical Engineering and Computer Science 34, Mathematics 18, Economics 7, Sloan School of Management 7, …). 82 have at least one syllabus/calendar/lecture-notes page (78 a syllabus); 5 newer courses only have the catalog description. 9 courses appear in two semesters, which gives natural “known overlap” pairs.</w:t>
            </w:r>
          </w:p>
          <w:p>
            <w:pPr>
              <w:pStyle w:val="ListParagraph"/>
              <w:numPr>
                <w:ilvl w:val="0"/>
                <w:numId w:val="2"/>
              </w:numPr>
              <w:spacing w:after="30" w:line="256"/>
            </w:pPr>
            <w:r>
              <w:rPr>
                <w:rFonts w:ascii="Calibri" w:cs="Calibri" w:eastAsia="Calibri" w:hAnsi="Calibri"/>
                <w:sz w:val="19"/>
                <w:szCs w:val="19"/>
              </w:rPr>
              <w:t xml:space="preserve">Only course-level public documents are used; no student data. A loader for our own NMIMS/Teams handbooks (</w:t>
            </w:r>
            <w:r>
              <w:rPr>
                <w:rFonts w:ascii="Calibri" w:cs="Calibri" w:eastAsia="Calibri" w:hAnsi="Calibri"/>
                <w:b/>
                <w:bCs/>
                <w:sz w:val="19"/>
                <w:szCs w:val="19"/>
              </w:rPr>
              <w:t xml:space="preserve">data/raw/local/</w:t>
            </w:r>
            <w:r>
              <w:rPr>
                <w:rFonts w:ascii="Calibri" w:cs="Calibri" w:eastAsia="Calibri" w:hAnsi="Calibri"/>
                <w:sz w:val="19"/>
                <w:szCs w:val="19"/>
              </w:rPr>
              <w:t xml:space="preserve">, .txt/.docx/.pdf) is in place and uses the same schema.</w:t>
            </w:r>
          </w:p>
        </w:tc>
      </w:tr>
      <w:tr>
        <w:tc>
          <w:tcPr>
            <w:tcW w:type="dxa" w:w="1900"/>
            <w:tcBorders>
              <w:top w:val="single" w:color="BFBFBF" w:sz="4"/>
              <w:left w:val="single" w:color="BFBFBF" w:sz="4"/>
              <w:bottom w:val="single" w:color="BFBFBF" w:sz="4"/>
              <w:right w:val="single" w:color="BFBFBF" w:sz="4"/>
            </w:tcBorders>
            <w:shd w:fill="EEF2F7" w:color="auto" w:val="clear"/>
            <w:tcMar>
              <w:top w:type="dxa" w:w="100"/>
              <w:left w:type="dxa" w:w="120"/>
              <w:bottom w:type="dxa" w:w="100"/>
              <w:right w:type="dxa" w:w="120"/>
            </w:tcMar>
          </w:tcPr>
          <w:p>
            <w:r>
              <w:rPr>
                <w:rFonts w:ascii="Calibri" w:cs="Calibri" w:eastAsia="Calibri" w:hAnsi="Calibri"/>
                <w:b/>
                <w:bCs/>
                <w:color w:val="1F3864"/>
                <w:sz w:val="19"/>
                <w:szCs w:val="19"/>
              </w:rPr>
              <w:t xml:space="preserve">Cleaning</w:t>
            </w:r>
          </w:p>
        </w:tc>
        <w:tc>
          <w:tcPr>
            <w:tcW w:type="dxa" w:w="8180"/>
            <w:tcBorders>
              <w:top w:val="single" w:color="BFBFBF" w:sz="4"/>
              <w:left w:val="single" w:color="BFBFBF" w:sz="4"/>
              <w:bottom w:val="single" w:color="BFBFBF" w:sz="4"/>
              <w:right w:val="single" w:color="BFBFBF" w:sz="4"/>
            </w:tcBorders>
            <w:tcMar>
              <w:top w:type="dxa" w:w="100"/>
              <w:left w:type="dxa" w:w="140"/>
              <w:bottom w:type="dxa" w:w="100"/>
              <w:right w:type="dxa" w:w="120"/>
            </w:tcMar>
          </w:tcPr>
          <w:p>
            <w:pPr>
              <w:pStyle w:val="ListParagraph"/>
              <w:numPr>
                <w:ilvl w:val="0"/>
                <w:numId w:val="2"/>
              </w:numPr>
              <w:spacing w:after="30" w:line="256"/>
            </w:pPr>
            <w:r>
              <w:rPr>
                <w:rFonts w:ascii="Calibri" w:cs="Calibri" w:eastAsia="Calibri" w:hAnsi="Calibri"/>
                <w:sz w:val="19"/>
                <w:szCs w:val="19"/>
              </w:rPr>
              <w:t xml:space="preserve">HTML split into heading-delimited sections. Content sections are kept (description, overview, topics/outline, objectives, prerequisites); logistics sections are dropped by keyword rules (meeting times, grading, exams, problem sets, policies, textbooks, staff, software).</w:t>
            </w:r>
          </w:p>
          <w:p>
            <w:pPr>
              <w:pStyle w:val="ListParagraph"/>
              <w:numPr>
                <w:ilvl w:val="0"/>
                <w:numId w:val="2"/>
              </w:numPr>
              <w:spacing w:after="30" w:line="256"/>
            </w:pPr>
            <w:r>
              <w:rPr>
                <w:rFonts w:ascii="Calibri" w:cs="Calibri" w:eastAsia="Calibri" w:hAnsi="Calibri"/>
                <w:sz w:val="19"/>
                <w:szCs w:val="19"/>
              </w:rPr>
              <w:t xml:space="preserve">Lecture topics taken from the TOPICS column of calendar/lecture-notes tables; quiz/exam/holiday rows, “Lecture n:” prefixes and “(PDF)” markers removed.</w:t>
            </w:r>
          </w:p>
          <w:p>
            <w:pPr>
              <w:pStyle w:val="ListParagraph"/>
              <w:numPr>
                <w:ilvl w:val="0"/>
                <w:numId w:val="2"/>
              </w:numPr>
              <w:spacing w:after="30" w:line="256"/>
            </w:pPr>
            <w:r>
              <w:rPr>
                <w:rFonts w:ascii="Calibri" w:cs="Calibri" w:eastAsia="Calibri" w:hAnsi="Calibri"/>
                <w:sz w:val="19"/>
                <w:szCs w:val="19"/>
              </w:rPr>
              <w:t xml:space="preserve">Unicode NFKC normalisation; URLs, e-mails and image credits removed; HTML stripped from API descriptions; whitespace collapsed.</w:t>
            </w:r>
          </w:p>
          <w:p>
            <w:pPr>
              <w:pStyle w:val="ListParagraph"/>
              <w:numPr>
                <w:ilvl w:val="0"/>
                <w:numId w:val="2"/>
              </w:numPr>
              <w:spacing w:after="30" w:line="256"/>
            </w:pPr>
            <w:r>
              <w:rPr>
                <w:rFonts w:ascii="Calibri" w:cs="Calibri" w:eastAsia="Calibri" w:hAnsi="Calibri"/>
                <w:sz w:val="19"/>
                <w:szCs w:val="19"/>
              </w:rPr>
              <w:t xml:space="preserve">Quality filter (&lt; 50 words) and exact-duplicate check: 0 of 87 dropped. Mean length 399.3 words (range 74–1225).</w:t>
            </w:r>
          </w:p>
        </w:tc>
      </w:tr>
      <w:tr>
        <w:tc>
          <w:tcPr>
            <w:tcW w:type="dxa" w:w="1900"/>
            <w:tcBorders>
              <w:top w:val="single" w:color="BFBFBF" w:sz="4"/>
              <w:left w:val="single" w:color="BFBFBF" w:sz="4"/>
              <w:bottom w:val="single" w:color="BFBFBF" w:sz="4"/>
              <w:right w:val="single" w:color="BFBFBF" w:sz="4"/>
            </w:tcBorders>
            <w:shd w:fill="EEF2F7" w:color="auto" w:val="clear"/>
            <w:tcMar>
              <w:top w:type="dxa" w:w="100"/>
              <w:left w:type="dxa" w:w="120"/>
              <w:bottom w:type="dxa" w:w="100"/>
              <w:right w:type="dxa" w:w="120"/>
            </w:tcMar>
          </w:tcPr>
          <w:p>
            <w:r>
              <w:rPr>
                <w:rFonts w:ascii="Calibri" w:cs="Calibri" w:eastAsia="Calibri" w:hAnsi="Calibri"/>
                <w:b/>
                <w:bCs/>
                <w:color w:val="1F3864"/>
                <w:sz w:val="19"/>
                <w:szCs w:val="19"/>
              </w:rPr>
              <w:t xml:space="preserve">Preprocessing</w:t>
            </w:r>
          </w:p>
        </w:tc>
        <w:tc>
          <w:tcPr>
            <w:tcW w:type="dxa" w:w="8180"/>
            <w:tcBorders>
              <w:top w:val="single" w:color="BFBFBF" w:sz="4"/>
              <w:left w:val="single" w:color="BFBFBF" w:sz="4"/>
              <w:bottom w:val="single" w:color="BFBFBF" w:sz="4"/>
              <w:right w:val="single" w:color="BFBFBF" w:sz="4"/>
            </w:tcBorders>
            <w:tcMar>
              <w:top w:type="dxa" w:w="100"/>
              <w:left w:type="dxa" w:w="140"/>
              <w:bottom w:type="dxa" w:w="100"/>
              <w:right w:type="dxa" w:w="120"/>
            </w:tcMar>
          </w:tcPr>
          <w:p>
            <w:pPr>
              <w:pStyle w:val="ListParagraph"/>
              <w:numPr>
                <w:ilvl w:val="0"/>
                <w:numId w:val="2"/>
              </w:numPr>
              <w:spacing w:after="30" w:line="256"/>
            </w:pPr>
            <w:r>
              <w:rPr>
                <w:rFonts w:ascii="Calibri" w:cs="Calibri" w:eastAsia="Calibri" w:hAnsi="Calibri"/>
                <w:sz w:val="19"/>
                <w:szCs w:val="19"/>
              </w:rPr>
              <w:t xml:space="preserve">One record per course in a common schema: id, course number, title, department, level, offering, description, prerequisites text + referenced course numbers, learning outcomes, syllabus text, lecture topics, OCW topics, labels, split.</w:t>
            </w:r>
          </w:p>
          <w:p>
            <w:pPr>
              <w:pStyle w:val="ListParagraph"/>
              <w:numPr>
                <w:ilvl w:val="0"/>
                <w:numId w:val="2"/>
              </w:numPr>
              <w:spacing w:after="30" w:line="256"/>
            </w:pPr>
            <w:r>
              <w:rPr>
                <w:rFonts w:ascii="Calibri" w:cs="Calibri" w:eastAsia="Calibri" w:hAnsi="Calibri"/>
                <w:sz w:val="19"/>
                <w:szCs w:val="19"/>
              </w:rPr>
              <w:t xml:space="preserve">Rule-based information extraction: prerequisites found for 63/87 courses (57 with course-number references such as 18.06 or 6.041), lecture topics for 59, explicit outcome statements for 18.</w:t>
            </w:r>
          </w:p>
          <w:p>
            <w:pPr>
              <w:pStyle w:val="ListParagraph"/>
              <w:numPr>
                <w:ilvl w:val="0"/>
                <w:numId w:val="2"/>
              </w:numPr>
              <w:spacing w:after="30" w:line="256"/>
            </w:pPr>
            <w:r>
              <w:rPr>
                <w:rFonts w:ascii="Calibri" w:cs="Calibri" w:eastAsia="Calibri" w:hAnsi="Calibri"/>
                <w:sz w:val="19"/>
                <w:szCs w:val="19"/>
              </w:rPr>
              <w:t xml:space="preserve">Model text = title + description + prerequisites + kept syllabus text + lecture topics, then spaCy (en_core_web_sm) tokenisation and lemmatisation, lower-casing, removal of stop-words, punctuation and numbers. Vocabulary after preprocessing: 3,503 lemmas.</w:t>
            </w:r>
          </w:p>
        </w:tc>
      </w:tr>
      <w:tr>
        <w:tc>
          <w:tcPr>
            <w:tcW w:type="dxa" w:w="1900"/>
            <w:tcBorders>
              <w:top w:val="single" w:color="BFBFBF" w:sz="4"/>
              <w:left w:val="single" w:color="BFBFBF" w:sz="4"/>
              <w:bottom w:val="single" w:color="BFBFBF" w:sz="4"/>
              <w:right w:val="single" w:color="BFBFBF" w:sz="4"/>
            </w:tcBorders>
            <w:shd w:fill="EEF2F7" w:color="auto" w:val="clear"/>
            <w:tcMar>
              <w:top w:type="dxa" w:w="100"/>
              <w:left w:type="dxa" w:w="120"/>
              <w:bottom w:type="dxa" w:w="100"/>
              <w:right w:type="dxa" w:w="120"/>
            </w:tcMar>
          </w:tcPr>
          <w:p>
            <w:r>
              <w:rPr>
                <w:rFonts w:ascii="Calibri" w:cs="Calibri" w:eastAsia="Calibri" w:hAnsi="Calibri"/>
                <w:b/>
                <w:bCs/>
                <w:color w:val="1F3864"/>
                <w:sz w:val="19"/>
                <w:szCs w:val="19"/>
              </w:rPr>
              <w:t xml:space="preserve">Annotation</w:t>
            </w:r>
          </w:p>
        </w:tc>
        <w:tc>
          <w:tcPr>
            <w:tcW w:type="dxa" w:w="8180"/>
            <w:tcBorders>
              <w:top w:val="single" w:color="BFBFBF" w:sz="4"/>
              <w:left w:val="single" w:color="BFBFBF" w:sz="4"/>
              <w:bottom w:val="single" w:color="BFBFBF" w:sz="4"/>
              <w:right w:val="single" w:color="BFBFBF" w:sz="4"/>
            </w:tcBorders>
            <w:tcMar>
              <w:top w:type="dxa" w:w="100"/>
              <w:left w:type="dxa" w:w="140"/>
              <w:bottom w:type="dxa" w:w="100"/>
              <w:right w:type="dxa" w:w="120"/>
            </w:tcMar>
          </w:tcPr>
          <w:p>
            <w:pPr>
              <w:pStyle w:val="ListParagraph"/>
              <w:numPr>
                <w:ilvl w:val="0"/>
                <w:numId w:val="2"/>
              </w:numPr>
              <w:spacing w:after="30" w:line="256"/>
            </w:pPr>
            <w:r>
              <w:rPr>
                <w:rFonts w:ascii="Calibri" w:cs="Calibri" w:eastAsia="Calibri" w:hAnsi="Calibri"/>
                <w:b/>
                <w:bCs/>
                <w:sz w:val="19"/>
                <w:szCs w:val="19"/>
              </w:rPr>
              <w:t xml:space="preserve">Silver pair labels:</w:t>
            </w:r>
            <w:r>
              <w:rPr>
                <w:rFonts w:ascii="Calibri" w:cs="Calibri" w:eastAsia="Calibri" w:hAnsi="Calibri"/>
                <w:sz w:val="19"/>
                <w:szCs w:val="19"/>
              </w:rPr>
              <w:t xml:space="preserve"> OCW topic tags are assigned by OCW staff, so we use them as annotation. Top-level categories (Mathematics, Engineering, …) are removed and the overlap score of a pair is the IDF-weighted Jaccard of the remaining tags. The same course in two semesters = 1.0. Label = overlap if score ≥ 0.30, a cut-off picked by reading sample pairs from each score band.</w:t>
            </w:r>
          </w:p>
          <w:p>
            <w:pPr>
              <w:pStyle w:val="ListParagraph"/>
              <w:numPr>
                <w:ilvl w:val="0"/>
                <w:numId w:val="2"/>
              </w:numPr>
              <w:spacing w:after="30" w:line="256"/>
            </w:pPr>
            <w:r>
              <w:rPr>
                <w:rFonts w:ascii="Calibri" w:cs="Calibri" w:eastAsia="Calibri" w:hAnsi="Calibri"/>
                <w:b/>
                <w:bCs/>
                <w:sz w:val="19"/>
                <w:szCs w:val="19"/>
              </w:rPr>
              <w:t xml:space="preserve">Topic labels:</w:t>
            </w:r>
            <w:r>
              <w:rPr>
                <w:rFonts w:ascii="Calibri" w:cs="Calibri" w:eastAsia="Calibri" w:hAnsi="Calibri"/>
                <w:sz w:val="19"/>
                <w:szCs w:val="19"/>
              </w:rPr>
              <w:t xml:space="preserve"> the 12 OCW tags carried by ≥ 8 courses (e.g. Probability and Statistics, Artificial Intelligence, Algorithms and Data Structures, Econometrics).</w:t>
            </w:r>
          </w:p>
          <w:p>
            <w:pPr>
              <w:pStyle w:val="ListParagraph"/>
              <w:numPr>
                <w:ilvl w:val="0"/>
                <w:numId w:val="2"/>
              </w:numPr>
              <w:spacing w:after="30" w:line="256"/>
            </w:pPr>
            <w:r>
              <w:rPr>
                <w:rFonts w:ascii="Calibri" w:cs="Calibri" w:eastAsia="Calibri" w:hAnsi="Calibri"/>
                <w:b/>
                <w:bCs/>
                <w:sz w:val="19"/>
                <w:szCs w:val="19"/>
              </w:rPr>
              <w:t xml:space="preserve">Gold set:</w:t>
            </w:r>
            <w:r>
              <w:rPr>
                <w:rFonts w:ascii="Calibri" w:cs="Calibri" w:eastAsia="Calibri" w:hAnsi="Calibri"/>
                <w:sz w:val="19"/>
                <w:szCs w:val="19"/>
              </w:rPr>
              <w:t xml:space="preserve"> 41 test pairs, stratified by silver score, labelled 0 = none, 1 = partial (several shared lectures), 2 = substantial/redundant, judged from descriptions and lecture topics without looking at any model score. Labelled by a single LLM annotator with a one-line rationale stored per pair (22 × 0, 15 × 1, 4 × 2). Note: the proposal planned a human-annotated set; this set is LLM-annotated, so no inter-annotator agreement is reported.</w:t>
            </w:r>
          </w:p>
        </w:tc>
      </w:tr>
      <w:tr>
        <w:tc>
          <w:tcPr>
            <w:tcW w:type="dxa" w:w="1900"/>
            <w:tcBorders>
              <w:top w:val="single" w:color="BFBFBF" w:sz="4"/>
              <w:left w:val="single" w:color="BFBFBF" w:sz="4"/>
              <w:bottom w:val="single" w:color="BFBFBF" w:sz="4"/>
              <w:right w:val="single" w:color="BFBFBF" w:sz="4"/>
            </w:tcBorders>
            <w:shd w:fill="EEF2F7" w:color="auto" w:val="clear"/>
            <w:tcMar>
              <w:top w:type="dxa" w:w="100"/>
              <w:left w:type="dxa" w:w="120"/>
              <w:bottom w:type="dxa" w:w="100"/>
              <w:right w:type="dxa" w:w="120"/>
            </w:tcMar>
          </w:tcPr>
          <w:p>
            <w:r>
              <w:rPr>
                <w:rFonts w:ascii="Calibri" w:cs="Calibri" w:eastAsia="Calibri" w:hAnsi="Calibri"/>
                <w:b/>
                <w:bCs/>
                <w:color w:val="1F3864"/>
                <w:sz w:val="19"/>
                <w:szCs w:val="19"/>
              </w:rPr>
              <w:t xml:space="preserve">Train/Test Split</w:t>
            </w:r>
          </w:p>
        </w:tc>
        <w:tc>
          <w:tcPr>
            <w:tcW w:type="dxa" w:w="8180"/>
            <w:tcBorders>
              <w:top w:val="single" w:color="BFBFBF" w:sz="4"/>
              <w:left w:val="single" w:color="BFBFBF" w:sz="4"/>
              <w:bottom w:val="single" w:color="BFBFBF" w:sz="4"/>
              <w:right w:val="single" w:color="BFBFBF" w:sz="4"/>
            </w:tcBorders>
            <w:tcMar>
              <w:top w:type="dxa" w:w="100"/>
              <w:left w:type="dxa" w:w="140"/>
              <w:bottom w:type="dxa" w:w="100"/>
              <w:right w:type="dxa" w:w="120"/>
            </w:tcMar>
          </w:tcPr>
          <w:p>
            <w:pPr>
              <w:spacing w:after="60" w:line="264"/>
            </w:pPr>
            <w:r>
              <w:rPr>
                <w:rFonts w:ascii="Calibri" w:cs="Calibri" w:eastAsia="Calibri" w:hAnsi="Calibri"/>
                <w:sz w:val="19"/>
                <w:szCs w:val="19"/>
              </w:rPr>
              <w:t xml:space="preserve">Course-level 70/30 split grouped by course number (GroupShuffleSplit, seed 42), so two offerings of the same course never sit on both sides: </w:t>
            </w:r>
            <w:r>
              <w:rPr>
                <w:rFonts w:ascii="Calibri" w:cs="Calibri" w:eastAsia="Calibri" w:hAnsi="Calibri"/>
                <w:b/>
                <w:bCs/>
                <w:sz w:val="19"/>
                <w:szCs w:val="19"/>
              </w:rPr>
              <w:t xml:space="preserve">60 train / 27 test courses</w:t>
            </w:r>
            <w:r>
              <w:rPr>
                <w:rFonts w:ascii="Calibri" w:cs="Calibri" w:eastAsia="Calibri" w:hAnsi="Calibri"/>
                <w:sz w:val="19"/>
                <w:szCs w:val="19"/>
              </w:rPr>
              <w:t xml:space="preserve">. Pairs: 1,770 train (98 overlapping) and 351 test (17 overlapping); 1,620 train–test pairs are not used. IDF weights, the decision threshold and the classifier’s C are fit on train only.</w:t>
            </w:r>
          </w:p>
        </w:tc>
      </w:tr>
      <w:tr>
        <w:tc>
          <w:tcPr>
            <w:tcW w:type="dxa" w:w="1900"/>
            <w:tcBorders>
              <w:top w:val="single" w:color="BFBFBF" w:sz="4"/>
              <w:left w:val="single" w:color="BFBFBF" w:sz="4"/>
              <w:bottom w:val="single" w:color="BFBFBF" w:sz="4"/>
              <w:right w:val="single" w:color="BFBFBF" w:sz="4"/>
            </w:tcBorders>
            <w:shd w:fill="EEF2F7" w:color="auto" w:val="clear"/>
            <w:tcMar>
              <w:top w:type="dxa" w:w="100"/>
              <w:left w:type="dxa" w:w="120"/>
              <w:bottom w:type="dxa" w:w="100"/>
              <w:right w:type="dxa" w:w="120"/>
            </w:tcMar>
          </w:tcPr>
          <w:p>
            <w:r>
              <w:rPr>
                <w:rFonts w:ascii="Calibri" w:cs="Calibri" w:eastAsia="Calibri" w:hAnsi="Calibri"/>
                <w:b/>
                <w:bCs/>
                <w:color w:val="1F3864"/>
                <w:sz w:val="19"/>
                <w:szCs w:val="19"/>
              </w:rPr>
              <w:t xml:space="preserve">Baseline Models</w:t>
            </w:r>
          </w:p>
        </w:tc>
        <w:tc>
          <w:tcPr>
            <w:tcW w:type="dxa" w:w="8180"/>
            <w:tcBorders>
              <w:top w:val="single" w:color="BFBFBF" w:sz="4"/>
              <w:left w:val="single" w:color="BFBFBF" w:sz="4"/>
              <w:bottom w:val="single" w:color="BFBFBF" w:sz="4"/>
              <w:right w:val="single" w:color="BFBFBF" w:sz="4"/>
            </w:tcBorders>
            <w:tcMar>
              <w:top w:type="dxa" w:w="100"/>
              <w:left w:type="dxa" w:w="140"/>
              <w:bottom w:type="dxa" w:w="100"/>
              <w:right w:type="dxa" w:w="120"/>
            </w:tcMar>
          </w:tcPr>
          <w:p>
            <w:pPr>
              <w:pStyle w:val="ListParagraph"/>
              <w:numPr>
                <w:ilvl w:val="0"/>
                <w:numId w:val="2"/>
              </w:numPr>
              <w:spacing w:after="30" w:line="256"/>
            </w:pPr>
            <w:r>
              <w:rPr>
                <w:rFonts w:ascii="Calibri" w:cs="Calibri" w:eastAsia="Calibri" w:hAnsi="Calibri"/>
                <w:b/>
                <w:bCs/>
                <w:sz w:val="19"/>
                <w:szCs w:val="19"/>
              </w:rPr>
              <w:t xml:space="preserve">Overlap scoring:</w:t>
            </w:r>
            <w:r>
              <w:rPr>
                <w:rFonts w:ascii="Calibri" w:cs="Calibri" w:eastAsia="Calibri" w:hAnsi="Calibri"/>
                <w:sz w:val="19"/>
                <w:szCs w:val="19"/>
              </w:rPr>
              <w:t xml:space="preserve"> TF-IDF (unigrams + bigrams, sublinear tf, min_df 2, max_df 0.8; 2,179 features) + cosine similarity. Threshold chosen to maximise F1 on train pairs (0.20). Trivial comparison: Jaccard overlap of lemma sets.</w:t>
            </w:r>
          </w:p>
          <w:p>
            <w:pPr>
              <w:pStyle w:val="ListParagraph"/>
              <w:numPr>
                <w:ilvl w:val="0"/>
                <w:numId w:val="2"/>
              </w:numPr>
              <w:spacing w:after="30" w:line="256"/>
            </w:pPr>
            <w:r>
              <w:rPr>
                <w:rFonts w:ascii="Calibri" w:cs="Calibri" w:eastAsia="Calibri" w:hAnsi="Calibri"/>
                <w:b/>
                <w:bCs/>
                <w:sz w:val="19"/>
                <w:szCs w:val="19"/>
              </w:rPr>
              <w:t xml:space="preserve">Topic classification (multi-label):</w:t>
            </w:r>
            <w:r>
              <w:rPr>
                <w:rFonts w:ascii="Calibri" w:cs="Calibri" w:eastAsia="Calibri" w:hAnsi="Calibri"/>
                <w:sz w:val="19"/>
                <w:szCs w:val="19"/>
              </w:rPr>
              <w:t xml:space="preserve"> TF-IDF + one-vs-rest logistic regression, balanced class weights, C = 1 chosen by grouped 3-fold CV on train. Trivial comparison: always predict the 2 most frequent labels.</w:t>
            </w:r>
          </w:p>
          <w:p>
            <w:pPr>
              <w:pStyle w:val="ListParagraph"/>
              <w:numPr>
                <w:ilvl w:val="0"/>
                <w:numId w:val="2"/>
              </w:numPr>
              <w:spacing w:after="30" w:line="256"/>
            </w:pPr>
            <w:r>
              <w:rPr>
                <w:rFonts w:ascii="Calibri" w:cs="Calibri" w:eastAsia="Calibri" w:hAnsi="Calibri"/>
                <w:b/>
                <w:bCs/>
                <w:sz w:val="19"/>
                <w:szCs w:val="19"/>
              </w:rPr>
              <w:t xml:space="preserve">Rule-based extraction:</w:t>
            </w:r>
            <w:r>
              <w:rPr>
                <w:rFonts w:ascii="Calibri" w:cs="Calibri" w:eastAsia="Calibri" w:hAnsi="Calibri"/>
                <w:sz w:val="19"/>
                <w:szCs w:val="19"/>
              </w:rPr>
              <w:t xml:space="preserve"> a 46-topic curriculum lexicon (regex) gives common and unique topics; a prerequisite-gap rule flags topics one course’s prerequisites assume but the other course does not teach. Output is the JSON comparison report that the future POST /compare-curricula endpoint will return.</w:t>
            </w:r>
          </w:p>
        </w:tc>
      </w:tr>
    </w:tbl>
    <w:p>
      <w:pPr>
        <w:keepNext/>
        <w:pBdr>
          <w:bottom w:val="single" w:color="BFBFBF" w:sz="4" w:space="2"/>
        </w:pBdr>
        <w:spacing w:after="80" w:before="220"/>
      </w:pPr>
      <w:r>
        <w:rPr>
          <w:rFonts w:ascii="Calibri" w:cs="Calibri" w:eastAsia="Calibri" w:hAnsi="Calibri"/>
          <w:b/>
          <w:bCs/>
          <w:color w:val="1F3864"/>
          <w:sz w:val="24"/>
          <w:szCs w:val="24"/>
        </w:rPr>
        <w:t xml:space="preserve">Initial Evaluation (test split)</w:t>
      </w:r>
    </w:p>
    <w:p>
      <w:pPr>
        <w:spacing w:after="60" w:line="264"/>
      </w:pPr>
      <w:r>
        <w:rPr>
          <w:rFonts w:ascii="Calibri" w:cs="Calibri" w:eastAsia="Calibri" w:hAnsi="Calibri"/>
          <w:b/>
          <w:bCs/>
          <w:sz w:val="19"/>
          <w:szCs w:val="19"/>
        </w:rPr>
        <w:t xml:space="preserve">Course-overlap scoring</w:t>
      </w:r>
      <w:r>
        <w:rPr>
          <w:rFonts w:ascii="Calibri" w:cs="Calibri" w:eastAsia="Calibri" w:hAnsi="Calibri"/>
          <w:sz w:val="19"/>
          <w:szCs w:val="19"/>
        </w:rPr>
        <w:t xml:space="preserve">, 351 test pairs, 17 silver-positive (chance average precision = 0.048):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60"/>
        <w:gridCol w:w="1080"/>
        <w:gridCol w:w="1080"/>
        <w:gridCol w:w="1200"/>
        <w:gridCol w:w="1040"/>
        <w:gridCol w:w="1040"/>
        <w:gridCol w:w="1040"/>
        <w:gridCol w:w="1040"/>
      </w:tblGrid>
      <w:tr>
        <w:trPr>
          <w:tblHeader/>
        </w:trPr>
        <w:tc>
          <w:tcPr>
            <w:tcW w:type="dxa" w:w="256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jc w:val="left"/>
            </w:pPr>
            <w:r>
              <w:rPr>
                <w:rFonts w:ascii="Calibri" w:cs="Calibri" w:eastAsia="Calibri" w:hAnsi="Calibri"/>
                <w:b/>
                <w:bCs/>
                <w:color w:val="1F3864"/>
                <w:sz w:val="18"/>
                <w:szCs w:val="18"/>
              </w:rPr>
              <w:t xml:space="preserve">Method</w:t>
            </w:r>
          </w:p>
        </w:tc>
        <w:tc>
          <w:tcPr>
            <w:tcW w:type="dxa" w:w="108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jc w:val="center"/>
            </w:pPr>
            <w:r>
              <w:rPr>
                <w:rFonts w:ascii="Calibri" w:cs="Calibri" w:eastAsia="Calibri" w:hAnsi="Calibri"/>
                <w:b/>
                <w:bCs/>
                <w:color w:val="1F3864"/>
                <w:sz w:val="18"/>
                <w:szCs w:val="18"/>
              </w:rPr>
              <w:t xml:space="preserve">Spearman ρ</w:t>
            </w:r>
          </w:p>
        </w:tc>
        <w:tc>
          <w:tcPr>
            <w:tcW w:type="dxa" w:w="108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jc w:val="center"/>
            </w:pPr>
            <w:r>
              <w:rPr>
                <w:rFonts w:ascii="Calibri" w:cs="Calibri" w:eastAsia="Calibri" w:hAnsi="Calibri"/>
                <w:b/>
                <w:bCs/>
                <w:color w:val="1F3864"/>
                <w:sz w:val="18"/>
                <w:szCs w:val="18"/>
              </w:rPr>
              <w:t xml:space="preserve">ROC-AUC</w:t>
            </w:r>
          </w:p>
        </w:tc>
        <w:tc>
          <w:tcPr>
            <w:tcW w:type="dxa" w:w="12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jc w:val="center"/>
            </w:pPr>
            <w:r>
              <w:rPr>
                <w:rFonts w:ascii="Calibri" w:cs="Calibri" w:eastAsia="Calibri" w:hAnsi="Calibri"/>
                <w:b/>
                <w:bCs/>
                <w:color w:val="1F3864"/>
                <w:sz w:val="18"/>
                <w:szCs w:val="18"/>
              </w:rPr>
              <w:t xml:space="preserve">Avg. precision</w:t>
            </w:r>
          </w:p>
        </w:tc>
        <w:tc>
          <w:tcPr>
            <w:tcW w:type="dxa" w:w="104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jc w:val="center"/>
            </w:pPr>
            <w:r>
              <w:rPr>
                <w:rFonts w:ascii="Calibri" w:cs="Calibri" w:eastAsia="Calibri" w:hAnsi="Calibri"/>
                <w:b/>
                <w:bCs/>
                <w:color w:val="1F3864"/>
                <w:sz w:val="18"/>
                <w:szCs w:val="18"/>
              </w:rPr>
              <w:t xml:space="preserve">Precision</w:t>
            </w:r>
          </w:p>
        </w:tc>
        <w:tc>
          <w:tcPr>
            <w:tcW w:type="dxa" w:w="104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jc w:val="center"/>
            </w:pPr>
            <w:r>
              <w:rPr>
                <w:rFonts w:ascii="Calibri" w:cs="Calibri" w:eastAsia="Calibri" w:hAnsi="Calibri"/>
                <w:b/>
                <w:bCs/>
                <w:color w:val="1F3864"/>
                <w:sz w:val="18"/>
                <w:szCs w:val="18"/>
              </w:rPr>
              <w:t xml:space="preserve">Recall</w:t>
            </w:r>
          </w:p>
        </w:tc>
        <w:tc>
          <w:tcPr>
            <w:tcW w:type="dxa" w:w="104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jc w:val="center"/>
            </w:pPr>
            <w:r>
              <w:rPr>
                <w:rFonts w:ascii="Calibri" w:cs="Calibri" w:eastAsia="Calibri" w:hAnsi="Calibri"/>
                <w:b/>
                <w:bCs/>
                <w:color w:val="1F3864"/>
                <w:sz w:val="18"/>
                <w:szCs w:val="18"/>
              </w:rPr>
              <w:t xml:space="preserve">F1</w:t>
            </w:r>
          </w:p>
        </w:tc>
        <w:tc>
          <w:tcPr>
            <w:tcW w:type="dxa" w:w="104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jc w:val="center"/>
            </w:pPr>
            <w:r>
              <w:rPr>
                <w:rFonts w:ascii="Calibri" w:cs="Calibri" w:eastAsia="Calibri" w:hAnsi="Calibri"/>
                <w:b/>
                <w:bCs/>
                <w:color w:val="1F3864"/>
                <w:sz w:val="18"/>
                <w:szCs w:val="18"/>
              </w:rPr>
              <w:t xml:space="preserve">Accuracy</w:t>
            </w:r>
          </w:p>
        </w:tc>
      </w:tr>
      <w:tr>
        <w:trPr>
          <w:tblHeader w:val="false"/>
        </w:trPr>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Word-overlap Jaccard</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0.396</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0.823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0.323</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0.286</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0.235</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0.258</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0.934</w:t>
            </w:r>
          </w:p>
        </w:tc>
      </w:tr>
      <w:tr>
        <w:trPr>
          <w:tblHeader w:val="false"/>
        </w:trPr>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sz w:val="18"/>
                <w:szCs w:val="18"/>
              </w:rPr>
              <w:t xml:space="preserve">TF-IDF + cosine (baseline)</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bCs/>
                <w:sz w:val="18"/>
                <w:szCs w:val="18"/>
              </w:rPr>
              <w:t xml:space="preserve">0.446</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bCs/>
                <w:sz w:val="18"/>
                <w:szCs w:val="18"/>
              </w:rPr>
              <w:t xml:space="preserve">0.826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bCs/>
                <w:sz w:val="18"/>
                <w:szCs w:val="18"/>
              </w:rPr>
              <w:t xml:space="preserve">0.351</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bCs/>
                <w:sz w:val="18"/>
                <w:szCs w:val="18"/>
              </w:rPr>
              <w:t xml:space="preserve">0.233</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bCs/>
                <w:sz w:val="18"/>
                <w:szCs w:val="18"/>
              </w:rPr>
              <w:t xml:space="preserve">0.412</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bCs/>
                <w:sz w:val="18"/>
                <w:szCs w:val="18"/>
              </w:rPr>
              <w:t xml:space="preserve">0.298</w:t>
            </w:r>
          </w:p>
        </w:tc>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bCs/>
                <w:sz w:val="18"/>
                <w:szCs w:val="18"/>
              </w:rPr>
              <w:t xml:space="preserve">0.906</w:t>
            </w:r>
          </w:p>
        </w:tc>
      </w:tr>
    </w:tbl>
    <w:p>
      <w:pPr>
        <w:spacing w:after="60" w:line="264"/>
      </w:pPr>
    </w:p>
    <w:p>
      <w:pPr>
        <w:spacing w:after="60" w:line="264"/>
      </w:pPr>
      <w:r>
        <w:rPr>
          <w:rFonts w:ascii="Calibri" w:cs="Calibri" w:eastAsia="Calibri" w:hAnsi="Calibri"/>
          <w:b/>
          <w:bCs/>
          <w:sz w:val="19"/>
          <w:szCs w:val="19"/>
        </w:rPr>
        <w:t xml:space="preserve">Against the gold labels</w:t>
      </w:r>
      <w:r>
        <w:rPr>
          <w:rFonts w:ascii="Calibri" w:cs="Calibri" w:eastAsia="Calibri" w:hAnsi="Calibri"/>
          <w:sz w:val="19"/>
          <w:szCs w:val="19"/>
        </w:rPr>
        <w:t xml:space="preserve">, 41 pairs, 19 overlapping (label ≥ 1); P/R/F1 at the thresholds fixed on train / by the silver cut-off: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80"/>
        <w:gridCol w:w="1200"/>
        <w:gridCol w:w="1200"/>
        <w:gridCol w:w="1200"/>
      </w:tblGrid>
      <w:tr>
        <w:trPr>
          <w:tblHeader/>
        </w:trPr>
        <w:tc>
          <w:tcPr>
            <w:tcW w:type="dxa" w:w="28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jc w:val="left"/>
            </w:pPr>
            <w:r>
              <w:rPr>
                <w:rFonts w:ascii="Calibri" w:cs="Calibri" w:eastAsia="Calibri" w:hAnsi="Calibri"/>
                <w:b/>
                <w:bCs/>
                <w:color w:val="1F3864"/>
                <w:sz w:val="18"/>
                <w:szCs w:val="18"/>
              </w:rPr>
              <w:t xml:space="preserve">Method</w:t>
            </w:r>
          </w:p>
        </w:tc>
        <w:tc>
          <w:tcPr>
            <w:tcW w:type="dxa" w:w="12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jc w:val="center"/>
            </w:pPr>
            <w:r>
              <w:rPr>
                <w:rFonts w:ascii="Calibri" w:cs="Calibri" w:eastAsia="Calibri" w:hAnsi="Calibri"/>
                <w:b/>
                <w:bCs/>
                <w:color w:val="1F3864"/>
                <w:sz w:val="18"/>
                <w:szCs w:val="18"/>
              </w:rPr>
              <w:t xml:space="preserve">Spearman ρ</w:t>
            </w:r>
          </w:p>
        </w:tc>
        <w:tc>
          <w:tcPr>
            <w:tcW w:type="dxa" w:w="12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jc w:val="center"/>
            </w:pPr>
            <w:r>
              <w:rPr>
                <w:rFonts w:ascii="Calibri" w:cs="Calibri" w:eastAsia="Calibri" w:hAnsi="Calibri"/>
                <w:b/>
                <w:bCs/>
                <w:color w:val="1F3864"/>
                <w:sz w:val="18"/>
                <w:szCs w:val="18"/>
              </w:rPr>
              <w:t xml:space="preserve">ROC-AUC</w:t>
            </w:r>
          </w:p>
        </w:tc>
        <w:tc>
          <w:tcPr>
            <w:tcW w:type="dxa" w:w="128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jc w:val="center"/>
            </w:pPr>
            <w:r>
              <w:rPr>
                <w:rFonts w:ascii="Calibri" w:cs="Calibri" w:eastAsia="Calibri" w:hAnsi="Calibri"/>
                <w:b/>
                <w:bCs/>
                <w:color w:val="1F3864"/>
                <w:sz w:val="18"/>
                <w:szCs w:val="18"/>
              </w:rPr>
              <w:t xml:space="preserve">Avg. precision</w:t>
            </w:r>
          </w:p>
        </w:tc>
        <w:tc>
          <w:tcPr>
            <w:tcW w:type="dxa" w:w="12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jc w:val="center"/>
            </w:pPr>
            <w:r>
              <w:rPr>
                <w:rFonts w:ascii="Calibri" w:cs="Calibri" w:eastAsia="Calibri" w:hAnsi="Calibri"/>
                <w:b/>
                <w:bCs/>
                <w:color w:val="1F3864"/>
                <w:sz w:val="18"/>
                <w:szCs w:val="18"/>
              </w:rPr>
              <w:t xml:space="preserve">Precision</w:t>
            </w:r>
          </w:p>
        </w:tc>
        <w:tc>
          <w:tcPr>
            <w:tcW w:type="dxa" w:w="12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jc w:val="center"/>
            </w:pPr>
            <w:r>
              <w:rPr>
                <w:rFonts w:ascii="Calibri" w:cs="Calibri" w:eastAsia="Calibri" w:hAnsi="Calibri"/>
                <w:b/>
                <w:bCs/>
                <w:color w:val="1F3864"/>
                <w:sz w:val="18"/>
                <w:szCs w:val="18"/>
              </w:rPr>
              <w:t xml:space="preserve">Recall</w:t>
            </w:r>
          </w:p>
        </w:tc>
        <w:tc>
          <w:tcPr>
            <w:tcW w:type="dxa" w:w="12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jc w:val="center"/>
            </w:pPr>
            <w:r>
              <w:rPr>
                <w:rFonts w:ascii="Calibri" w:cs="Calibri" w:eastAsia="Calibri" w:hAnsi="Calibri"/>
                <w:b/>
                <w:bCs/>
                <w:color w:val="1F3864"/>
                <w:sz w:val="18"/>
                <w:szCs w:val="18"/>
              </w:rPr>
              <w:t xml:space="preserve">F1</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Word-overlap Jaccard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0.542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0.768</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0.784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Silver labels (OCW tags)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0.611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0.821</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0.826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0.769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0.526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0.625</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sz w:val="18"/>
                <w:szCs w:val="18"/>
              </w:rPr>
              <w:t xml:space="preserve">TF-IDF + cosine (baseline)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bCs/>
                <w:sz w:val="18"/>
                <w:szCs w:val="18"/>
              </w:rPr>
              <w:t xml:space="preserve">0.636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bCs/>
                <w:sz w:val="18"/>
                <w:szCs w:val="18"/>
              </w:rPr>
              <w:t xml:space="preserve">0.830</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bCs/>
                <w:sz w:val="18"/>
                <w:szCs w:val="18"/>
              </w:rPr>
              <w:t xml:space="preserve">0.828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bCs/>
                <w:sz w:val="18"/>
                <w:szCs w:val="18"/>
              </w:rPr>
              <w:t xml:space="preserve">1.000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bCs/>
                <w:sz w:val="18"/>
                <w:szCs w:val="18"/>
              </w:rPr>
              <w:t xml:space="preserve">0.316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bCs/>
                <w:sz w:val="18"/>
                <w:szCs w:val="18"/>
              </w:rPr>
              <w:t xml:space="preserve">0.480</w:t>
            </w:r>
          </w:p>
        </w:tc>
      </w:tr>
    </w:tbl>
    <w:p>
      <w:pPr>
        <w:spacing w:after="60" w:line="264"/>
      </w:pPr>
    </w:p>
    <w:p>
      <w:pPr>
        <w:spacing w:after="60" w:line="264"/>
      </w:pPr>
      <w:r>
        <w:rPr>
          <w:rFonts w:ascii="Calibri" w:cs="Calibri" w:eastAsia="Calibri" w:hAnsi="Calibri"/>
          <w:b/>
          <w:bCs/>
          <w:sz w:val="19"/>
          <w:szCs w:val="19"/>
        </w:rPr>
        <w:t xml:space="preserve">Topic classification</w:t>
      </w:r>
      <w:r>
        <w:rPr>
          <w:rFonts w:ascii="Calibri" w:cs="Calibri" w:eastAsia="Calibri" w:hAnsi="Calibri"/>
          <w:sz w:val="19"/>
          <w:szCs w:val="19"/>
        </w:rPr>
        <w:t xml:space="preserve">, 27 test courses, 12 labels (macro-F1 over labels present in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80"/>
        <w:gridCol w:w="1600"/>
        <w:gridCol w:w="1600"/>
        <w:gridCol w:w="1600"/>
        <w:gridCol w:w="1600"/>
      </w:tblGrid>
      <w:tr>
        <w:trPr>
          <w:tblHeader/>
        </w:trPr>
        <w:tc>
          <w:tcPr>
            <w:tcW w:type="dxa" w:w="368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jc w:val="left"/>
            </w:pPr>
            <w:r>
              <w:rPr>
                <w:rFonts w:ascii="Calibri" w:cs="Calibri" w:eastAsia="Calibri" w:hAnsi="Calibri"/>
                <w:b/>
                <w:bCs/>
                <w:color w:val="1F3864"/>
                <w:sz w:val="18"/>
                <w:szCs w:val="18"/>
              </w:rPr>
              <w:t xml:space="preserve">Method</w:t>
            </w:r>
          </w:p>
        </w:tc>
        <w:tc>
          <w:tcPr>
            <w:tcW w:type="dxa" w:w="16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jc w:val="center"/>
            </w:pPr>
            <w:r>
              <w:rPr>
                <w:rFonts w:ascii="Calibri" w:cs="Calibri" w:eastAsia="Calibri" w:hAnsi="Calibri"/>
                <w:b/>
                <w:bCs/>
                <w:color w:val="1F3864"/>
                <w:sz w:val="18"/>
                <w:szCs w:val="18"/>
              </w:rPr>
              <w:t xml:space="preserve">Micro-F1</w:t>
            </w:r>
          </w:p>
        </w:tc>
        <w:tc>
          <w:tcPr>
            <w:tcW w:type="dxa" w:w="16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jc w:val="center"/>
            </w:pPr>
            <w:r>
              <w:rPr>
                <w:rFonts w:ascii="Calibri" w:cs="Calibri" w:eastAsia="Calibri" w:hAnsi="Calibri"/>
                <w:b/>
                <w:bCs/>
                <w:color w:val="1F3864"/>
                <w:sz w:val="18"/>
                <w:szCs w:val="18"/>
              </w:rPr>
              <w:t xml:space="preserve">Macro-F1</w:t>
            </w:r>
          </w:p>
        </w:tc>
        <w:tc>
          <w:tcPr>
            <w:tcW w:type="dxa" w:w="16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jc w:val="center"/>
            </w:pPr>
            <w:r>
              <w:rPr>
                <w:rFonts w:ascii="Calibri" w:cs="Calibri" w:eastAsia="Calibri" w:hAnsi="Calibri"/>
                <w:b/>
                <w:bCs/>
                <w:color w:val="1F3864"/>
                <w:sz w:val="18"/>
                <w:szCs w:val="18"/>
              </w:rPr>
              <w:t xml:space="preserve">Samples-F1</w:t>
            </w:r>
          </w:p>
        </w:tc>
        <w:tc>
          <w:tcPr>
            <w:tcW w:type="dxa" w:w="16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jc w:val="center"/>
            </w:pPr>
            <w:r>
              <w:rPr>
                <w:rFonts w:ascii="Calibri" w:cs="Calibri" w:eastAsia="Calibri" w:hAnsi="Calibri"/>
                <w:b/>
                <w:bCs/>
                <w:color w:val="1F3864"/>
                <w:sz w:val="18"/>
                <w:szCs w:val="18"/>
              </w:rPr>
              <w:t xml:space="preserve">Hamming loss ↓</w:t>
            </w:r>
          </w:p>
        </w:tc>
      </w:tr>
      <w:tr>
        <w:trPr>
          <w:tblHeader w:val="false"/>
        </w:trPr>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Always predict 2 most frequent labels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0.496</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0.133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0.499</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0.194</w:t>
            </w:r>
          </w:p>
        </w:tc>
      </w:tr>
      <w:tr>
        <w:trPr>
          <w:tblHeader w:val="false"/>
        </w:trPr>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bCs/>
                <w:sz w:val="18"/>
                <w:szCs w:val="18"/>
              </w:rPr>
              <w:t xml:space="preserve">TF-IDF + logistic regression (baseline)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bCs/>
                <w:sz w:val="18"/>
                <w:szCs w:val="18"/>
              </w:rPr>
              <w:t xml:space="preserve">0.561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bCs/>
                <w:sz w:val="18"/>
                <w:szCs w:val="18"/>
              </w:rPr>
              <w:t xml:space="preserve">0.302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bCs/>
                <w:sz w:val="18"/>
                <w:szCs w:val="18"/>
              </w:rPr>
              <w:t xml:space="preserve">0.604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bCs/>
                <w:sz w:val="18"/>
                <w:szCs w:val="18"/>
              </w:rPr>
              <w:t xml:space="preserve">0.145</w:t>
            </w:r>
          </w:p>
        </w:tc>
      </w:tr>
    </w:tbl>
    <w:p>
      <w:pPr>
        <w:spacing w:after="60" w:line="264"/>
      </w:pPr>
    </w:p>
    <w:p>
      <w:pPr>
        <w:spacing w:after="60" w:line="264"/>
      </w:pPr>
      <w:r>
        <w:rPr>
          <w:rFonts w:ascii="Calibri" w:cs="Calibri" w:eastAsia="Calibri" w:hAnsi="Calibri"/>
          <w:b/>
          <w:bCs/>
          <w:sz w:val="19"/>
          <w:szCs w:val="19"/>
        </w:rPr>
        <w:t xml:space="preserve">Rule-based extraction coverage:</w:t>
      </w:r>
      <w:r>
        <w:rPr>
          <w:rFonts w:ascii="Calibri" w:cs="Calibri" w:eastAsia="Calibri" w:hAnsi="Calibri"/>
          <w:sz w:val="19"/>
          <w:szCs w:val="19"/>
        </w:rPr>
        <w:t xml:space="preserve"> on average 6.16 lexicon topics per course; ≥ 3 topics found for 76/87 courses; prerequisites for 63/87; outcome statements for 18/87.</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40"/>
        <w:gridCol w:w="5040"/>
      </w:tblGrid>
      <w:tr>
        <w:tc>
          <w:tcPr>
            <w:tcW w:type="dxa" w:w="5040"/>
            <w:tcBorders>
              <w:top w:val="none" w:color="FFFFFF" w:sz="0"/>
              <w:left w:val="none" w:color="FFFFFF" w:sz="0"/>
              <w:bottom w:val="none" w:color="FFFFFF" w:sz="0"/>
              <w:right w:val="none" w:color="FFFFFF" w:sz="0"/>
            </w:tcBorders>
            <w:tcMar>
              <w:top w:type="dxa" w:w="80"/>
              <w:left w:type="dxa" w:w="40"/>
              <w:bottom w:type="dxa" w:w="0"/>
              <w:right w:type="dxa" w:w="40"/>
            </w:tcMar>
          </w:tcPr>
          <w:p>
            <w:pPr>
              <w:jc w:val="center"/>
            </w:pPr>
            <w:r>
              <w:drawing>
                <wp:inline distT="0" distB="0" distL="0" distR="0">
                  <wp:extent cx="3028950" cy="1990725"/>
                  <wp:effectExtent t="0" r="0" b="0" l="0"/>
                  <wp:docPr id="1" name="fig_similarity_vs_silver.png" descr="fig_similarity_vs_silver.png" title="fig_similarity_vs_sil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28950" cy="1990725"/>
                          </a:xfrm>
                          <a:prstGeom prst="rect">
                            <a:avLst/>
                          </a:prstGeom>
                        </pic:spPr>
                      </pic:pic>
                    </a:graphicData>
                  </a:graphic>
                </wp:inline>
              </w:drawing>
            </w:r>
          </w:p>
        </w:tc>
        <w:tc>
          <w:tcPr>
            <w:tcW w:type="dxa" w:w="5040"/>
            <w:tcBorders>
              <w:top w:val="none" w:color="FFFFFF" w:sz="0"/>
              <w:left w:val="none" w:color="FFFFFF" w:sz="0"/>
              <w:bottom w:val="none" w:color="FFFFFF" w:sz="0"/>
              <w:right w:val="none" w:color="FFFFFF" w:sz="0"/>
            </w:tcBorders>
            <w:tcMar>
              <w:top w:type="dxa" w:w="80"/>
              <w:left w:type="dxa" w:w="40"/>
              <w:bottom w:type="dxa" w:w="0"/>
              <w:right w:type="dxa" w:w="40"/>
            </w:tcMar>
          </w:tcPr>
          <w:p>
            <w:pPr>
              <w:jc w:val="center"/>
            </w:pPr>
            <w:r>
              <w:drawing>
                <wp:inline distT="0" distB="0" distL="0" distR="0">
                  <wp:extent cx="3028950" cy="1990725"/>
                  <wp:effectExtent t="0" r="0" b="0" l="0"/>
                  <wp:docPr id="1" name="fig_topic_f1_per_label.png" descr="fig_topic_f1_per_label.png" title="fig_topic_f1_per_l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28950" cy="1990725"/>
                          </a:xfrm>
                          <a:prstGeom prst="rect">
                            <a:avLst/>
                          </a:prstGeom>
                        </pic:spPr>
                      </pic:pic>
                    </a:graphicData>
                  </a:graphic>
                </wp:inline>
              </w:drawing>
            </w:r>
          </w:p>
        </w:tc>
      </w:tr>
    </w:tbl>
    <w:p>
      <w:pPr>
        <w:spacing w:after="120" w:before="40"/>
      </w:pPr>
      <w:r>
        <w:rPr>
          <w:rFonts w:ascii="Calibri" w:cs="Calibri" w:eastAsia="Calibri" w:hAnsi="Calibri"/>
          <w:i/>
          <w:iCs/>
          <w:color w:val="595959"/>
          <w:sz w:val="17"/>
          <w:szCs w:val="17"/>
        </w:rPr>
        <w:t xml:space="preserve">Left: TF-IDF cosine vs silver overlap score for every test pair (orange = silver overlap). Right: per-label test F1 of the topic classifier (n = test support).</w:t>
      </w:r>
    </w:p>
    <w:p>
      <w:pPr>
        <w:keepNext/>
        <w:pBdr>
          <w:bottom w:val="single" w:color="BFBFBF" w:sz="4" w:space="2"/>
        </w:pBdr>
        <w:spacing w:after="80" w:before="220"/>
      </w:pPr>
      <w:r>
        <w:rPr>
          <w:rFonts w:ascii="Calibri" w:cs="Calibri" w:eastAsia="Calibri" w:hAnsi="Calibri"/>
          <w:b/>
          <w:bCs/>
          <w:color w:val="1F3864"/>
          <w:sz w:val="24"/>
          <w:szCs w:val="24"/>
        </w:rPr>
        <w:t xml:space="preserve">Example Output (baseline comparison report)</w:t>
      </w:r>
    </w:p>
    <w:p>
      <w:pPr>
        <w:keepNext/>
        <w:spacing w:after="0" w:line="220"/>
      </w:pPr>
      <w:r>
        <w:rPr>
          <w:rFonts w:ascii="Consolas" w:cs="Consolas" w:eastAsia="Consolas" w:hAnsi="Consolas"/>
          <w:sz w:val="15"/>
          <w:szCs w:val="15"/>
        </w:rPr>
        <w:t xml:space="preserve">{</w:t>
      </w:r>
    </w:p>
    <w:p>
      <w:pPr>
        <w:keepNext/>
        <w:spacing w:after="0" w:line="220"/>
      </w:pPr>
      <w:r>
        <w:rPr>
          <w:rFonts w:ascii="Consolas" w:cs="Consolas" w:eastAsia="Consolas" w:hAnsi="Consolas"/>
          <w:sz w:val="15"/>
          <w:szCs w:val="15"/>
        </w:rPr>
        <w:t xml:space="preserve">  "course_a": "18.650 (formerly 18.443) Statistics for Applications (fall_2006)",</w:t>
      </w:r>
    </w:p>
    <w:p>
      <w:pPr>
        <w:keepNext/>
        <w:spacing w:after="0" w:line="220"/>
      </w:pPr>
      <w:r>
        <w:rPr>
          <w:rFonts w:ascii="Consolas" w:cs="Consolas" w:eastAsia="Consolas" w:hAnsi="Consolas"/>
          <w:sz w:val="15"/>
          <w:szCs w:val="15"/>
        </w:rPr>
        <w:t xml:space="preserve">  "course_b": "18.650 (formerly 18.443) Statistics for Applications (spring_2015)",</w:t>
      </w:r>
    </w:p>
    <w:p>
      <w:pPr>
        <w:keepNext/>
        <w:spacing w:after="0" w:line="220"/>
      </w:pPr>
      <w:r>
        <w:rPr>
          <w:rFonts w:ascii="Consolas" w:cs="Consolas" w:eastAsia="Consolas" w:hAnsi="Consolas"/>
          <w:sz w:val="15"/>
          <w:szCs w:val="15"/>
        </w:rPr>
        <w:t xml:space="preserve">  "overlap_score": 0.576,</w:t>
      </w:r>
    </w:p>
    <w:p>
      <w:pPr>
        <w:keepNext/>
        <w:spacing w:after="0" w:line="220"/>
      </w:pPr>
      <w:r>
        <w:rPr>
          <w:rFonts w:ascii="Consolas" w:cs="Consolas" w:eastAsia="Consolas" w:hAnsi="Consolas"/>
          <w:sz w:val="15"/>
          <w:szCs w:val="15"/>
        </w:rPr>
        <w:t xml:space="preserve">  "overlap_percent": "58%",</w:t>
      </w:r>
    </w:p>
    <w:p>
      <w:pPr>
        <w:keepNext/>
        <w:spacing w:after="0" w:line="220"/>
      </w:pPr>
      <w:r>
        <w:rPr>
          <w:rFonts w:ascii="Consolas" w:cs="Consolas" w:eastAsia="Consolas" w:hAnsi="Consolas"/>
          <w:sz w:val="15"/>
          <w:szCs w:val="15"/>
        </w:rPr>
        <w:t xml:space="preserve">  "redundancy_warning": true,</w:t>
      </w:r>
    </w:p>
    <w:p>
      <w:pPr>
        <w:keepNext/>
        <w:spacing w:after="0" w:line="220"/>
      </w:pPr>
      <w:r>
        <w:rPr>
          <w:rFonts w:ascii="Consolas" w:cs="Consolas" w:eastAsia="Consolas" w:hAnsi="Consolas"/>
          <w:sz w:val="15"/>
          <w:szCs w:val="15"/>
        </w:rPr>
        <w:t xml:space="preserve">  "common_topics": ["Probability","Statistical Inference","Hypothesis Testing","Bayesian Methods","Regression"],</w:t>
      </w:r>
    </w:p>
    <w:p>
      <w:pPr>
        <w:keepNext/>
        <w:spacing w:after="0" w:line="220"/>
      </w:pPr>
      <w:r>
        <w:rPr>
          <w:rFonts w:ascii="Consolas" w:cs="Consolas" w:eastAsia="Consolas" w:hAnsi="Consolas"/>
          <w:sz w:val="15"/>
          <w:szCs w:val="15"/>
        </w:rPr>
        <w:t xml:space="preserve">  "unique_to_a": ["Classification","Algorithms &amp; Complexity","Programming Tools (Python/R/Julia/MATLAB)"],</w:t>
      </w:r>
    </w:p>
    <w:p>
      <w:pPr>
        <w:keepNext/>
        <w:spacing w:after="0" w:line="220"/>
      </w:pPr>
      <w:r>
        <w:rPr>
          <w:rFonts w:ascii="Consolas" w:cs="Consolas" w:eastAsia="Consolas" w:hAnsi="Consolas"/>
          <w:sz w:val="15"/>
          <w:szCs w:val="15"/>
        </w:rPr>
        <w:t xml:space="preserve">  "unique_to_b": ["Calculus &amp; Differential Equations"],</w:t>
      </w:r>
    </w:p>
    <w:p>
      <w:pPr>
        <w:keepNext/>
        <w:spacing w:after="0" w:line="220"/>
      </w:pPr>
      <w:r>
        <w:rPr>
          <w:rFonts w:ascii="Consolas" w:cs="Consolas" w:eastAsia="Consolas" w:hAnsi="Consolas"/>
          <w:sz w:val="15"/>
          <w:szCs w:val="15"/>
        </w:rPr>
        <w:t xml:space="preserve">  "missing_prerequisites": [{"course":"Statistics for Applications","assumes":"Calculus &amp; Differential Equations","not_taught_in":"Statistics for Applications"}]</w:t>
      </w:r>
    </w:p>
    <w:p>
      <w:pPr>
        <w:keepNext w:val="false"/>
        <w:spacing w:after="0" w:line="220"/>
      </w:pPr>
      <w:r>
        <w:rPr>
          <w:rFonts w:ascii="Consolas" w:cs="Consolas" w:eastAsia="Consolas" w:hAnsi="Consolas"/>
          <w:sz w:val="15"/>
          <w:szCs w:val="15"/>
        </w:rPr>
        <w:t xml:space="preserve">}</w:t>
      </w:r>
    </w:p>
    <w:p>
      <w:pPr>
        <w:keepNext/>
        <w:pBdr>
          <w:bottom w:val="single" w:color="BFBFBF" w:sz="4" w:space="2"/>
        </w:pBdr>
        <w:spacing w:after="80" w:before="220"/>
      </w:pPr>
      <w:r>
        <w:rPr>
          <w:rFonts w:ascii="Calibri" w:cs="Calibri" w:eastAsia="Calibri" w:hAnsi="Calibri"/>
          <w:b/>
          <w:bCs/>
          <w:color w:val="1F3864"/>
          <w:sz w:val="24"/>
          <w:szCs w:val="24"/>
        </w:rPr>
        <w:t xml:space="preserve">Observations</w:t>
      </w:r>
    </w:p>
    <w:p>
      <w:pPr>
        <w:pStyle w:val="ListParagraph"/>
        <w:numPr>
          <w:ilvl w:val="0"/>
          <w:numId w:val="2"/>
        </w:numPr>
        <w:spacing w:after="30" w:line="256"/>
      </w:pPr>
      <w:r>
        <w:rPr>
          <w:rFonts w:ascii="Calibri" w:cs="Calibri" w:eastAsia="Calibri" w:hAnsi="Calibri"/>
          <w:sz w:val="19"/>
          <w:szCs w:val="19"/>
        </w:rPr>
        <w:t xml:space="preserve">TF-IDF beats plain word overlap on every ranking metric (ρ 0.446 vs 0.396, AP 0.351 vs 0.323). An ROC-AUC of 0.826 means overlapping pairs are usually ranked above non-overlapping ones, but precision at the threshold is low (0.233).</w:t>
      </w:r>
    </w:p>
    <w:p>
      <w:pPr>
        <w:pStyle w:val="ListParagraph"/>
        <w:numPr>
          <w:ilvl w:val="0"/>
          <w:numId w:val="2"/>
        </w:numPr>
        <w:spacing w:after="30" w:line="256"/>
      </w:pPr>
      <w:r>
        <w:rPr>
          <w:rFonts w:ascii="Calibri" w:cs="Calibri" w:eastAsia="Calibri" w:hAnsi="Calibri"/>
          <w:sz w:val="19"/>
          <w:szCs w:val="19"/>
        </w:rPr>
        <w:t xml:space="preserve">The low precision against silver labels is mostly label noise. On the gold pairs TF-IDF tracks the gold labels better than the silver labels do (ρ 0.636 vs 0.611), every pair it flags is a real overlap (precision 1.000), and the silver labels themselves reach only 0.769 precision. Examples: 1.017 Computing and Data Analysis vs 6.436J Fundamentals of Probability overlap but get silver score 0.10, while 6.006 Introduction to Algorithms vs 6.438 Algorithms for Inference share OCW tags (silver 0.40) but not content.</w:t>
      </w:r>
    </w:p>
    <w:p>
      <w:pPr>
        <w:pStyle w:val="ListParagraph"/>
        <w:numPr>
          <w:ilvl w:val="0"/>
          <w:numId w:val="2"/>
        </w:numPr>
        <w:spacing w:after="30" w:line="256"/>
      </w:pPr>
      <w:r>
        <w:rPr>
          <w:rFonts w:ascii="Calibri" w:cs="Calibri" w:eastAsia="Calibri" w:hAnsi="Calibri"/>
          <w:sz w:val="19"/>
          <w:szCs w:val="19"/>
        </w:rPr>
        <w:t xml:space="preserve">The threshold learned from silver labels (0.20) is too strict: TF-IDF finds only 6 of 19 gold overlaps (recall 0.316). The gold set is small, stratified and labelled by one LLM annotator, so these numbers are indicative.</w:t>
      </w:r>
    </w:p>
    <w:p>
      <w:pPr>
        <w:pStyle w:val="ListParagraph"/>
        <w:numPr>
          <w:ilvl w:val="0"/>
          <w:numId w:val="2"/>
        </w:numPr>
        <w:spacing w:after="30" w:line="256"/>
      </w:pPr>
      <w:r>
        <w:rPr>
          <w:rFonts w:ascii="Calibri" w:cs="Calibri" w:eastAsia="Calibri" w:hAnsi="Calibri"/>
          <w:sz w:val="19"/>
          <w:szCs w:val="19"/>
        </w:rPr>
        <w:t xml:space="preserve">Short documents are the main failure case. 6.036 Introduction to Machine Learning has no syllabus page on OCW (description only), so its pair with 15.773 Hands-On Deep Learning, the proposal’s own example, scores only 9%.</w:t>
      </w:r>
    </w:p>
    <w:p>
      <w:pPr>
        <w:pStyle w:val="ListParagraph"/>
        <w:numPr>
          <w:ilvl w:val="0"/>
          <w:numId w:val="2"/>
        </w:numPr>
        <w:spacing w:after="30" w:line="256"/>
      </w:pPr>
      <w:r>
        <w:rPr>
          <w:rFonts w:ascii="Calibri" w:cs="Calibri" w:eastAsia="Calibri" w:hAnsi="Calibri"/>
          <w:sz w:val="19"/>
          <w:szCs w:val="19"/>
        </w:rPr>
        <w:t xml:space="preserve">The classifier works for frequent labels (Probability and Statistics F1 0.903, Computer Science 0.769, Artificial Intelligence 0.667) and fails on labels with few or vague training examples (Data Mining, Econometrics, Economics, Systems Engineering: F1 0).</w:t>
      </w:r>
    </w:p>
    <w:p>
      <w:pPr>
        <w:pStyle w:val="ListParagraph"/>
        <w:numPr>
          <w:ilvl w:val="0"/>
          <w:numId w:val="2"/>
        </w:numPr>
        <w:spacing w:after="30" w:line="256"/>
      </w:pPr>
      <w:r>
        <w:rPr>
          <w:rFonts w:ascii="Calibri" w:cs="Calibri" w:eastAsia="Calibri" w:hAnsi="Calibri"/>
          <w:sz w:val="19"/>
          <w:szCs w:val="19"/>
        </w:rPr>
        <w:t xml:space="preserve">The lexicon is literal. It misses paraphrases and over-flags: for example, it reports a “Calculus” prerequisite gap between two offerings of the same statistics course. Explicit learning-outcome statements are rare on OCW (18/87), so Bloom’s mapping will need the LLM pass or our own NMIMS course files, which list course outcomes.</w:t>
      </w:r>
    </w:p>
    <w:p>
      <w:pPr>
        <w:keepNext/>
        <w:pBdr>
          <w:bottom w:val="single" w:color="BFBFBF" w:sz="4" w:space="2"/>
        </w:pBdr>
        <w:spacing w:after="80" w:before="220"/>
      </w:pPr>
      <w:r>
        <w:rPr>
          <w:rFonts w:ascii="Calibri" w:cs="Calibri" w:eastAsia="Calibri" w:hAnsi="Calibri"/>
          <w:b/>
          <w:bCs/>
          <w:color w:val="1F3864"/>
          <w:sz w:val="24"/>
          <w:szCs w:val="24"/>
        </w:rPr>
        <w:t xml:space="preserve">Next Steps (Week 3)</w:t>
      </w:r>
    </w:p>
    <w:p>
      <w:pPr>
        <w:pStyle w:val="ListParagraph"/>
        <w:numPr>
          <w:ilvl w:val="0"/>
          <w:numId w:val="2"/>
        </w:numPr>
        <w:spacing w:after="30" w:line="256"/>
      </w:pPr>
      <w:r>
        <w:rPr>
          <w:rFonts w:ascii="Calibri" w:cs="Calibri" w:eastAsia="Calibri" w:hAnsi="Calibri"/>
          <w:sz w:val="19"/>
          <w:szCs w:val="19"/>
        </w:rPr>
        <w:t xml:space="preserve">Re-tune the overlap threshold on the gold labels instead of the silver ones, and extend the gold set to pairs that involve the new model’s errors.</w:t>
      </w:r>
    </w:p>
    <w:p>
      <w:pPr>
        <w:pStyle w:val="ListParagraph"/>
        <w:numPr>
          <w:ilvl w:val="0"/>
          <w:numId w:val="2"/>
        </w:numPr>
        <w:spacing w:after="30" w:line="256"/>
      </w:pPr>
      <w:r>
        <w:rPr>
          <w:rFonts w:ascii="Calibri" w:cs="Calibri" w:eastAsia="Calibri" w:hAnsi="Calibri"/>
          <w:sz w:val="19"/>
          <w:szCs w:val="19"/>
        </w:rPr>
        <w:t xml:space="preserve">Add our own NMIMS/Teams course handbooks to data/raw/local.</w:t>
      </w:r>
    </w:p>
    <w:p>
      <w:pPr>
        <w:pStyle w:val="ListParagraph"/>
        <w:numPr>
          <w:ilvl w:val="0"/>
          <w:numId w:val="2"/>
        </w:numPr>
        <w:spacing w:after="30" w:line="256"/>
      </w:pPr>
      <w:r>
        <w:rPr>
          <w:rFonts w:ascii="Calibri" w:cs="Calibri" w:eastAsia="Calibri" w:hAnsi="Calibri"/>
          <w:sz w:val="19"/>
          <w:szCs w:val="19"/>
        </w:rPr>
        <w:t xml:space="preserve">Improved model: sentence-transformer embeddings at section and lecture-topic level, and BERTopic topics replacing the hand-written lexicon, compared with this baseline on the same split and metrics.</w:t>
      </w:r>
    </w:p>
    <w:p>
      <w:pPr>
        <w:pStyle w:val="ListParagraph"/>
        <w:numPr>
          <w:ilvl w:val="0"/>
          <w:numId w:val="2"/>
        </w:numPr>
        <w:spacing w:after="30" w:line="256"/>
      </w:pPr>
      <w:r>
        <w:rPr>
          <w:rFonts w:ascii="Calibri" w:cs="Calibri" w:eastAsia="Calibri" w:hAnsi="Calibri"/>
          <w:sz w:val="19"/>
          <w:szCs w:val="19"/>
        </w:rPr>
        <w:t xml:space="preserve">LLM-assisted prerequisite and outcome extraction, then the POST /compare-curricula and /map-outcomes API.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e090b38f463cdd3ddeb453abcc963ca02c1898a.png"/><Relationship Id="rId8" Type="http://schemas.openxmlformats.org/officeDocument/2006/relationships/image" Target="media/d3a937c3cafcb79b9e2430005ec095865219ade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2026-09-29T21:17:07.326Z</dcterms:created>
  <dcterms:modified xsi:type="dcterms:W3CDTF">2026-09-29T21:17:07.327Z</dcterms:modified>
</cp:coreProperties>
</file>

<file path=docProps/custom.xml><?xml version="1.0" encoding="utf-8"?>
<Properties xmlns="http://schemas.openxmlformats.org/officeDocument/2006/custom-properties" xmlns:vt="http://schemas.openxmlformats.org/officeDocument/2006/docPropsVTypes"/>
</file>