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Curriculum Intelligence Engine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Week 3 – Core NLP Model (Pipeline v1)  |  AI University NLP Course Project 2026</w:t>
      </w:r>
    </w:p>
    <w:p>
      <w:pPr>
        <w:pBdr>
          <w:bottom w:val="single" w:color="1F3864" w:sz="6" w:space="4"/>
        </w:pBdr>
        <w:spacing w:after="16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Group 9  ·  Roll Nos: J048, J049, J050, J052, J053  ·  Code: github.com/jainamsethia/Curriculum-Intelligence-Engine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Week 3 Goal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 the primary NLP component as Version 1 of the pipeline. Given two course syllabi it returns a structured comparison (JSON): overlap score with a confidence, common and unique topics, a redundancy flag, a prerequisite check, and the Bloom’s-taxonomy level of every learning outcome. It runs from the command line on dataset courses or on PDF/DOCX/TXT syllabi (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python src/pipeline.py compare --a … --b …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Dataset (NMIMS)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our college’s B.Tech syllabus archive (zip, 9,359 PDFs, 16 GB; years 1–4, all branches). About 6,900 files are past exam papers (by file name), and 94% of all PDFs are scanned images. No OCR is set up, so all exam papers and most pre-2020 syllabi cannot be read yet.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Used: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531 readable (text-layer) PDFs, mainly semester syllabus booklets (academic years 2020-21 to 2026-27), holding 3,928 course blocks. After removing 1,511 exact duplicates (one syllabus re-used by several programmes) this leaves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2,366 course versions of 655 distinct courses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(472 with two or more versions),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14,747 units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8,650 learning outcomes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546 of which carry the faculty’s own Bloom tag (K1–K6 / L1–L6).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2’s MIT OpenCourseWare set is kept only as a continuity check. Raw PDFs are not published; the repository holds the parsed dataset.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Information Extraction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rule-based parser for the NMIMS syllabus template turns each course block into: name, code, programme, semester, academic year, prerequisites, objectives, outcomes (with K/L tags), numbered units with hours, and books. Page headers and footers are detected per booklet (repeated numbered lines) and removed.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Quality was audited three times by independent LLM auditors who compared the raw PDF text with the parsed record, field by field, on a fresh random sample each time. Fixes were general, not per record. Results are in Table 1.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Pipeline v1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Embeddings: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sentence-transformers all-MiniLM-L6-v2. A course is the mean of its chunk embeddings (objectives, each outcome, each unit), which avoids truncating a long syllabus to the encoder’s 256-token window.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Overlap and topics: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every unit of A is matched to its closest unit of B and vice versa. A match counts when cosine ≥ 0.72 (the 99th percentile of the best match between two different courses of the same department, so the false-match rate is about 1%). The overlap score is the F-measure of matched units. Matched pairs are the common topics; unmatched units are the unique topics.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Confidence: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logistic regression on four signals (TF-IDF cosine, document cosine, unit overlap, soft coverage), fitted on the 113 gold pairs. It gives the probability that a curriculum reviewer would call the pair overlapping; ≥ 0.8 raises the redundancy warning.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Prerequisites: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prerequisite text is split into phrases and each phrase is matched to a catalogue course (name and content embeddings, similarity ≥ 0.75). Unmatched phrases that the other course does not teach are reported as missing; matched prerequisites scheduled in the same or a later semester of the same programme raise a sequencing warning.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Bloom’s taxonomy: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action verb of each outcome is looked up (hand-written Bloom verb list and a verb → level map learned from faculty tags, in the order that cross-validates best on training courses); outcomes without a known verb go to a logistic regression on the sentence embedding.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Topic map: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k-means on unit embeddings with class-based TF-IDF names, to see which topics grow or shrink over the academic years.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Evaluation Setup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Courses are split by name (458 train / 197 test), so two versions of a course never straddle the split. TF-IDF, the unit threshold and the Bloom classifier are fitted on train courses only; test outcomes whose text appears in training are removed. For the similarity tasks the baseline is Week 2’s TF-IDF cosine.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Label provenance: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gold overlap labels and the prerequisite audit come from LLM panels (not humans); Bloom ground truth is the faculty’s printed K/L tag.</w:t>
            </w:r>
          </w:p>
        </w:tc>
      </w:tr>
    </w:tbl>
    <w:p>
      <w:pPr>
        <w:keepNext/>
        <w:pBdr>
          <w:bottom w:val="single" w:color="BFBFBF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Results</w:t>
      </w:r>
    </w:p>
    <w:p>
      <w:pPr>
        <w:keepNext/>
        <w:spacing w:after="5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1. Extraction audit</w:t>
      </w:r>
      <w:r>
        <w:rPr>
          <w:rFonts w:ascii="Calibri" w:cs="Calibri" w:eastAsia="Calibri" w:hAnsi="Calibri"/>
          <w:sz w:val="19"/>
          <w:szCs w:val="19"/>
        </w:rPr>
        <w:t xml:space="preserve"> (fully correct / cosmetic only / wrong; first parser on 48 records, final parser on 45 fresh records)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Field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First parser (n=48)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Final parser (n=45)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Course name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 / 1 / 1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/ 0 / 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Course code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/ 4 / 44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/ 0 / 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Semester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/ 1 / 2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 / 0 / 1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 / 1 / 1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 / 1 / 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Objectives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/ 2 / 1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 / 4 / 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Learning outcomes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 / 0 / 7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 / 1 / 1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Units (topics)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/ 9 / 30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 / 14 / 5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 / reference books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 / 5 / 19</w:t>
            </w:r>
          </w:p>
        </w:tc>
        <w:tc>
          <w:tcPr>
            <w:tcW w:type="dxa" w:w="3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 / 4 / 1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The first audit found systematic bugs (a table-header fragment glued to every course code, footers inside unit text, marks tables absorbed into the book list); all were fixed generally. What is left for units is mostly cosmetic titles and 5 records with merged units. Hours of multi-row units keep only the first duration.</w:t>
      </w:r>
    </w:p>
    <w:p>
      <w:pPr>
        <w:keepNext/>
        <w:spacing w:after="5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2. Same-course retrieval</w:t>
      </w:r>
      <w:r>
        <w:rPr>
          <w:rFonts w:ascii="Calibri" w:cs="Calibri" w:eastAsia="Calibri" w:hAnsi="Calibri"/>
          <w:sz w:val="19"/>
          <w:szCs w:val="19"/>
        </w:rPr>
        <w:t xml:space="preserve"> (222 test queries; title, code and prerequisites hidden; the other versions of the same course must be ranked first)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1000"/>
        <w:gridCol w:w="1000"/>
        <w:gridCol w:w="900"/>
        <w:gridCol w:w="288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MRR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Recall@1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Recall@5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MAP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Recall@1, heavily revised (n=25)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cosine (Week 2 baseline)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0.927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0.883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Embedding, truncated concatenation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0.878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0.868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Embedding, mean of chunks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0.887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Unit alignment, soft coverage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0.871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Unit alignment, overlap fraction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0.851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0.36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Embeddings and TF-IDF are tied. Re-used and lightly edited syllabi share most of their words, so plain word overlap is already strong.</w:t>
      </w:r>
    </w:p>
    <w:p>
      <w:pPr>
        <w:keepNext/>
        <w:spacing w:after="5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3. Unit alignment between two versions of a course</w:t>
      </w:r>
      <w:r>
        <w:rPr>
          <w:rFonts w:ascii="Calibri" w:cs="Calibri" w:eastAsia="Calibri" w:hAnsi="Calibri"/>
          <w:sz w:val="19"/>
          <w:szCs w:val="19"/>
        </w:rPr>
        <w:t xml:space="preserve"> (733 units with the same title; matching uses the unit description only, title removed)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680"/>
        <w:gridCol w:w="20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Top-1, all units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Top-1, units whose text was revised (n=199)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MRR, revised units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0.986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0.973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0.995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0.980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0.987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On revised units the embeddings were right where TF-IDF was wrong in 6 units and wrong where TF-IDF was right in 0 (exact McNemar p = 0.031). This is the one place where the embeddings clearly help, and it is what powers the common/unique topic lists.</w:t>
      </w:r>
    </w:p>
    <w:p>
      <w:pPr>
        <w:keepNext/>
        <w:spacing w:after="5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4. Overlap on the gold pairs</w:t>
      </w:r>
      <w:r>
        <w:rPr>
          <w:rFonts w:ascii="Calibri" w:cs="Calibri" w:eastAsia="Calibri" w:hAnsi="Calibri"/>
          <w:sz w:val="19"/>
          <w:szCs w:val="19"/>
        </w:rPr>
        <w:t xml:space="preserve"> (113 distinct-course pairs: 68 none, 2 partial, 43 substantial)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1000"/>
        <w:gridCol w:w="10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Spearman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ROC-AUC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Avg. precision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Precision@0.5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Recall@0.5</w:t>
            </w:r>
          </w:p>
        </w:tc>
      </w:tr>
      <w:tr>
        <w:trPr>
          <w:cantSplit/>
          <w:tblHeader w:val="false"/>
        </w:trPr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cosine (Week 2 baseline)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Embedding doc cosine (mean of chunks)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Unit alignment, soft coverage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Unit alignment, overlap fraction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Calibrated, embedding features only (5-fold CV)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</w:tr>
      <w:tr>
        <w:trPr>
          <w:cantSplit/>
          <w:tblHeader w:val="false"/>
        </w:trPr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Calibrated, TF-IDF + embedding features (5-fold CV)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1.000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Every method separates the classes perfectly, so this set cannot rank them: it mostly contains renamed or re-used courses against unrelated ones, and only 2 pairs are partial overlaps. The three LLM annotators agreed on 98% of pairs (weighted kappa 0.981, 0.991, 0.991), which shows consistency, not independence. On Week 2’s 41 MIT gold pairs TF-IDF also stays ahead (Spearman 0.64 vs 0.60).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6096000" cy="2114550"/>
            <wp:effectExtent t="0" r="0" b="0" l="0"/>
            <wp:docPr id="1" name="fig_gold_scores.png" descr="fig_gold_scores.png" title="fig_gold_sc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Scores of the gold pairs by label. Embedding cosine gives unrelated courses a high floor (up to 0.53); TF-IDF keeps them near 0.0, a wider gap to the overlapping courses.</w:t>
      </w:r>
    </w:p>
    <w:p>
      <w:pPr>
        <w:keepNext/>
        <w:spacing w:after="5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5. Bloom’s taxonomy of outcomes</w:t>
      </w:r>
      <w:r>
        <w:rPr>
          <w:rFonts w:ascii="Calibri" w:cs="Calibri" w:eastAsia="Calibri" w:hAnsi="Calibri"/>
          <w:sz w:val="19"/>
          <w:szCs w:val="19"/>
        </w:rPr>
        <w:t xml:space="preserve"> (98 held-out outcomes with a single faculty tag; accuracy with 95% bootstrap interval)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400"/>
        <w:gridCol w:w="1500"/>
        <w:gridCol w:w="150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Accuracy [95% CI]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Within ±1 level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Macro-F1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Majority class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0.41 [0.32–0.50]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Hand-written verb lexicon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0.70 [0.61–0.80]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Learned verb map only (train majority level per verb)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0.62 [0.52–0.72]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0.54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+ logistic regression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0.63 [0.54–0.72]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Embedding + logistic regression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0.51 [0.41–0.61]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0.42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Pipeline v1 (verb look-ups, embedding fallback)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0.69 [0.60–0.79]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0.81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0.64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The pipeline’s look-up order was chosen by cross-validation on training courses (the two look-ups tied: 119 vs 118 correct), so on test data it behaves like the verb list plus an embedding fallback for the 5 outcomes without a known verb. The learned models did not beat the hand-written verb list; with 98 test outcomes the differences are within noise.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2857500" cy="2505075"/>
            <wp:effectExtent t="0" r="0" b="0" l="0"/>
            <wp:docPr id="1" name="fig_bloom_confusion.png" descr="fig_bloom_confusion.png" title="fig_bloom_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Confusion matrix (rows: faculty tag; columns: pipeline). Of 30 errors, 11 are one level off, 10 two levels and 9 three. The largest confusion is Apply predicted as Create (6 outcomes), mostly “develop”, “construct” and “design”, verbs the faculty tag K3–K4 about as often as K6.</w:t>
      </w:r>
    </w:p>
    <w:p>
      <w:pPr>
        <w:keepNext/>
        <w:spacing w:after="5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6. Prerequisite matching</w:t>
      </w:r>
      <w:r>
        <w:rPr>
          <w:rFonts w:ascii="Calibri" w:cs="Calibri" w:eastAsia="Calibri" w:hAnsi="Calibri"/>
          <w:sz w:val="19"/>
          <w:szCs w:val="19"/>
        </w:rPr>
        <w:t xml:space="preserve"> (audit of 88 matches by two LLM graders; “correct or acceptable”)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80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Similarity of the match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Matches audited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Correct or acceptable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0-0.6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14%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0.6-0.75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65%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0.75-0.9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79%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0.9-1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≥ 0.75 (used by the pipeline)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54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87%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The threshold was chosen from this audit, so 87% is optimistic. Errors are near-name confusions (“Engineering Mathematics – I” matched to “– III”, “Electrical Machines” to “Theory of Machines”). Over all courses: 3,683 prerequisite phrases from 1,727 courses; 2,742 matched to a catalogue course; 77 of 877 schedule-checkable matches were flagged as sequencing warnings (not verified).</w:t>
      </w:r>
    </w:p>
    <w:p>
      <w:pPr>
        <w:keepNext/>
        <w:pBdr>
          <w:bottom w:val="single" w:color="BFBFBF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Example Output</w:t>
      </w:r>
    </w:p>
    <w:p>
      <w:pPr>
        <w:spacing w:after="60" w:line="264"/>
      </w:pPr>
      <w:r>
        <w:rPr>
          <w:rFonts w:ascii="Calibri" w:cs="Calibri" w:eastAsia="Calibri" w:hAnsi="Calibri"/>
          <w:sz w:val="19"/>
          <w:szCs w:val="19"/>
        </w:rPr>
        <w:t xml:space="preserve">Pipeline v1 on two versions of Probability and Statistics (2021-22, B Tech Computer Science and Engineering (Cybersecurity) vs 2025-26, B Tech /MBA Tech (Except Data Science)). The full JSON, with two more comparisons, outcome mapping and search, is in results/example_reports_v1.json.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"course_a": "Probability and Statistics (2021-22, B Tech Computer Science and Eng...)",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"course_b": "Probability and Statistics (2025-26, B Tech /MBA Tech (Except Data S...)",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"overlap": {"percent":"100%","confidence":0.999,"redundancy_warning":true},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"similarity": {"tfidf_cosine":0.978,"doc_cosine":0.993,"unit_overlap":1,"soft_coverage":0.986},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"common_topics": [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"Basic Probability &lt;-&gt; Basic Probability (1)",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"Basic Statistics &lt;-&gt; Basic Statistics (1)",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"Bivariate Distributions &lt;-&gt; Bivariate Distributions (0.999)"],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"unique_to_a": [], "unique_to_b": [],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"prerequisites_b": [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{"phrase":"algebra","resolved_course":null,"similarity":0.591},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{"phrase":"calculus","resolved_course":"Calculus","similarity":1}],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"outcome_bloom_b": [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{"outcome":"Understand the basic concepts of probabilit...","level":"Understand","confidence":0.5,"faculty_tag":[2]},</w:t>
      </w:r>
    </w:p>
    <w:p>
      <w:pPr>
        <w:keepNext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{"outcome":"Solve problems involving random variables, ...","level":"Apply","confidence":0.5,"faculty_tag":[3]}]</w:t>
      </w:r>
    </w:p>
    <w:p>
      <w:pPr>
        <w:keepNext w:val="false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pBdr>
          <w:bottom w:val="single" w:color="BFBFBF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Topic Trends (computing programmes)</w:t>
      </w:r>
    </w:p>
    <w:p>
      <w:pPr>
        <w:spacing w:after="60" w:line="264"/>
      </w:pPr>
      <w:r>
        <w:rPr>
          <w:rFonts w:ascii="Calibri" w:cs="Calibri" w:eastAsia="Calibri" w:hAnsi="Calibri"/>
          <w:sz w:val="19"/>
          <w:szCs w:val="19"/>
        </w:rPr>
        <w:t xml:space="preserve">6,776 units of computing programmes were clustered into 40 topics; the chart compares the share of units in 2021-22/2022-23 with 2025-26/2026-27.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Growing:</w:t>
      </w:r>
      <w:r>
        <w:rPr>
          <w:rFonts w:ascii="Calibri" w:cs="Calibri" w:eastAsia="Calibri" w:hAnsi="Calibri"/>
          <w:sz w:val="19"/>
          <w:szCs w:val="19"/>
        </w:rPr>
        <w:t xml:space="preserve"> neural, deep, neural networks; learning, trees, machine; search, agents, evolutionary; clustering, mining, data mining; text, language, word; cloud, cloud computing, virtualization.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Shrinking:</w:t>
      </w:r>
      <w:r>
        <w:rPr>
          <w:rFonts w:ascii="Calibri" w:cs="Calibri" w:eastAsia="Calibri" w:hAnsi="Calibri"/>
          <w:sz w:val="19"/>
          <w:szCs w:val="19"/>
        </w:rPr>
        <w:t xml:space="preserve"> regular, languages, automata; communication, diversity, culture; demand, curve, supply; blockchain, policy, india; planning, project, cost. K-means clusters shift a little between runs and the archive is not a controlled sample, so read individual clusters as indicative; the themes that appeared in every run were growth in deep learning and neural networks, cloud and security, and decline in management, finance/economics and project-planning material.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5334000" cy="3019425"/>
            <wp:effectExtent t="0" r="0" b="0" l="0"/>
            <wp:docPr id="1" name="fig_topic_trends.png" descr="fig_topic_trends.png" title="fig_topic_tre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Change in share of syllabus units between the early and late periods.</w:t>
      </w:r>
    </w:p>
    <w:p>
      <w:pPr>
        <w:keepNext/>
        <w:pBdr>
          <w:bottom w:val="single" w:color="BFBFBF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Findings and Limitations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Embeddings did not beat the TF-IDF baseline at ranking or detecting overlapping courses</w:t>
      </w:r>
      <w:r>
        <w:rPr>
          <w:rFonts w:ascii="Calibri" w:cs="Calibri" w:eastAsia="Calibri" w:hAnsi="Calibri"/>
          <w:sz w:val="19"/>
          <w:szCs w:val="19"/>
        </w:rPr>
        <w:t xml:space="preserve"> (Tables 2 and 4, and the MIT check). NMIMS syllabi are templated and share vocabulary, so TF-IDF is strong. Embeddings help at the unit level (Table 3), which is what makes the report explainable: which topics are common and which are unique.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sz w:val="19"/>
          <w:szCs w:val="19"/>
        </w:rPr>
        <w:t xml:space="preserve">The gold set is too easy and is labelled by LLMs; partial overlap is essentially untested. Human annotation of harder pairs is needed before claiming more.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sz w:val="19"/>
          <w:szCs w:val="19"/>
        </w:rPr>
        <w:t xml:space="preserve">Bloom’s mapping rests mainly on the action verb; 98 test outcomes give wide intervals. Only 6% of outcomes carry a faculty tag.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sz w:val="19"/>
          <w:szCs w:val="19"/>
        </w:rPr>
        <w:t xml:space="preserve">The parser is specific to the NMIMS template; other formats fall back to paragraphs (no prerequisites or outcomes). Scanned PDFs are not read.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sz w:val="19"/>
          <w:szCs w:val="19"/>
        </w:rPr>
        <w:t xml:space="preserve">The overlap percentage is the share of matched units at a fixed threshold, not a human-scale rating; the confidence value is the calibrated probability of overlap.</w:t>
      </w:r>
    </w:p>
    <w:p>
      <w:pPr>
        <w:keepNext/>
        <w:pBdr>
          <w:bottom w:val="single" w:color="BFBFBF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Next Steps (Week 4)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sz w:val="19"/>
          <w:szCs w:val="19"/>
        </w:rPr>
        <w:t xml:space="preserve">Expose POST /compare-curricula and POST /map-outcomes as an API with a small UI.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sz w:val="19"/>
          <w:szCs w:val="19"/>
        </w:rPr>
        <w:t xml:space="preserve">Build a harder, human-annotated set with partial overlaps; compare NMIMS with MIT OCW courses, where vocabulary differs and embeddings should matter more.</w:t>
      </w:r>
    </w:p>
    <w:p>
      <w:pPr>
        <w:pStyle w:val="ListParagraph"/>
        <w:numPr>
          <w:ilvl w:val="0"/>
          <w:numId w:val="2"/>
        </w:numPr>
        <w:spacing w:after="30" w:line="256"/>
      </w:pPr>
      <w:r>
        <w:rPr>
          <w:rFonts w:ascii="Calibri" w:cs="Calibri" w:eastAsia="Calibri" w:hAnsi="Calibri"/>
          <w:sz w:val="19"/>
          <w:szCs w:val="19"/>
        </w:rPr>
        <w:t xml:space="preserve">Add OCR for scanned syllabi (pre-2020, remaining programmes) and an LLM-assisted pass for prerequisite and outcome mapping.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2242ac0bb93df97547df7b3419bdb21d51270f6.png"/><Relationship Id="rId8" Type="http://schemas.openxmlformats.org/officeDocument/2006/relationships/image" Target="media/48b6c65fdde547405c456ff35e163ddb8a190bf1.png"/><Relationship Id="rId9" Type="http://schemas.openxmlformats.org/officeDocument/2006/relationships/image" Target="media/7c3c93212914c0818dffbea7d2c8802ca095358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2026-09-29T21:17:07.064Z</dcterms:created>
  <dcterms:modified xsi:type="dcterms:W3CDTF">2026-09-29T21:17:07.064Z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