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Intelligence Engine — Week 2: Dataset &amp; Baseline (redo)</w:t>
      </w:r>
    </w:p>
    <w:p>
      <w:r>
        <w:rPr>
          <w:b w:val="0"/>
        </w:rPr>
        <w:t>Group 9  ·  Roll Nos: J048, J049, J050, J052, J053  ·  AI University NLP Course Project 2026  ·  redone 9 Oct 2026</w:t>
      </w:r>
    </w:p>
    <w:p>
      <w:pPr>
        <w:pStyle w:val="Heading1"/>
      </w:pPr>
      <w:r>
        <w:t>CODE</w:t>
      </w:r>
    </w:p>
    <w:p>
      <w:pPr>
        <w:spacing w:after="80"/>
        <w:shd w:val="clear" w:fill="F2F2F2"/>
      </w:pPr>
      <w:r>
        <w:rPr>
          <w:rFonts w:ascii="Consolas" w:hAnsi="Consolas"/>
          <w:sz w:val="14"/>
        </w:rPr>
        <w:t>Repository : https://github.com/jainamsethia/Curriculum-Intelligence-Engine</w:t>
        <w:br/>
        <w:t>Tag        : week-5-redo</w:t>
        <w:br/>
        <w:t>Commit     : 85f3791d2804d1fd1a55c371cd156e2121d902b7</w:t>
        <w:br/>
        <w:t>Run        : python -m curriculum_engine.run data &amp;&amp; python -m curriculum_engine.run week2     (NMIMS_ZIP=&lt;path to "B TECH.zip"&gt;)</w:t>
        <w:br/>
        <w:t>Tests      : python -m pytest -q</w:t>
        <w:br/>
        <w:t>Folders    :</w:t>
        <w:br/>
        <w:t>.gitignore</w:t>
        <w:br/>
        <w:t>README.md</w:t>
        <w:br/>
        <w:t>curriculum_engine/   the NLP engine (parser, data, overlap, redundancy, prerequisites, diff, Bloom, evaluation)</w:t>
        <w:br/>
        <w:t>labels/              LLM-annotated reference labels (ids + labels per pass + consensus)</w:t>
        <w:br/>
        <w:t>legacy/              old Week 3-4 scripts and reports (history only)</w:t>
        <w:br/>
        <w:t>legacy_mit/          old MIT OCW scripts (not used)</w:t>
        <w:br/>
        <w:t>reports/             report templates (numbers are placeholders)</w:t>
        <w:br/>
        <w:t>requirements.txt</w:t>
        <w:br/>
        <w:t>results/             metrics JSON + figures per week</w:t>
        <w:br/>
        <w:t>submissions/         per-week submission folders</w:t>
        <w:br/>
        <w:t>tests/               unit tests (pytest)</w:t>
        <w:br/>
        <w:t>tools/               report builder, report checker, submission packer</w:t>
      </w:r>
    </w:p>
    <w:p>
      <w:pPr>
        <w:pStyle w:val="Heading1"/>
      </w:pPr>
      <w:r>
        <w:t>Feedback addressed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Instructor comment</w:t>
            </w:r>
          </w:p>
        </w:tc>
        <w:tc>
          <w:tcPr>
            <w:tcW w:type="dxa" w:w="3289"/>
            <w:shd w:val="clear" w:color="auto" w:fill="D9E2F3"/>
          </w:tcPr>
          <w:p>
            <w:r/>
            <w:r>
              <w:rPr>
                <w:b/>
                <w:sz w:val="16"/>
              </w:rPr>
              <w:t>What we changed</w:t>
            </w:r>
          </w:p>
        </w:tc>
        <w:tc>
          <w:tcPr>
            <w:tcW w:type="dxa" w:w="3289"/>
            <w:shd w:val="clear" w:color="auto" w:fill="D9E2F3"/>
          </w:tcPr>
          <w:p>
            <w:r/>
            <w:r>
              <w:rPr>
                <w:b/>
                <w:sz w:val="16"/>
              </w:rPr>
              <w:t>Evidence</w:t>
            </w:r>
          </w:p>
        </w:tc>
      </w:tr>
      <w:tr>
        <w:tc>
          <w:tcPr>
            <w:tcW w:type="dxa" w:w="3289"/>
          </w:tcPr>
          <w:p>
            <w:r/>
            <w:r>
              <w:rPr>
                <w:b w:val="0"/>
                <w:sz w:val="16"/>
              </w:rPr>
              <w:t>"Please use the course catalog from your own college … not for MIT"</w:t>
            </w:r>
          </w:p>
        </w:tc>
        <w:tc>
          <w:tcPr>
            <w:tcW w:type="dxa" w:w="3289"/>
          </w:tcPr>
          <w:p>
            <w:r/>
            <w:r>
              <w:rPr>
                <w:b w:val="0"/>
                <w:sz w:val="16"/>
              </w:rPr>
              <w:t>The whole dataset is now NMIMS B.Tech semester syllabus booklets; MIT data is archived and unused.</w:t>
            </w:r>
          </w:p>
        </w:tc>
        <w:tc>
          <w:tcPr>
            <w:tcW w:type="dxa" w:w="3289"/>
          </w:tcPr>
          <w:p>
            <w:r/>
            <w:r>
              <w:rPr>
                <w:rFonts w:ascii="Consolas" w:hAnsi="Consolas"/>
                <w:sz w:val="16"/>
              </w:rPr>
              <w:t>curriculum_engine/parse.py</w:t>
            </w:r>
            <w:r>
              <w:rPr>
                <w:b w:val="0"/>
                <w:sz w:val="16"/>
              </w:rPr>
              <w:t xml:space="preserve">, </w:t>
            </w:r>
            <w:r>
              <w:rPr>
                <w:rFonts w:ascii="Consolas" w:hAnsi="Consolas"/>
                <w:sz w:val="16"/>
              </w:rPr>
              <w:t>results/dataset/</w:t>
            </w:r>
          </w:p>
        </w:tc>
      </w:tr>
      <w:tr>
        <w:tc>
          <w:tcPr>
            <w:tcW w:type="dxa" w:w="3289"/>
          </w:tcPr>
          <w:p>
            <w:r/>
            <w:r>
              <w:rPr>
                <w:b w:val="0"/>
                <w:sz w:val="16"/>
              </w:rPr>
              <w:t>(Week 4) "missing pre-requisites"</w:t>
            </w:r>
          </w:p>
        </w:tc>
        <w:tc>
          <w:tcPr>
            <w:tcW w:type="dxa" w:w="3289"/>
          </w:tcPr>
          <w:p>
            <w:r/>
            <w:r>
              <w:rPr>
                <w:b w:val="0"/>
                <w:sz w:val="16"/>
              </w:rPr>
              <w:t>Parser bug fixed: an empty prerequisite field swallowed the course objectives in 19 records. Programme structure built so prerequisites can be checked against earlier semesters.</w:t>
            </w:r>
          </w:p>
        </w:tc>
        <w:tc>
          <w:tcPr>
            <w:tcW w:type="dxa" w:w="3289"/>
          </w:tcPr>
          <w:p>
            <w:r/>
            <w:r>
              <w:rPr>
                <w:rFonts w:ascii="Consolas" w:hAnsi="Consolas"/>
                <w:sz w:val="16"/>
              </w:rPr>
              <w:t>tests/test_data.py</w:t>
            </w:r>
            <w:r>
              <w:rPr>
                <w:b w:val="0"/>
                <w:sz w:val="16"/>
              </w:rPr>
              <w:t xml:space="preserve">, </w:t>
            </w:r>
            <w:r>
              <w:rPr>
                <w:rFonts w:ascii="Consolas" w:hAnsi="Consolas"/>
                <w:sz w:val="16"/>
              </w:rPr>
              <w:t>curriculum_engine/data.py</w:t>
            </w:r>
          </w:p>
        </w:tc>
      </w:tr>
      <w:tr>
        <w:tc>
          <w:tcPr>
            <w:tcW w:type="dxa" w:w="3289"/>
          </w:tcPr>
          <w:p>
            <w:r/>
            <w:r>
              <w:rPr>
                <w:b w:val="0"/>
                <w:sz w:val="16"/>
              </w:rPr>
              <w:t>(Week 4) "Where is the code?"</w:t>
            </w:r>
          </w:p>
        </w:tc>
        <w:tc>
          <w:tcPr>
            <w:tcW w:type="dxa" w:w="3289"/>
          </w:tcPr>
          <w:p>
            <w:r/>
            <w:r>
              <w:rPr>
                <w:b w:val="0"/>
                <w:sz w:val="16"/>
              </w:rPr>
              <w:t>CODE block above, tagged commit, code zip, one command per step.</w:t>
            </w:r>
          </w:p>
        </w:tc>
        <w:tc>
          <w:tcPr>
            <w:tcW w:type="dxa" w:w="3289"/>
          </w:tcPr>
          <w:p>
            <w:r/>
            <w:r>
              <w:rPr>
                <w:rFonts w:ascii="Consolas" w:hAnsi="Consolas"/>
                <w:sz w:val="16"/>
              </w:rPr>
              <w:t>curriculum_engine/run.py</w:t>
            </w:r>
          </w:p>
        </w:tc>
      </w:tr>
    </w:tbl>
    <w:p>
      <w:pPr>
        <w:spacing w:after="40"/>
      </w:pPr>
    </w:p>
    <w:p>
      <w:pPr>
        <w:pStyle w:val="Heading1"/>
      </w:pPr>
      <w:r>
        <w:t>Progress vs previous week</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Item</w:t>
            </w:r>
          </w:p>
        </w:tc>
        <w:tc>
          <w:tcPr>
            <w:tcW w:type="dxa" w:w="3289"/>
            <w:shd w:val="clear" w:color="auto" w:fill="D9E2F3"/>
          </w:tcPr>
          <w:p>
            <w:r/>
            <w:r>
              <w:rPr>
                <w:b/>
                <w:sz w:val="16"/>
              </w:rPr>
              <w:t>Week 1 (proposal)</w:t>
            </w:r>
          </w:p>
        </w:tc>
        <w:tc>
          <w:tcPr>
            <w:tcW w:type="dxa" w:w="3289"/>
            <w:shd w:val="clear" w:color="auto" w:fill="D9E2F3"/>
          </w:tcPr>
          <w:p>
            <w:r/>
            <w:r>
              <w:rPr>
                <w:b/>
                <w:sz w:val="16"/>
              </w:rPr>
              <w:t>Week 2 (this report)</w:t>
            </w:r>
          </w:p>
        </w:tc>
      </w:tr>
      <w:tr>
        <w:tc>
          <w:tcPr>
            <w:tcW w:type="dxa" w:w="3289"/>
          </w:tcPr>
          <w:p>
            <w:r/>
            <w:r>
              <w:rPr>
                <w:b w:val="0"/>
                <w:sz w:val="16"/>
              </w:rPr>
              <w:t>Parsed NMIMS course versions</w:t>
            </w:r>
          </w:p>
        </w:tc>
        <w:tc>
          <w:tcPr>
            <w:tcW w:type="dxa" w:w="3289"/>
          </w:tcPr>
          <w:p>
            <w:r/>
            <w:r>
              <w:rPr>
                <w:b w:val="0"/>
                <w:sz w:val="16"/>
              </w:rPr>
              <w:t>planned</w:t>
            </w:r>
          </w:p>
        </w:tc>
        <w:tc>
          <w:tcPr>
            <w:tcW w:type="dxa" w:w="3289"/>
          </w:tcPr>
          <w:p>
            <w:r/>
            <w:r>
              <w:rPr>
                <w:b w:val="0"/>
                <w:sz w:val="16"/>
              </w:rPr>
              <w:t>2,366 in 645 course families, 13 programmes</w:t>
            </w:r>
          </w:p>
        </w:tc>
      </w:tr>
      <w:tr>
        <w:tc>
          <w:tcPr>
            <w:tcW w:type="dxa" w:w="3289"/>
          </w:tcPr>
          <w:p>
            <w:r/>
            <w:r>
              <w:rPr>
                <w:b w:val="0"/>
                <w:sz w:val="16"/>
              </w:rPr>
              <w:t>Train / validation / test families</w:t>
            </w:r>
          </w:p>
        </w:tc>
        <w:tc>
          <w:tcPr>
            <w:tcW w:type="dxa" w:w="3289"/>
          </w:tcPr>
          <w:p>
            <w:r/>
            <w:r>
              <w:rPr>
                <w:b w:val="0"/>
                <w:sz w:val="16"/>
              </w:rPr>
              <w:t>planned</w:t>
            </w:r>
          </w:p>
        </w:tc>
        <w:tc>
          <w:tcPr>
            <w:tcW w:type="dxa" w:w="3289"/>
          </w:tcPr>
          <w:p>
            <w:r/>
            <w:r>
              <w:rPr>
                <w:b w:val="0"/>
                <w:sz w:val="16"/>
              </w:rPr>
              <w:t>387 / 129 / 129</w:t>
            </w:r>
          </w:p>
        </w:tc>
      </w:tr>
      <w:tr>
        <w:tc>
          <w:tcPr>
            <w:tcW w:type="dxa" w:w="3289"/>
          </w:tcPr>
          <w:p>
            <w:r/>
            <w:r>
              <w:rPr>
                <w:b w:val="0"/>
                <w:sz w:val="16"/>
              </w:rPr>
              <w:t>Reference-labelled course pairs</w:t>
            </w:r>
          </w:p>
        </w:tc>
        <w:tc>
          <w:tcPr>
            <w:tcW w:type="dxa" w:w="3289"/>
          </w:tcPr>
          <w:p>
            <w:r/>
            <w:r>
              <w:rPr>
                <w:b w:val="0"/>
                <w:sz w:val="16"/>
              </w:rPr>
              <w:t>protocol only</w:t>
            </w:r>
          </w:p>
        </w:tc>
        <w:tc>
          <w:tcPr>
            <w:tcW w:type="dxa" w:w="3289"/>
          </w:tcPr>
          <w:p>
            <w:r/>
            <w:r>
              <w:rPr>
                <w:b w:val="0"/>
                <w:sz w:val="16"/>
              </w:rPr>
              <w:t>200 pairs, two LLM labellers + a third on disagreements</w:t>
            </w:r>
          </w:p>
        </w:tc>
      </w:tr>
      <w:tr>
        <w:tc>
          <w:tcPr>
            <w:tcW w:type="dxa" w:w="3289"/>
          </w:tcPr>
          <w:p>
            <w:r/>
            <w:r>
              <w:rPr>
                <w:b w:val="0"/>
                <w:sz w:val="16"/>
              </w:rPr>
              <w:t>Capabilities with a measured baseline</w:t>
            </w:r>
          </w:p>
        </w:tc>
        <w:tc>
          <w:tcPr>
            <w:tcW w:type="dxa" w:w="3289"/>
          </w:tcPr>
          <w:p>
            <w:r/>
            <w:r>
              <w:rPr>
                <w:b w:val="0"/>
                <w:sz w:val="16"/>
              </w:rPr>
              <w:t>none</w:t>
            </w:r>
          </w:p>
        </w:tc>
        <w:tc>
          <w:tcPr>
            <w:tcW w:type="dxa" w:w="3289"/>
          </w:tcPr>
          <w:p>
            <w:r/>
            <w:r>
              <w:rPr>
                <w:b w:val="0"/>
                <w:sz w:val="16"/>
              </w:rPr>
              <w:t>overlap, redundancy, prerequisites, curriculum diff, Bloom</w:t>
            </w:r>
          </w:p>
        </w:tc>
      </w:tr>
    </w:tbl>
    <w:p>
      <w:pPr>
        <w:spacing w:after="40"/>
      </w:pPr>
    </w:p>
    <w:p>
      <w:pPr>
        <w:pStyle w:val="Heading1"/>
      </w:pPr>
      <w:r>
        <w:t>1. Dataset: NMIMS semester syllabus booklets</w:t>
      </w:r>
    </w:p>
    <w:p>
      <w:pPr>
        <w:pStyle w:val="ListBullet"/>
      </w:pPr>
      <w:r>
        <w:rPr>
          <w:b/>
        </w:rPr>
        <w:t>Collection.</w:t>
      </w:r>
      <w:r>
        <w:rPr>
          <w:b w:val="0"/>
        </w:rPr>
        <w:t xml:space="preserve"> Our college's B.Tech archive (all years and branches). 2,413 non-exam PDFs are considered (past exam papers are not syllabi and are skipped). Coverage limitation: 531 of 2,413 PDFs have a text layer; 1,882 are scanned images and need OCR, which is future work.</w:t>
      </w:r>
    </w:p>
    <w:p>
      <w:pPr>
        <w:pStyle w:val="ListBullet"/>
      </w:pPr>
      <w:r>
        <w:rPr>
          <w:b/>
        </w:rPr>
        <w:t>Cleaning.</w:t>
      </w:r>
      <w:r>
        <w:rPr>
          <w:b w:val="0"/>
        </w:rPr>
        <w:t xml:space="preserve"> Repeated page headers and footers are detected per booklet and removed; 1,511 exact duplicate course blocks (the same syllabus printed in several programme booklets) are merged, keeping every source booklet; 46 blocks before 2020-21 or without a year are dropped. Grading, attendance and assessment tables are cut by the parser and are not modelled; no student data and no faculty names are present.</w:t>
      </w:r>
    </w:p>
    <w:p>
      <w:pPr>
        <w:pStyle w:val="ListBullet"/>
      </w:pPr>
      <w:r>
        <w:rPr>
          <w:b/>
        </w:rPr>
        <w:t>Schema (one record per course version).</w:t>
      </w:r>
      <w:r>
        <w:rPr>
          <w:b w:val="0"/>
        </w:rPr>
        <w:t xml:space="preserve"> Name, code, programme, semester, academic year, L/P/T hours, credits, prerequisite text, objectives, outcomes with the faculty's K/L Bloom tag, numbered units (title, text, hours), books, source booklets. Result: 2,366 course versions; 8,650 outcomes (546 with a faculty tag); 14,747 units.</w:t>
      </w:r>
    </w:p>
    <w:p>
      <w:pPr>
        <w:pStyle w:val="ListBullet"/>
      </w:pPr>
      <w:r>
        <w:rPr>
          <w:b/>
        </w:rPr>
        <w:t>Versions and families.</w:t>
      </w:r>
      <w:r>
        <w:rPr>
          <w:b w:val="0"/>
        </w:rPr>
        <w:t xml:space="preserve"> All versions of one course (same code or same normalised name) form a family: 645 families, 472 with two or more versions. Comparing versions is a separate version-change task, never mixed with cross-course overlap.</w:t>
      </w:r>
    </w:p>
    <w:p>
      <w:pPr>
        <w:pStyle w:val="ListBullet"/>
      </w:pPr>
      <w:r>
        <w:rPr>
          <w:b/>
        </w:rPr>
        <w:t>Programme structure.</w:t>
      </w:r>
      <w:r>
        <w:rPr>
          <w:b w:val="0"/>
        </w:rPr>
        <w:t xml:space="preserve"> Each version is placed in its programmes (from the booklet folders) and semester; 233 versions are common first-year or all-programme courses and count for every programme. Prerequisite checks skip programmes with too little parsed data.</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val="clear" w:color="auto" w:fill="D9E2F3"/>
          </w:tcPr>
          <w:p>
            <w:r/>
            <w:r>
              <w:rPr>
                <w:b/>
                <w:sz w:val="16"/>
              </w:rPr>
              <w:t>Programme</w:t>
            </w:r>
          </w:p>
        </w:tc>
        <w:tc>
          <w:tcPr>
            <w:tcW w:type="dxa" w:w="1973"/>
            <w:shd w:val="clear" w:color="auto" w:fill="D9E2F3"/>
          </w:tcPr>
          <w:p>
            <w:r/>
            <w:r>
              <w:rPr>
                <w:b/>
                <w:sz w:val="16"/>
              </w:rPr>
              <w:t>Versions</w:t>
            </w:r>
          </w:p>
        </w:tc>
        <w:tc>
          <w:tcPr>
            <w:tcW w:type="dxa" w:w="1973"/>
            <w:shd w:val="clear" w:color="auto" w:fill="D9E2F3"/>
          </w:tcPr>
          <w:p>
            <w:r/>
            <w:r>
              <w:rPr>
                <w:b/>
                <w:sz w:val="16"/>
              </w:rPr>
              <w:t>With prerequisite</w:t>
            </w:r>
          </w:p>
        </w:tc>
        <w:tc>
          <w:tcPr>
            <w:tcW w:type="dxa" w:w="1973"/>
            <w:shd w:val="clear" w:color="auto" w:fill="D9E2F3"/>
          </w:tcPr>
          <w:p>
            <w:r/>
            <w:r>
              <w:rPr>
                <w:b/>
                <w:sz w:val="16"/>
              </w:rPr>
              <w:t>With outcomes</w:t>
            </w:r>
          </w:p>
        </w:tc>
        <w:tc>
          <w:tcPr>
            <w:tcW w:type="dxa" w:w="1973"/>
            <w:shd w:val="clear" w:color="auto" w:fill="D9E2F3"/>
          </w:tcPr>
          <w:p>
            <w:r/>
            <w:r>
              <w:rPr>
                <w:b/>
                <w:sz w:val="16"/>
              </w:rPr>
              <w:t>Units / course</w:t>
            </w:r>
          </w:p>
        </w:tc>
      </w:tr>
      <w:tr>
        <w:tc>
          <w:tcPr>
            <w:tcW w:type="dxa" w:w="1973"/>
          </w:tcPr>
          <w:p>
            <w:r/>
            <w:r>
              <w:rPr>
                <w:b w:val="0"/>
                <w:sz w:val="16"/>
              </w:rPr>
              <w:t>MECHANICAL</w:t>
            </w:r>
          </w:p>
        </w:tc>
        <w:tc>
          <w:tcPr>
            <w:tcW w:type="dxa" w:w="1973"/>
          </w:tcPr>
          <w:p>
            <w:r/>
            <w:r>
              <w:rPr>
                <w:b w:val="0"/>
                <w:sz w:val="16"/>
              </w:rPr>
              <w:t>422</w:t>
            </w:r>
          </w:p>
        </w:tc>
        <w:tc>
          <w:tcPr>
            <w:tcW w:type="dxa" w:w="1973"/>
          </w:tcPr>
          <w:p>
            <w:r/>
            <w:r>
              <w:rPr>
                <w:b w:val="0"/>
                <w:sz w:val="16"/>
              </w:rPr>
              <w:t>61%</w:t>
            </w:r>
          </w:p>
        </w:tc>
        <w:tc>
          <w:tcPr>
            <w:tcW w:type="dxa" w:w="1973"/>
          </w:tcPr>
          <w:p>
            <w:r/>
            <w:r>
              <w:rPr>
                <w:b w:val="0"/>
                <w:sz w:val="16"/>
              </w:rPr>
              <w:t>100%</w:t>
            </w:r>
          </w:p>
        </w:tc>
        <w:tc>
          <w:tcPr>
            <w:tcW w:type="dxa" w:w="1973"/>
          </w:tcPr>
          <w:p>
            <w:r/>
            <w:r>
              <w:rPr>
                <w:b w:val="0"/>
                <w:sz w:val="16"/>
              </w:rPr>
              <w:t>5.400</w:t>
            </w:r>
          </w:p>
        </w:tc>
      </w:tr>
      <w:tr>
        <w:tc>
          <w:tcPr>
            <w:tcW w:type="dxa" w:w="1973"/>
          </w:tcPr>
          <w:p>
            <w:r/>
            <w:r>
              <w:rPr>
                <w:b w:val="0"/>
                <w:sz w:val="16"/>
              </w:rPr>
              <w:t>DS</w:t>
            </w:r>
          </w:p>
        </w:tc>
        <w:tc>
          <w:tcPr>
            <w:tcW w:type="dxa" w:w="1973"/>
          </w:tcPr>
          <w:p>
            <w:r/>
            <w:r>
              <w:rPr>
                <w:b w:val="0"/>
                <w:sz w:val="16"/>
              </w:rPr>
              <w:t>394</w:t>
            </w:r>
          </w:p>
        </w:tc>
        <w:tc>
          <w:tcPr>
            <w:tcW w:type="dxa" w:w="1973"/>
          </w:tcPr>
          <w:p>
            <w:r/>
            <w:r>
              <w:rPr>
                <w:b w:val="0"/>
                <w:sz w:val="16"/>
              </w:rPr>
              <w:t>56%</w:t>
            </w:r>
          </w:p>
        </w:tc>
        <w:tc>
          <w:tcPr>
            <w:tcW w:type="dxa" w:w="1973"/>
          </w:tcPr>
          <w:p>
            <w:r/>
            <w:r>
              <w:rPr>
                <w:b w:val="0"/>
                <w:sz w:val="16"/>
              </w:rPr>
              <w:t>99%</w:t>
            </w:r>
          </w:p>
        </w:tc>
        <w:tc>
          <w:tcPr>
            <w:tcW w:type="dxa" w:w="1973"/>
          </w:tcPr>
          <w:p>
            <w:r/>
            <w:r>
              <w:rPr>
                <w:b w:val="0"/>
                <w:sz w:val="16"/>
              </w:rPr>
              <w:t>6.700</w:t>
            </w:r>
          </w:p>
        </w:tc>
      </w:tr>
      <w:tr>
        <w:tc>
          <w:tcPr>
            <w:tcW w:type="dxa" w:w="1973"/>
          </w:tcPr>
          <w:p>
            <w:r/>
            <w:r>
              <w:rPr>
                <w:b w:val="0"/>
                <w:sz w:val="16"/>
              </w:rPr>
              <w:t>IT</w:t>
            </w:r>
          </w:p>
        </w:tc>
        <w:tc>
          <w:tcPr>
            <w:tcW w:type="dxa" w:w="1973"/>
          </w:tcPr>
          <w:p>
            <w:r/>
            <w:r>
              <w:rPr>
                <w:b w:val="0"/>
                <w:sz w:val="16"/>
              </w:rPr>
              <w:t>283</w:t>
            </w:r>
          </w:p>
        </w:tc>
        <w:tc>
          <w:tcPr>
            <w:tcW w:type="dxa" w:w="1973"/>
          </w:tcPr>
          <w:p>
            <w:r/>
            <w:r>
              <w:rPr>
                <w:b w:val="0"/>
                <w:sz w:val="16"/>
              </w:rPr>
              <w:t>84%</w:t>
            </w:r>
          </w:p>
        </w:tc>
        <w:tc>
          <w:tcPr>
            <w:tcW w:type="dxa" w:w="1973"/>
          </w:tcPr>
          <w:p>
            <w:r/>
            <w:r>
              <w:rPr>
                <w:b w:val="0"/>
                <w:sz w:val="16"/>
              </w:rPr>
              <w:t>99%</w:t>
            </w:r>
          </w:p>
        </w:tc>
        <w:tc>
          <w:tcPr>
            <w:tcW w:type="dxa" w:w="1973"/>
          </w:tcPr>
          <w:p>
            <w:r/>
            <w:r>
              <w:rPr>
                <w:b w:val="0"/>
                <w:sz w:val="16"/>
              </w:rPr>
              <w:t>6.300</w:t>
            </w:r>
          </w:p>
        </w:tc>
      </w:tr>
      <w:tr>
        <w:tc>
          <w:tcPr>
            <w:tcW w:type="dxa" w:w="1973"/>
          </w:tcPr>
          <w:p>
            <w:r/>
            <w:r>
              <w:rPr>
                <w:b w:val="0"/>
                <w:sz w:val="16"/>
              </w:rPr>
              <w:t>AI</w:t>
            </w:r>
          </w:p>
        </w:tc>
        <w:tc>
          <w:tcPr>
            <w:tcW w:type="dxa" w:w="1973"/>
          </w:tcPr>
          <w:p>
            <w:r/>
            <w:r>
              <w:rPr>
                <w:b w:val="0"/>
                <w:sz w:val="16"/>
              </w:rPr>
              <w:t>258</w:t>
            </w:r>
          </w:p>
        </w:tc>
        <w:tc>
          <w:tcPr>
            <w:tcW w:type="dxa" w:w="1973"/>
          </w:tcPr>
          <w:p>
            <w:r/>
            <w:r>
              <w:rPr>
                <w:b w:val="0"/>
                <w:sz w:val="16"/>
              </w:rPr>
              <w:t>64%</w:t>
            </w:r>
          </w:p>
        </w:tc>
        <w:tc>
          <w:tcPr>
            <w:tcW w:type="dxa" w:w="1973"/>
          </w:tcPr>
          <w:p>
            <w:r/>
            <w:r>
              <w:rPr>
                <w:b w:val="0"/>
                <w:sz w:val="16"/>
              </w:rPr>
              <w:t>100%</w:t>
            </w:r>
          </w:p>
        </w:tc>
        <w:tc>
          <w:tcPr>
            <w:tcW w:type="dxa" w:w="1973"/>
          </w:tcPr>
          <w:p>
            <w:r/>
            <w:r>
              <w:rPr>
                <w:b w:val="0"/>
                <w:sz w:val="16"/>
              </w:rPr>
              <w:t>5.600</w:t>
            </w:r>
          </w:p>
        </w:tc>
      </w:tr>
      <w:tr>
        <w:tc>
          <w:tcPr>
            <w:tcW w:type="dxa" w:w="1973"/>
          </w:tcPr>
          <w:p>
            <w:r/>
            <w:r>
              <w:rPr>
                <w:b w:val="0"/>
                <w:sz w:val="16"/>
              </w:rPr>
              <w:t>CSE-CYBER</w:t>
            </w:r>
          </w:p>
        </w:tc>
        <w:tc>
          <w:tcPr>
            <w:tcW w:type="dxa" w:w="1973"/>
          </w:tcPr>
          <w:p>
            <w:r/>
            <w:r>
              <w:rPr>
                <w:b w:val="0"/>
                <w:sz w:val="16"/>
              </w:rPr>
              <w:t>254</w:t>
            </w:r>
          </w:p>
        </w:tc>
        <w:tc>
          <w:tcPr>
            <w:tcW w:type="dxa" w:w="1973"/>
          </w:tcPr>
          <w:p>
            <w:r/>
            <w:r>
              <w:rPr>
                <w:b w:val="0"/>
                <w:sz w:val="16"/>
              </w:rPr>
              <w:t>66%</w:t>
            </w:r>
          </w:p>
        </w:tc>
        <w:tc>
          <w:tcPr>
            <w:tcW w:type="dxa" w:w="1973"/>
          </w:tcPr>
          <w:p>
            <w:r/>
            <w:r>
              <w:rPr>
                <w:b w:val="0"/>
                <w:sz w:val="16"/>
              </w:rPr>
              <w:t>99%</w:t>
            </w:r>
          </w:p>
        </w:tc>
        <w:tc>
          <w:tcPr>
            <w:tcW w:type="dxa" w:w="1973"/>
          </w:tcPr>
          <w:p>
            <w:r/>
            <w:r>
              <w:rPr>
                <w:b w:val="0"/>
                <w:sz w:val="16"/>
              </w:rPr>
              <w:t>5.600</w:t>
            </w:r>
          </w:p>
        </w:tc>
      </w:tr>
      <w:tr>
        <w:tc>
          <w:tcPr>
            <w:tcW w:type="dxa" w:w="1973"/>
          </w:tcPr>
          <w:p>
            <w:r/>
            <w:r>
              <w:rPr>
                <w:b w:val="0"/>
                <w:sz w:val="16"/>
              </w:rPr>
              <w:t>CSBS</w:t>
            </w:r>
          </w:p>
        </w:tc>
        <w:tc>
          <w:tcPr>
            <w:tcW w:type="dxa" w:w="1973"/>
          </w:tcPr>
          <w:p>
            <w:r/>
            <w:r>
              <w:rPr>
                <w:b w:val="0"/>
                <w:sz w:val="16"/>
              </w:rPr>
              <w:t>248</w:t>
            </w:r>
          </w:p>
        </w:tc>
        <w:tc>
          <w:tcPr>
            <w:tcW w:type="dxa" w:w="1973"/>
          </w:tcPr>
          <w:p>
            <w:r/>
            <w:r>
              <w:rPr>
                <w:b w:val="0"/>
                <w:sz w:val="16"/>
              </w:rPr>
              <w:t>81%</w:t>
            </w:r>
          </w:p>
        </w:tc>
        <w:tc>
          <w:tcPr>
            <w:tcW w:type="dxa" w:w="1973"/>
          </w:tcPr>
          <w:p>
            <w:r/>
            <w:r>
              <w:rPr>
                <w:b w:val="0"/>
                <w:sz w:val="16"/>
              </w:rPr>
              <w:t>100%</w:t>
            </w:r>
          </w:p>
        </w:tc>
        <w:tc>
          <w:tcPr>
            <w:tcW w:type="dxa" w:w="1973"/>
          </w:tcPr>
          <w:p>
            <w:r/>
            <w:r>
              <w:rPr>
                <w:b w:val="0"/>
                <w:sz w:val="16"/>
              </w:rPr>
              <w:t>6.900</w:t>
            </w:r>
          </w:p>
        </w:tc>
      </w:tr>
      <w:tr>
        <w:tc>
          <w:tcPr>
            <w:tcW w:type="dxa" w:w="1973"/>
          </w:tcPr>
          <w:p>
            <w:r/>
            <w:r>
              <w:rPr>
                <w:b w:val="0"/>
                <w:sz w:val="16"/>
              </w:rPr>
              <w:t>MECHATRONICS</w:t>
            </w:r>
          </w:p>
        </w:tc>
        <w:tc>
          <w:tcPr>
            <w:tcW w:type="dxa" w:w="1973"/>
          </w:tcPr>
          <w:p>
            <w:r/>
            <w:r>
              <w:rPr>
                <w:b w:val="0"/>
                <w:sz w:val="16"/>
              </w:rPr>
              <w:t>244</w:t>
            </w:r>
          </w:p>
        </w:tc>
        <w:tc>
          <w:tcPr>
            <w:tcW w:type="dxa" w:w="1973"/>
          </w:tcPr>
          <w:p>
            <w:r/>
            <w:r>
              <w:rPr>
                <w:b w:val="0"/>
                <w:sz w:val="16"/>
              </w:rPr>
              <w:t>72%</w:t>
            </w:r>
          </w:p>
        </w:tc>
        <w:tc>
          <w:tcPr>
            <w:tcW w:type="dxa" w:w="1973"/>
          </w:tcPr>
          <w:p>
            <w:r/>
            <w:r>
              <w:rPr>
                <w:b w:val="0"/>
                <w:sz w:val="16"/>
              </w:rPr>
              <w:t>100%</w:t>
            </w:r>
          </w:p>
        </w:tc>
        <w:tc>
          <w:tcPr>
            <w:tcW w:type="dxa" w:w="1973"/>
          </w:tcPr>
          <w:p>
            <w:r/>
            <w:r>
              <w:rPr>
                <w:b w:val="0"/>
                <w:sz w:val="16"/>
              </w:rPr>
              <w:t>5.700</w:t>
            </w:r>
          </w:p>
        </w:tc>
      </w:tr>
      <w:tr>
        <w:tc>
          <w:tcPr>
            <w:tcW w:type="dxa" w:w="1973"/>
          </w:tcPr>
          <w:p>
            <w:r/>
            <w:r>
              <w:rPr>
                <w:b w:val="0"/>
                <w:sz w:val="16"/>
              </w:rPr>
              <w:t>CIVIL</w:t>
            </w:r>
          </w:p>
        </w:tc>
        <w:tc>
          <w:tcPr>
            <w:tcW w:type="dxa" w:w="1973"/>
          </w:tcPr>
          <w:p>
            <w:r/>
            <w:r>
              <w:rPr>
                <w:b w:val="0"/>
                <w:sz w:val="16"/>
              </w:rPr>
              <w:t>234</w:t>
            </w:r>
          </w:p>
        </w:tc>
        <w:tc>
          <w:tcPr>
            <w:tcW w:type="dxa" w:w="1973"/>
          </w:tcPr>
          <w:p>
            <w:r/>
            <w:r>
              <w:rPr>
                <w:b w:val="0"/>
                <w:sz w:val="16"/>
              </w:rPr>
              <w:t>57%</w:t>
            </w:r>
          </w:p>
        </w:tc>
        <w:tc>
          <w:tcPr>
            <w:tcW w:type="dxa" w:w="1973"/>
          </w:tcPr>
          <w:p>
            <w:r/>
            <w:r>
              <w:rPr>
                <w:b w:val="0"/>
                <w:sz w:val="16"/>
              </w:rPr>
              <w:t>100%</w:t>
            </w:r>
          </w:p>
        </w:tc>
        <w:tc>
          <w:tcPr>
            <w:tcW w:type="dxa" w:w="1973"/>
          </w:tcPr>
          <w:p>
            <w:r/>
            <w:r>
              <w:rPr>
                <w:b w:val="0"/>
                <w:sz w:val="16"/>
              </w:rPr>
              <w:t>6.000</w:t>
            </w:r>
          </w:p>
        </w:tc>
      </w:tr>
      <w:tr>
        <w:tc>
          <w:tcPr>
            <w:tcW w:type="dxa" w:w="1973"/>
          </w:tcPr>
          <w:p>
            <w:r/>
            <w:r>
              <w:rPr>
                <w:b w:val="0"/>
                <w:sz w:val="16"/>
              </w:rPr>
              <w:t>COMP</w:t>
            </w:r>
          </w:p>
        </w:tc>
        <w:tc>
          <w:tcPr>
            <w:tcW w:type="dxa" w:w="1973"/>
          </w:tcPr>
          <w:p>
            <w:r/>
            <w:r>
              <w:rPr>
                <w:b w:val="0"/>
                <w:sz w:val="16"/>
              </w:rPr>
              <w:t>213</w:t>
            </w:r>
          </w:p>
        </w:tc>
        <w:tc>
          <w:tcPr>
            <w:tcW w:type="dxa" w:w="1973"/>
          </w:tcPr>
          <w:p>
            <w:r/>
            <w:r>
              <w:rPr>
                <w:b w:val="0"/>
                <w:sz w:val="16"/>
              </w:rPr>
              <w:t>79%</w:t>
            </w:r>
          </w:p>
        </w:tc>
        <w:tc>
          <w:tcPr>
            <w:tcW w:type="dxa" w:w="1973"/>
          </w:tcPr>
          <w:p>
            <w:r/>
            <w:r>
              <w:rPr>
                <w:b w:val="0"/>
                <w:sz w:val="16"/>
              </w:rPr>
              <w:t>100%</w:t>
            </w:r>
          </w:p>
        </w:tc>
        <w:tc>
          <w:tcPr>
            <w:tcW w:type="dxa" w:w="1973"/>
          </w:tcPr>
          <w:p>
            <w:r/>
            <w:r>
              <w:rPr>
                <w:b w:val="0"/>
                <w:sz w:val="16"/>
              </w:rPr>
              <w:t>6.300</w:t>
            </w:r>
          </w:p>
        </w:tc>
      </w:tr>
      <w:tr>
        <w:tc>
          <w:tcPr>
            <w:tcW w:type="dxa" w:w="1973"/>
          </w:tcPr>
          <w:p>
            <w:r/>
            <w:r>
              <w:rPr>
                <w:b w:val="0"/>
                <w:sz w:val="16"/>
              </w:rPr>
              <w:t>CSE-DS</w:t>
            </w:r>
          </w:p>
        </w:tc>
        <w:tc>
          <w:tcPr>
            <w:tcW w:type="dxa" w:w="1973"/>
          </w:tcPr>
          <w:p>
            <w:r/>
            <w:r>
              <w:rPr>
                <w:b w:val="0"/>
                <w:sz w:val="16"/>
              </w:rPr>
              <w:t>202</w:t>
            </w:r>
          </w:p>
        </w:tc>
        <w:tc>
          <w:tcPr>
            <w:tcW w:type="dxa" w:w="1973"/>
          </w:tcPr>
          <w:p>
            <w:r/>
            <w:r>
              <w:rPr>
                <w:b w:val="0"/>
                <w:sz w:val="16"/>
              </w:rPr>
              <w:t>67%</w:t>
            </w:r>
          </w:p>
        </w:tc>
        <w:tc>
          <w:tcPr>
            <w:tcW w:type="dxa" w:w="1973"/>
          </w:tcPr>
          <w:p>
            <w:r/>
            <w:r>
              <w:rPr>
                <w:b w:val="0"/>
                <w:sz w:val="16"/>
              </w:rPr>
              <w:t>100%</w:t>
            </w:r>
          </w:p>
        </w:tc>
        <w:tc>
          <w:tcPr>
            <w:tcW w:type="dxa" w:w="1973"/>
          </w:tcPr>
          <w:p>
            <w:r/>
            <w:r>
              <w:rPr>
                <w:b w:val="0"/>
                <w:sz w:val="16"/>
              </w:rPr>
              <w:t>7.600</w:t>
            </w:r>
          </w:p>
        </w:tc>
      </w:tr>
      <w:tr>
        <w:tc>
          <w:tcPr>
            <w:tcW w:type="dxa" w:w="1973"/>
          </w:tcPr>
          <w:p>
            <w:r/>
            <w:r>
              <w:rPr>
                <w:b w:val="0"/>
                <w:sz w:val="16"/>
              </w:rPr>
              <w:t>EXTC</w:t>
            </w:r>
          </w:p>
        </w:tc>
        <w:tc>
          <w:tcPr>
            <w:tcW w:type="dxa" w:w="1973"/>
          </w:tcPr>
          <w:p>
            <w:r/>
            <w:r>
              <w:rPr>
                <w:b w:val="0"/>
                <w:sz w:val="16"/>
              </w:rPr>
              <w:t>169</w:t>
            </w:r>
          </w:p>
        </w:tc>
        <w:tc>
          <w:tcPr>
            <w:tcW w:type="dxa" w:w="1973"/>
          </w:tcPr>
          <w:p>
            <w:r/>
            <w:r>
              <w:rPr>
                <w:b w:val="0"/>
                <w:sz w:val="16"/>
              </w:rPr>
              <w:t>86%</w:t>
            </w:r>
          </w:p>
        </w:tc>
        <w:tc>
          <w:tcPr>
            <w:tcW w:type="dxa" w:w="1973"/>
          </w:tcPr>
          <w:p>
            <w:r/>
            <w:r>
              <w:rPr>
                <w:b w:val="0"/>
                <w:sz w:val="16"/>
              </w:rPr>
              <w:t>100%</w:t>
            </w:r>
          </w:p>
        </w:tc>
        <w:tc>
          <w:tcPr>
            <w:tcW w:type="dxa" w:w="1973"/>
          </w:tcPr>
          <w:p>
            <w:r/>
            <w:r>
              <w:rPr>
                <w:b w:val="0"/>
                <w:sz w:val="16"/>
              </w:rPr>
              <w:t>5.600</w:t>
            </w:r>
          </w:p>
        </w:tc>
      </w:tr>
    </w:tbl>
    <w:p>
      <w:pPr>
        <w:spacing w:after="40"/>
      </w:pPr>
    </w:p>
    <w:p>
      <w:pPr>
        <w:jc w:val="center"/>
      </w:pPr>
      <w:r>
        <w:drawing>
          <wp:inline xmlns:a="http://schemas.openxmlformats.org/drawingml/2006/main" xmlns:pic="http://schemas.openxmlformats.org/drawingml/2006/picture">
            <wp:extent cx="5940000" cy="1944000"/>
            <wp:docPr id="1" name="Picture 1"/>
            <wp:cNvGraphicFramePr>
              <a:graphicFrameLocks noChangeAspect="1"/>
            </wp:cNvGraphicFramePr>
            <a:graphic>
              <a:graphicData uri="http://schemas.openxmlformats.org/drawingml/2006/picture">
                <pic:pic>
                  <pic:nvPicPr>
                    <pic:cNvPr id="0" name="fig_eda.png"/>
                    <pic:cNvPicPr/>
                  </pic:nvPicPr>
                  <pic:blipFill>
                    <a:blip r:embed="rId9"/>
                    <a:stretch>
                      <a:fillRect/>
                    </a:stretch>
                  </pic:blipFill>
                  <pic:spPr>
                    <a:xfrm>
                      <a:off x="0" y="0"/>
                      <a:ext cx="5940000" cy="1944000"/>
                    </a:xfrm>
                    <a:prstGeom prst="rect"/>
                  </pic:spPr>
                </pic:pic>
              </a:graphicData>
            </a:graphic>
          </wp:inline>
        </w:drawing>
      </w:r>
    </w:p>
    <w:p>
      <w:pPr>
        <w:jc w:val="center"/>
      </w:pPr>
      <w:r>
        <w:rPr>
          <w:b w:val="0"/>
          <w:sz w:val="16"/>
        </w:rPr>
        <w:t>Left: parsed course versions per programme and academic year (gaps are mostly scanned booklets). Right: words per course.</w:t>
      </w:r>
    </w:p>
    <w:p>
      <w:r>
        <w:rPr>
          <w:b w:val="0"/>
        </w:rPr>
        <w:t>Median course length 263 words; 72% of versions name at least one prerequisite.</w:t>
      </w:r>
    </w:p>
    <w:p>
      <w:pPr>
        <w:pStyle w:val="Heading1"/>
      </w:pPr>
      <w:r>
        <w:t>2. Split and LLM-annotated reference labels</w:t>
      </w:r>
    </w:p>
    <w:p>
      <w:pPr>
        <w:pStyle w:val="ListBullet"/>
      </w:pPr>
      <w:r>
        <w:rPr>
          <w:b/>
        </w:rPr>
        <w:t>Split by family</w:t>
      </w:r>
      <w:r>
        <w:rPr>
          <w:b w:val="0"/>
        </w:rPr>
        <w:t xml:space="preserve"> (seed 42, hash </w:t>
      </w:r>
      <w:r>
        <w:rPr>
          <w:rFonts w:ascii="Consolas" w:hAnsi="Consolas"/>
        </w:rPr>
        <w:t>4763325fd5</w:t>
      </w:r>
      <w:r>
        <w:rPr>
          <w:b w:val="0"/>
        </w:rPr>
        <w:t>): 387 / 129 / 129 families = 1,423 / 487 / 456 versions for train / validation / test. TF-IDF and the Bloom fallback are fitted on train; every threshold is chosen on validation; the test split is used once.</w:t>
      </w:r>
    </w:p>
    <w:p>
      <w:pPr>
        <w:pStyle w:val="ListBullet"/>
      </w:pPr>
      <w:r>
        <w:rPr>
          <w:b/>
        </w:rPr>
        <w:t>LLM-annotated reference labels.</w:t>
      </w:r>
      <w:r>
        <w:rPr>
          <w:b w:val="0"/>
        </w:rPr>
        <w:t xml:space="preserve"> 200 cross-course pairs (both courses in the same split; versions of one course excluded), stratified by programme relation and by score band of both TF-IDF and embeddings, plus near-name, disagreement and random pairs. Labels: 0 = no meaningful overlap, 1 = partial (at least one unit-level topic shared), 2 = substantial / redundant. Pass 1: a Claude model in a fresh context; pass 2: Phi-3 running locally for 106 pairs and a second Claude prompt (wording B) for the other 94; no labeller saw any model score. Pass 3 settled disagreements; items without a 2-of-3 majority are excluded.</w:t>
      </w:r>
    </w:p>
    <w:p>
      <w:pPr>
        <w:pStyle w:val="ListBullet"/>
      </w:pPr>
      <w:r>
        <w:rPr>
          <w:b w:val="0"/>
        </w:rPr>
        <w:t xml:space="preserve">LLM-vs-LLM agreement, reported separately: Claude vs Phi-3 on 106 pairs 74% (weighted kappa 0.561); Claude vs Claude (wording B) on 94 pairs 99% (weighted kappa 0.969). 28 items were settled by pass 3, 1 excluded as uncertain. Usable labels — validation: 61 / 14 / 5, test: 87 / 30 / 2 (labels 0 / 1 / 2). No human annotators were used; results are indicative. For 94 of 200 pairs the second labeller was a Claude prompt rather than Phi-3, so agreement on those items is not independent. Detector flags (Week 3 onwards) were labelled by two Claude passes with different wording plus a pass 3, with no Phi-3, so agreement on flags is not independent. </w:t>
      </w:r>
      <w:r>
        <w:rPr>
          <w:rFonts w:ascii="Consolas" w:hAnsi="Consolas"/>
        </w:rPr>
        <w:t>labels/human_spot_check.csv</w:t>
      </w:r>
      <w:r>
        <w:rPr>
          <w:b w:val="0"/>
        </w:rPr>
        <w:t xml:space="preserve"> lets each member check ten pairs later.</w:t>
      </w:r>
    </w:p>
    <w:p>
      <w:pPr>
        <w:pStyle w:val="ListBullet"/>
      </w:pPr>
      <w:r>
        <w:rPr>
          <w:b/>
        </w:rPr>
        <w:t>Label-free tests</w:t>
      </w:r>
      <w:r>
        <w:rPr>
          <w:b w:val="0"/>
        </w:rPr>
        <w:t xml:space="preserve"> (no annotation needed): faculty Bloom tags; near-duplicate units injected into an unrelated course of the same programme; removal or renaming of a prerequisite course; known year-over-year course changes, also with renamed courses.</w:t>
      </w:r>
    </w:p>
    <w:p>
      <w:pPr>
        <w:pStyle w:val="Heading1"/>
      </w:pPr>
      <w:r>
        <w:t>3. Baselines on the test split</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D9E2F3"/>
          </w:tcPr>
          <w:p>
            <w:r/>
            <w:r>
              <w:rPr>
                <w:b/>
                <w:sz w:val="16"/>
              </w:rPr>
              <w:t>Capability</w:t>
            </w:r>
          </w:p>
        </w:tc>
        <w:tc>
          <w:tcPr>
            <w:tcW w:type="dxa" w:w="2466"/>
            <w:shd w:val="clear" w:color="auto" w:fill="D9E2F3"/>
          </w:tcPr>
          <w:p>
            <w:r/>
            <w:r>
              <w:rPr>
                <w:b/>
                <w:sz w:val="16"/>
              </w:rPr>
              <w:t>Method</w:t>
            </w:r>
          </w:p>
        </w:tc>
        <w:tc>
          <w:tcPr>
            <w:tcW w:type="dxa" w:w="2466"/>
            <w:shd w:val="clear" w:color="auto" w:fill="D9E2F3"/>
          </w:tcPr>
          <w:p>
            <w:r/>
            <w:r>
              <w:rPr>
                <w:b/>
                <w:sz w:val="16"/>
              </w:rPr>
              <w:t>Metric (test split)</w:t>
            </w:r>
          </w:p>
        </w:tc>
        <w:tc>
          <w:tcPr>
            <w:tcW w:type="dxa" w:w="2466"/>
            <w:shd w:val="clear" w:color="auto" w:fill="D9E2F3"/>
          </w:tcPr>
          <w:p>
            <w:r/>
            <w:r>
              <w:rPr>
                <w:b/>
                <w:sz w:val="16"/>
              </w:rPr>
              <w:t>Result</w:t>
            </w:r>
          </w:p>
        </w:tc>
      </w:tr>
      <w:tr>
        <w:tc>
          <w:tcPr>
            <w:tcW w:type="dxa" w:w="2466"/>
          </w:tcPr>
          <w:p>
            <w:r/>
            <w:r>
              <w:rPr>
                <w:b w:val="0"/>
                <w:sz w:val="16"/>
              </w:rPr>
              <w:t>1 Overlap</w:t>
            </w:r>
          </w:p>
        </w:tc>
        <w:tc>
          <w:tcPr>
            <w:tcW w:type="dxa" w:w="2466"/>
          </w:tcPr>
          <w:p>
            <w:r/>
            <w:r>
              <w:rPr>
                <w:b w:val="0"/>
                <w:sz w:val="16"/>
              </w:rPr>
              <w:t>TF-IDF cosine</w:t>
            </w:r>
          </w:p>
        </w:tc>
        <w:tc>
          <w:tcPr>
            <w:tcW w:type="dxa" w:w="2466"/>
          </w:tcPr>
          <w:p>
            <w:r/>
            <w:r>
              <w:rPr>
                <w:b w:val="0"/>
                <w:sz w:val="16"/>
              </w:rPr>
              <w:t>Spearman [95% CI]</w:t>
            </w:r>
          </w:p>
        </w:tc>
        <w:tc>
          <w:tcPr>
            <w:tcW w:type="dxa" w:w="2466"/>
          </w:tcPr>
          <w:p>
            <w:r/>
            <w:r>
              <w:rPr>
                <w:b w:val="0"/>
                <w:sz w:val="16"/>
              </w:rPr>
              <w:t>0.708 [0.62, 0.78]</w:t>
            </w:r>
          </w:p>
        </w:tc>
      </w:tr>
      <w:tr>
        <w:tc>
          <w:tcPr>
            <w:tcW w:type="dxa" w:w="2466"/>
          </w:tcPr>
          <w:p>
            <w:r/>
          </w:p>
        </w:tc>
        <w:tc>
          <w:tcPr>
            <w:tcW w:type="dxa" w:w="2466"/>
          </w:tcPr>
          <w:p>
            <w:r/>
          </w:p>
        </w:tc>
        <w:tc>
          <w:tcPr>
            <w:tcW w:type="dxa" w:w="2466"/>
          </w:tcPr>
          <w:p>
            <w:r/>
            <w:r>
              <w:rPr>
                <w:b w:val="0"/>
                <w:sz w:val="16"/>
              </w:rPr>
              <w:t>ROC-AUC any overlap [95% CI]</w:t>
            </w:r>
          </w:p>
        </w:tc>
        <w:tc>
          <w:tcPr>
            <w:tcW w:type="dxa" w:w="2466"/>
          </w:tcPr>
          <w:p>
            <w:r/>
            <w:r>
              <w:rPr>
                <w:b w:val="0"/>
                <w:sz w:val="16"/>
              </w:rPr>
              <w:t>0.959 [0.93, 0.98]</w:t>
            </w:r>
          </w:p>
        </w:tc>
      </w:tr>
      <w:tr>
        <w:tc>
          <w:tcPr>
            <w:tcW w:type="dxa" w:w="2466"/>
          </w:tcPr>
          <w:p>
            <w:r/>
          </w:p>
        </w:tc>
        <w:tc>
          <w:tcPr>
            <w:tcW w:type="dxa" w:w="2466"/>
          </w:tcPr>
          <w:p>
            <w:r/>
          </w:p>
        </w:tc>
        <w:tc>
          <w:tcPr>
            <w:tcW w:type="dxa" w:w="2466"/>
          </w:tcPr>
          <w:p>
            <w:r/>
            <w:r>
              <w:rPr>
                <w:b w:val="0"/>
                <w:sz w:val="16"/>
              </w:rPr>
              <w:t>F1 at validation threshold</w:t>
            </w:r>
          </w:p>
        </w:tc>
        <w:tc>
          <w:tcPr>
            <w:tcW w:type="dxa" w:w="2466"/>
          </w:tcPr>
          <w:p>
            <w:r/>
            <w:r>
              <w:rPr>
                <w:b w:val="0"/>
                <w:sz w:val="16"/>
              </w:rPr>
              <w:t>0.774</w:t>
            </w:r>
          </w:p>
        </w:tc>
      </w:tr>
      <w:tr>
        <w:tc>
          <w:tcPr>
            <w:tcW w:type="dxa" w:w="2466"/>
          </w:tcPr>
          <w:p>
            <w:r/>
            <w:r>
              <w:rPr>
                <w:b w:val="0"/>
                <w:sz w:val="16"/>
              </w:rPr>
              <w:t>2 Redundancy</w:t>
            </w:r>
          </w:p>
        </w:tc>
        <w:tc>
          <w:tcPr>
            <w:tcW w:type="dxa" w:w="2466"/>
          </w:tcPr>
          <w:p>
            <w:r/>
            <w:r>
              <w:rPr>
                <w:b w:val="0"/>
                <w:sz w:val="16"/>
              </w:rPr>
              <w:t>course-level TF-IDF cosine within a programme</w:t>
            </w:r>
          </w:p>
        </w:tc>
        <w:tc>
          <w:tcPr>
            <w:tcW w:type="dxa" w:w="2466"/>
          </w:tcPr>
          <w:p>
            <w:r/>
            <w:r>
              <w:rPr>
                <w:b w:val="0"/>
                <w:sz w:val="16"/>
              </w:rPr>
              <w:t>injected near-duplicates found in top 20</w:t>
            </w:r>
          </w:p>
        </w:tc>
        <w:tc>
          <w:tcPr>
            <w:tcW w:type="dxa" w:w="2466"/>
          </w:tcPr>
          <w:p>
            <w:r/>
            <w:r>
              <w:rPr>
                <w:b w:val="0"/>
                <w:sz w:val="16"/>
              </w:rPr>
              <w:t>0.600</w:t>
            </w:r>
          </w:p>
        </w:tc>
      </w:tr>
      <w:tr>
        <w:tc>
          <w:tcPr>
            <w:tcW w:type="dxa" w:w="2466"/>
          </w:tcPr>
          <w:p>
            <w:r/>
            <w:r>
              <w:rPr>
                <w:b w:val="0"/>
                <w:sz w:val="16"/>
              </w:rPr>
              <w:t>3 Prerequisites</w:t>
            </w:r>
          </w:p>
        </w:tc>
        <w:tc>
          <w:tcPr>
            <w:tcW w:type="dxa" w:w="2466"/>
          </w:tcPr>
          <w:p>
            <w:r/>
            <w:r>
              <w:rPr>
                <w:b w:val="0"/>
                <w:sz w:val="16"/>
              </w:rPr>
              <w:t>regex split + exact course-name match</w:t>
            </w:r>
          </w:p>
        </w:tc>
        <w:tc>
          <w:tcPr>
            <w:tcW w:type="dxa" w:w="2466"/>
          </w:tcPr>
          <w:p>
            <w:r/>
            <w:r>
              <w:rPr>
                <w:b w:val="0"/>
                <w:sz w:val="16"/>
              </w:rPr>
              <w:t>removal recall [95% CI]</w:t>
            </w:r>
          </w:p>
        </w:tc>
        <w:tc>
          <w:tcPr>
            <w:tcW w:type="dxa" w:w="2466"/>
          </w:tcPr>
          <w:p>
            <w:r/>
            <w:r>
              <w:rPr>
                <w:b w:val="0"/>
                <w:sz w:val="16"/>
              </w:rPr>
              <w:t>1.000 [1.00, 1.00]</w:t>
            </w:r>
          </w:p>
        </w:tc>
      </w:tr>
      <w:tr>
        <w:tc>
          <w:tcPr>
            <w:tcW w:type="dxa" w:w="2466"/>
          </w:tcPr>
          <w:p>
            <w:r/>
          </w:p>
        </w:tc>
        <w:tc>
          <w:tcPr>
            <w:tcW w:type="dxa" w:w="2466"/>
          </w:tcPr>
          <w:p>
            <w:r/>
          </w:p>
        </w:tc>
        <w:tc>
          <w:tcPr>
            <w:tcW w:type="dxa" w:w="2466"/>
          </w:tcPr>
          <w:p>
            <w:r/>
            <w:r>
              <w:rPr>
                <w:b w:val="0"/>
                <w:sz w:val="16"/>
              </w:rPr>
              <w:t>false alarms, intact programme</w:t>
            </w:r>
          </w:p>
        </w:tc>
        <w:tc>
          <w:tcPr>
            <w:tcW w:type="dxa" w:w="2466"/>
          </w:tcPr>
          <w:p>
            <w:r/>
            <w:r>
              <w:rPr>
                <w:b w:val="0"/>
                <w:sz w:val="16"/>
              </w:rPr>
              <w:t>0.470 [0.34, 0.59]</w:t>
            </w:r>
          </w:p>
        </w:tc>
      </w:tr>
      <w:tr>
        <w:tc>
          <w:tcPr>
            <w:tcW w:type="dxa" w:w="2466"/>
          </w:tcPr>
          <w:p>
            <w:r/>
          </w:p>
        </w:tc>
        <w:tc>
          <w:tcPr>
            <w:tcW w:type="dxa" w:w="2466"/>
          </w:tcPr>
          <w:p>
            <w:r/>
          </w:p>
        </w:tc>
        <w:tc>
          <w:tcPr>
            <w:tcW w:type="dxa" w:w="2466"/>
          </w:tcPr>
          <w:p>
            <w:r/>
            <w:r>
              <w:rPr>
                <w:b w:val="0"/>
                <w:sz w:val="16"/>
              </w:rPr>
              <w:t>false alarms after renaming the course</w:t>
            </w:r>
          </w:p>
        </w:tc>
        <w:tc>
          <w:tcPr>
            <w:tcW w:type="dxa" w:w="2466"/>
          </w:tcPr>
          <w:p>
            <w:r/>
            <w:r>
              <w:rPr>
                <w:b w:val="0"/>
                <w:sz w:val="16"/>
              </w:rPr>
              <w:t>1.000 [1.00, 1.00]</w:t>
            </w:r>
          </w:p>
        </w:tc>
      </w:tr>
      <w:tr>
        <w:tc>
          <w:tcPr>
            <w:tcW w:type="dxa" w:w="2466"/>
          </w:tcPr>
          <w:p>
            <w:r/>
            <w:r>
              <w:rPr>
                <w:b w:val="0"/>
                <w:sz w:val="16"/>
              </w:rPr>
              <w:t>4 Curriculum diff</w:t>
            </w:r>
          </w:p>
        </w:tc>
        <w:tc>
          <w:tcPr>
            <w:tcW w:type="dxa" w:w="2466"/>
          </w:tcPr>
          <w:p>
            <w:r/>
            <w:r>
              <w:rPr>
                <w:b w:val="0"/>
                <w:sz w:val="16"/>
              </w:rPr>
              <w:t>exact course-name set difference</w:t>
            </w:r>
          </w:p>
        </w:tc>
        <w:tc>
          <w:tcPr>
            <w:tcW w:type="dxa" w:w="2466"/>
          </w:tcPr>
          <w:p>
            <w:r/>
            <w:r>
              <w:rPr>
                <w:b w:val="0"/>
                <w:sz w:val="16"/>
              </w:rPr>
              <w:t>precision / recall of changes</w:t>
            </w:r>
          </w:p>
        </w:tc>
        <w:tc>
          <w:tcPr>
            <w:tcW w:type="dxa" w:w="2466"/>
          </w:tcPr>
          <w:p>
            <w:r/>
            <w:r>
              <w:rPr>
                <w:b w:val="0"/>
                <w:sz w:val="16"/>
              </w:rPr>
              <w:t>0.990 / 1.000</w:t>
            </w:r>
          </w:p>
        </w:tc>
      </w:tr>
      <w:tr>
        <w:tc>
          <w:tcPr>
            <w:tcW w:type="dxa" w:w="2466"/>
          </w:tcPr>
          <w:p>
            <w:r/>
          </w:p>
        </w:tc>
        <w:tc>
          <w:tcPr>
            <w:tcW w:type="dxa" w:w="2466"/>
          </w:tcPr>
          <w:p>
            <w:r/>
          </w:p>
        </w:tc>
        <w:tc>
          <w:tcPr>
            <w:tcW w:type="dxa" w:w="2466"/>
          </w:tcPr>
          <w:p>
            <w:r/>
            <w:r>
              <w:rPr>
                <w:b w:val="0"/>
                <w:sz w:val="16"/>
              </w:rPr>
              <w:t>precision / recall with renamed courses</w:t>
            </w:r>
          </w:p>
        </w:tc>
        <w:tc>
          <w:tcPr>
            <w:tcW w:type="dxa" w:w="2466"/>
          </w:tcPr>
          <w:p>
            <w:r/>
            <w:r>
              <w:rPr>
                <w:b w:val="0"/>
                <w:sz w:val="16"/>
              </w:rPr>
              <w:t>0.793 / 1.000</w:t>
            </w:r>
          </w:p>
        </w:tc>
      </w:tr>
      <w:tr>
        <w:tc>
          <w:tcPr>
            <w:tcW w:type="dxa" w:w="2466"/>
          </w:tcPr>
          <w:p>
            <w:r/>
            <w:r>
              <w:rPr>
                <w:b w:val="0"/>
                <w:sz w:val="16"/>
              </w:rPr>
              <w:t>5 Bloom level</w:t>
            </w:r>
          </w:p>
        </w:tc>
        <w:tc>
          <w:tcPr>
            <w:tcW w:type="dxa" w:w="2466"/>
          </w:tcPr>
          <w:p>
            <w:r/>
            <w:r>
              <w:rPr>
                <w:b w:val="0"/>
                <w:sz w:val="16"/>
              </w:rPr>
              <w:t>hand-written verb lexicon (majority level when no verb matches)</w:t>
            </w:r>
          </w:p>
        </w:tc>
        <w:tc>
          <w:tcPr>
            <w:tcW w:type="dxa" w:w="2466"/>
          </w:tcPr>
          <w:p>
            <w:r/>
            <w:r>
              <w:rPr>
                <w:b w:val="0"/>
                <w:sz w:val="16"/>
              </w:rPr>
              <w:t>accuracy [95% CI]</w:t>
            </w:r>
          </w:p>
        </w:tc>
        <w:tc>
          <w:tcPr>
            <w:tcW w:type="dxa" w:w="2466"/>
          </w:tcPr>
          <w:p>
            <w:r/>
            <w:r>
              <w:rPr>
                <w:b w:val="0"/>
                <w:sz w:val="16"/>
              </w:rPr>
              <w:t>0.776 [0.72, 0.83]</w:t>
            </w:r>
          </w:p>
        </w:tc>
      </w:tr>
      <w:tr>
        <w:tc>
          <w:tcPr>
            <w:tcW w:type="dxa" w:w="2466"/>
          </w:tcPr>
          <w:p>
            <w:r/>
          </w:p>
        </w:tc>
        <w:tc>
          <w:tcPr>
            <w:tcW w:type="dxa" w:w="2466"/>
          </w:tcPr>
          <w:p>
            <w:r/>
          </w:p>
        </w:tc>
        <w:tc>
          <w:tcPr>
            <w:tcW w:type="dxa" w:w="2466"/>
          </w:tcPr>
          <w:p>
            <w:r/>
            <w:r>
              <w:rPr>
                <w:b w:val="0"/>
                <w:sz w:val="16"/>
              </w:rPr>
              <w:t>within one level / macro-F1</w:t>
            </w:r>
          </w:p>
        </w:tc>
        <w:tc>
          <w:tcPr>
            <w:tcW w:type="dxa" w:w="2466"/>
          </w:tcPr>
          <w:p>
            <w:r/>
            <w:r>
              <w:rPr>
                <w:b w:val="0"/>
                <w:sz w:val="16"/>
              </w:rPr>
              <w:t>0.871 / 0.756</w:t>
            </w:r>
          </w:p>
        </w:tc>
      </w:tr>
    </w:tbl>
    <w:p>
      <w:pPr>
        <w:spacing w:after="40"/>
      </w:pPr>
    </w:p>
    <w:p>
      <w:pPr>
        <w:pStyle w:val="ListBullet"/>
      </w:pPr>
      <w:r>
        <w:rPr>
          <w:b/>
        </w:rPr>
        <w:t>Overlap.</w:t>
      </w:r>
      <w:r>
        <w:rPr>
          <w:b w:val="0"/>
        </w:rPr>
        <w:t xml:space="preserve"> On the reference labels, TF-IDF has Spearman 0.708 and ROC-AUC 0.959 for "any overlap"; at the threshold chosen on validation (0.126) precision is 0.800 and recall 0.750. Versions of one course (reported separately, 359 pairs) have median TF-IDF 1.000, against 0.595 for substantially overlapping different courses.</w:t>
      </w:r>
    </w:p>
    <w:p>
      <w:pPr>
        <w:pStyle w:val="ListBullet"/>
      </w:pPr>
      <w:r>
        <w:rPr>
          <w:b/>
        </w:rPr>
        <w:t>Redundancy.</w:t>
      </w:r>
      <w:r>
        <w:rPr>
          <w:b w:val="0"/>
        </w:rPr>
        <w:t xml:space="preserve"> Course pairs in a programme above the validation threshold (0.451): 5 flags among test courses. When one lightly edited unit of an unrelated course is copied into another course of the same programme, the course-level score ranks that pair in the top 20 in 60% of 60 cases: one shared unit barely moves a whole-course score.</w:t>
      </w:r>
    </w:p>
    <w:p>
      <w:pPr>
        <w:pStyle w:val="ListBullet"/>
      </w:pPr>
      <w:r>
        <w:rPr>
          <w:b/>
        </w:rPr>
        <w:t>Missing prerequisites.</w:t>
      </w:r>
      <w:r>
        <w:rPr>
          <w:b w:val="0"/>
        </w:rPr>
        <w:t xml:space="preserve"> 228 prerequisite phrases of 141 test course-programme pairs were checked; 136 were flagged (126 because no course has exactly that name). On 83 test cases the baseline finds every removed prerequisite course (recall 1.000) but also flags 47% of intact programmes and 100% after the prerequisite course is renamed: exact names are too brittle.</w:t>
      </w:r>
    </w:p>
    <w:p>
      <w:pPr>
        <w:pStyle w:val="ListBullet"/>
      </w:pPr>
      <w:r>
        <w:rPr>
          <w:b/>
        </w:rPr>
        <w:t>Curriculum diff.</w:t>
      </w:r>
      <w:r>
        <w:rPr>
          <w:b w:val="0"/>
        </w:rPr>
        <w:t xml:space="preserve"> Across 53 programme year-pairs, name matching gives precision 0.990 and recall 1.000 for added and removed courses, but precision falls to 0.793 when courses are renamed. Many "changes" are booklets missing in one year (scanned), not real revisions.</w:t>
      </w:r>
    </w:p>
    <w:p>
      <w:pPr>
        <w:pStyle w:val="ListBullet"/>
      </w:pPr>
      <w:r>
        <w:rPr>
          <w:b/>
        </w:rPr>
        <w:t>Bloom.</w:t>
      </w:r>
      <w:r>
        <w:rPr>
          <w:b w:val="0"/>
        </w:rPr>
        <w:t xml:space="preserve"> The verb lexicon matches the faculty tag for 78% of 85 test outcomes (majority class: 31%).</w:t>
      </w:r>
    </w:p>
    <w:p>
      <w:pPr>
        <w:pStyle w:val="Heading1"/>
      </w:pPr>
      <w:r>
        <w:t>4. Observations and next steps</w:t>
      </w:r>
    </w:p>
    <w:p>
      <w:pPr>
        <w:pStyle w:val="ListBullet"/>
      </w:pPr>
      <w:r>
        <w:rPr>
          <w:b w:val="0"/>
        </w:rPr>
        <w:t>Lexical baselines are strong where syllabi re-use text, and weak exactly where the committee needs help: a single shared unit inside different courses, renamed courses, and prerequisites written in free text.</w:t>
      </w:r>
    </w:p>
    <w:p>
      <w:pPr>
        <w:pStyle w:val="ListBullet"/>
      </w:pPr>
      <w:r>
        <w:rPr>
          <w:b w:val="0"/>
        </w:rPr>
        <w:t>Week 3 adds unit-level embeddings (MaxSim) for overlap and redundancy, embedding-based prerequisite resolution with a topic check over earlier semesters, content matching for the diff, and topic labels, evaluated on this same split and these same metrics.</w:t>
      </w:r>
    </w:p>
    <w:p>
      <w:pPr>
        <w:pStyle w:val="ListBullet"/>
      </w:pPr>
      <w:r>
        <w:rPr>
          <w:b w:val="0"/>
        </w:rPr>
        <w:t>Limitations: labels come from LLMs; scanned booklets leave gaps in the programme structure; the test split has 85 faculty-tagged outcomes, so Bloom intervals are wide.</w:t>
      </w:r>
    </w:p>
    <w:p>
      <w:pPr>
        <w:pStyle w:val="Heading1"/>
      </w:pPr>
      <w:r>
        <w:t>AI assistance</w:t>
      </w:r>
    </w:p>
    <w:p>
      <w:r>
        <w:rPr>
          <w:b w:val="0"/>
        </w:rPr>
        <w:t xml:space="preserve">Code and report text were written with AI assistance (Claude). Reference labels are LLM-annotated (Claude, Phi-3). Every number is generated from </w:t>
      </w:r>
      <w:r>
        <w:rPr>
          <w:rFonts w:ascii="Consolas" w:hAnsi="Consolas"/>
        </w:rPr>
        <w:t>results/*.json</w:t>
      </w:r>
      <w:r>
        <w:rPr>
          <w:b w:val="0"/>
        </w:rPr>
        <w:t xml:space="preserve"> by </w:t>
      </w:r>
      <w:r>
        <w:rPr>
          <w:rFonts w:ascii="Consolas" w:hAnsi="Consolas"/>
        </w:rPr>
        <w:t>tools/build_report.py</w:t>
      </w:r>
      <w:r>
        <w:rPr>
          <w:b w:val="0"/>
        </w:rPr>
        <w:t xml:space="preserve"> and verified by </w:t>
      </w:r>
      <w:r>
        <w:rPr>
          <w:rFonts w:ascii="Consolas" w:hAnsi="Consolas"/>
        </w:rPr>
        <w:t>tools/check_reports.py</w:t>
      </w:r>
      <w:r>
        <w:rPr>
          <w:b w:val="0"/>
        </w:rPr>
        <w:t>.</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