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Intelligence Engine — Week 1: Project Proposal v2</w:t>
      </w:r>
    </w:p>
    <w:p>
      <w:r>
        <w:rPr>
          <w:b w:val="0"/>
        </w:rPr>
        <w:t>Group 9  ·  Roll Nos: J048, J049, J050, J052, J053  ·  AI University NLP Course Project 2026  ·  revised 9 Oct 2026 (v1: 11 Sep)</w:t>
      </w:r>
    </w:p>
    <w:p>
      <w:pPr>
        <w:pStyle w:val="Heading1"/>
      </w:pPr>
      <w:r>
        <w:t>CODE</w:t>
      </w:r>
    </w:p>
    <w:p>
      <w:pPr>
        <w:spacing w:after="80"/>
        <w:shd w:val="clear" w:fill="F2F2F2"/>
      </w:pPr>
      <w:r>
        <w:rPr>
          <w:rFonts w:ascii="Consolas" w:hAnsi="Consolas"/>
          <w:sz w:val="14"/>
        </w:rPr>
        <w:t>Repository : https://github.com/jainamsethia/Curriculum-Intelligence-Engine</w:t>
        <w:br/>
        <w:t>Tag        : week-2-redo</w:t>
        <w:br/>
        <w:t>Commit     : c3a1e1b2358da725cfa81f4b28838a2c1c3172a4</w:t>
        <w:br/>
        <w:t>Run        : python -m curriculum_engine.run all      (NMIMS_ZIP=&lt;path to "B TECH.zip"&gt;; see README)</w:t>
        <w:br/>
        <w:t>Folders    :</w:t>
        <w:br/>
        <w:t>.gitignore</w:t>
        <w:br/>
        <w:t>README.md</w:t>
        <w:br/>
        <w:t>curriculum_engine/   the NLP engine (parser, data, overlap, redundancy, prerequisites, diff, Bloom, evaluation)</w:t>
        <w:br/>
        <w:t>labels/              LLM-annotated reference labels (ids + labels per pass + consensus)</w:t>
        <w:br/>
        <w:t>legacy/              old Week 3-4 scripts and reports (history only)</w:t>
        <w:br/>
        <w:t>legacy_mit/          old MIT OCW scripts (not used)</w:t>
        <w:br/>
        <w:t>reports/             report templates (numbers are placeholders)</w:t>
        <w:br/>
        <w:t>requirements.txt</w:t>
        <w:br/>
        <w:t>results/             metrics JSON + figures per week</w:t>
        <w:br/>
        <w:t>submissions/         per-week submission folders</w:t>
        <w:br/>
        <w:t>tests/               unit tests (pytest)</w:t>
        <w:br/>
        <w:t>tools/               report builder, report checker, submission packer</w:t>
      </w:r>
    </w:p>
    <w:p>
      <w:pPr>
        <w:pStyle w:val="Heading1"/>
      </w:pPr>
      <w:r>
        <w:t>Feedback addressed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Instructor comment</w:t>
            </w:r>
          </w:p>
        </w:tc>
        <w:tc>
          <w:tcPr>
            <w:tcW w:type="dxa" w:w="3289"/>
            <w:shd w:val="clear" w:color="auto" w:fill="D9E2F3"/>
          </w:tcPr>
          <w:p>
            <w:r/>
            <w:r>
              <w:rPr>
                <w:b/>
                <w:sz w:val="16"/>
              </w:rPr>
              <w:t>What we changed</w:t>
            </w:r>
          </w:p>
        </w:tc>
        <w:tc>
          <w:tcPr>
            <w:tcW w:type="dxa" w:w="3289"/>
            <w:shd w:val="clear" w:color="auto" w:fill="D9E2F3"/>
          </w:tcPr>
          <w:p>
            <w:r/>
            <w:r>
              <w:rPr>
                <w:b/>
                <w:sz w:val="16"/>
              </w:rPr>
              <w:t>Evidence</w:t>
            </w:r>
          </w:p>
        </w:tc>
      </w:tr>
      <w:tr>
        <w:tc>
          <w:tcPr>
            <w:tcW w:type="dxa" w:w="3289"/>
          </w:tcPr>
          <w:p>
            <w:r/>
            <w:r>
              <w:rPr>
                <w:b w:val="0"/>
                <w:sz w:val="16"/>
              </w:rPr>
              <w:t>Week 2: "use the course catalog from your own college … value to NMIMS, and not for MIT"</w:t>
            </w:r>
          </w:p>
        </w:tc>
        <w:tc>
          <w:tcPr>
            <w:tcW w:type="dxa" w:w="3289"/>
          </w:tcPr>
          <w:p>
            <w:r/>
            <w:r>
              <w:rPr>
                <w:b w:val="0"/>
                <w:sz w:val="16"/>
              </w:rPr>
              <w:t>NMIMS B.Tech semester syllabus booklets are the only dataset for every result. The MIT collector is archived and not used.</w:t>
            </w:r>
          </w:p>
        </w:tc>
        <w:tc>
          <w:tcPr>
            <w:tcW w:type="dxa" w:w="3289"/>
          </w:tcPr>
          <w:p>
            <w:r/>
            <w:r>
              <w:rPr>
                <w:rFonts w:ascii="Consolas" w:hAnsi="Consolas"/>
                <w:sz w:val="16"/>
              </w:rPr>
              <w:t>curriculum_engine/parse.py</w:t>
            </w:r>
            <w:r>
              <w:rPr>
                <w:b w:val="0"/>
                <w:sz w:val="16"/>
              </w:rPr>
              <w:t xml:space="preserve">, </w:t>
            </w:r>
            <w:r>
              <w:rPr>
                <w:rFonts w:ascii="Consolas" w:hAnsi="Consolas"/>
                <w:sz w:val="16"/>
              </w:rPr>
              <w:t>results/dataset/parse_stats.json</w:t>
            </w:r>
            <w:r>
              <w:rPr>
                <w:b w:val="0"/>
                <w:sz w:val="16"/>
              </w:rPr>
              <w:t xml:space="preserve">, </w:t>
            </w:r>
            <w:r>
              <w:rPr>
                <w:rFonts w:ascii="Consolas" w:hAnsi="Consolas"/>
                <w:sz w:val="16"/>
              </w:rPr>
              <w:t>legacy_mit/</w:t>
            </w:r>
          </w:p>
        </w:tc>
      </w:tr>
      <w:tr>
        <w:tc>
          <w:tcPr>
            <w:tcW w:type="dxa" w:w="3289"/>
          </w:tcPr>
          <w:p>
            <w:r/>
            <w:r>
              <w:rPr>
                <w:b w:val="0"/>
                <w:sz w:val="16"/>
              </w:rPr>
              <w:t>Week 3: "Progress relative to previous week is minimal"</w:t>
            </w:r>
          </w:p>
        </w:tc>
        <w:tc>
          <w:tcPr>
            <w:tcW w:type="dxa" w:w="3289"/>
          </w:tcPr>
          <w:p>
            <w:r/>
            <w:r>
              <w:rPr>
                <w:b w:val="0"/>
                <w:sz w:val="16"/>
              </w:rPr>
              <w:t>Every capability now has a measurable target (table below); every weekly report opens with a progress table against the previous week.</w:t>
            </w:r>
          </w:p>
        </w:tc>
        <w:tc>
          <w:tcPr>
            <w:tcW w:type="dxa" w:w="3289"/>
          </w:tcPr>
          <w:p>
            <w:r/>
            <w:r>
              <w:rPr>
                <w:rFonts w:ascii="Consolas" w:hAnsi="Consolas"/>
                <w:sz w:val="16"/>
              </w:rPr>
              <w:t>results/plan/targets.json</w:t>
            </w:r>
          </w:p>
        </w:tc>
      </w:tr>
      <w:tr>
        <w:tc>
          <w:tcPr>
            <w:tcW w:type="dxa" w:w="3289"/>
          </w:tcPr>
          <w:p>
            <w:r/>
            <w:r>
              <w:rPr>
                <w:b w:val="0"/>
                <w:sz w:val="16"/>
              </w:rPr>
              <w:t>Week 4: "Where is the code? … overlapping content, missing pre-requisites, detect redundancies"</w:t>
            </w:r>
          </w:p>
        </w:tc>
        <w:tc>
          <w:tcPr>
            <w:tcW w:type="dxa" w:w="3289"/>
          </w:tcPr>
          <w:p>
            <w:r/>
            <w:r>
              <w:rPr>
                <w:b w:val="0"/>
                <w:sz w:val="16"/>
              </w:rPr>
              <w:t>Overlap, redundancy and missing prerequisites are capabilities 1–3 and the headline metrics of every week. Every report starts with this CODE block and ships with a code zip.</w:t>
            </w:r>
          </w:p>
        </w:tc>
        <w:tc>
          <w:tcPr>
            <w:tcW w:type="dxa" w:w="3289"/>
          </w:tcPr>
          <w:p>
            <w:r/>
            <w:r>
              <w:rPr>
                <w:b w:val="0"/>
                <w:sz w:val="16"/>
              </w:rPr>
              <w:t xml:space="preserve">this section; </w:t>
            </w:r>
            <w:r>
              <w:rPr>
                <w:rFonts w:ascii="Consolas" w:hAnsi="Consolas"/>
                <w:sz w:val="16"/>
              </w:rPr>
              <w:t>reports/templates/</w:t>
            </w:r>
          </w:p>
        </w:tc>
      </w:tr>
      <w:tr>
        <w:tc>
          <w:tcPr>
            <w:tcW w:type="dxa" w:w="3289"/>
          </w:tcPr>
          <w:p>
            <w:r/>
            <w:r>
              <w:rPr>
                <w:b w:val="0"/>
                <w:sz w:val="16"/>
              </w:rPr>
              <w:t>Our own audit: the graded Week 3 used MIT pages while Week 4 cited NMIMS data</w:t>
            </w:r>
          </w:p>
        </w:tc>
        <w:tc>
          <w:tcPr>
            <w:tcW w:type="dxa" w:w="3289"/>
          </w:tcPr>
          <w:p>
            <w:r/>
            <w:r>
              <w:rPr>
                <w:b w:val="0"/>
                <w:sz w:val="16"/>
              </w:rPr>
              <w:t>One dataset story from Week 1 on; all numbers are regenerated, none are copied from old reports.</w:t>
            </w:r>
          </w:p>
        </w:tc>
        <w:tc>
          <w:tcPr>
            <w:tcW w:type="dxa" w:w="3289"/>
          </w:tcPr>
          <w:p>
            <w:r/>
            <w:r>
              <w:rPr>
                <w:rFonts w:ascii="Consolas" w:hAnsi="Consolas"/>
                <w:sz w:val="16"/>
              </w:rPr>
              <w:t>tools/check_reports.py</w:t>
            </w:r>
          </w:p>
        </w:tc>
      </w:tr>
    </w:tbl>
    <w:p>
      <w:pPr>
        <w:spacing w:after="40"/>
      </w:pPr>
    </w:p>
    <w:p>
      <w:pPr>
        <w:pStyle w:val="Heading1"/>
      </w:pPr>
      <w:r>
        <w:t>Progress vs previous version</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Aspect</w:t>
            </w:r>
          </w:p>
        </w:tc>
        <w:tc>
          <w:tcPr>
            <w:tcW w:type="dxa" w:w="3289"/>
            <w:shd w:val="clear" w:color="auto" w:fill="D9E2F3"/>
          </w:tcPr>
          <w:p>
            <w:r/>
            <w:r>
              <w:rPr>
                <w:b/>
                <w:sz w:val="16"/>
              </w:rPr>
              <w:t>Proposal v1 (11 Sep)</w:t>
            </w:r>
          </w:p>
        </w:tc>
        <w:tc>
          <w:tcPr>
            <w:tcW w:type="dxa" w:w="3289"/>
            <w:shd w:val="clear" w:color="auto" w:fill="D9E2F3"/>
          </w:tcPr>
          <w:p>
            <w:r/>
            <w:r>
              <w:rPr>
                <w:b/>
                <w:sz w:val="16"/>
              </w:rPr>
              <w:t>Proposal v2 (this report)</w:t>
            </w:r>
          </w:p>
        </w:tc>
      </w:tr>
      <w:tr>
        <w:tc>
          <w:tcPr>
            <w:tcW w:type="dxa" w:w="3289"/>
          </w:tcPr>
          <w:p>
            <w:r/>
            <w:r>
              <w:rPr>
                <w:b w:val="0"/>
                <w:sz w:val="16"/>
              </w:rPr>
              <w:t>Dataset</w:t>
            </w:r>
          </w:p>
        </w:tc>
        <w:tc>
          <w:tcPr>
            <w:tcW w:type="dxa" w:w="3289"/>
          </w:tcPr>
          <w:p>
            <w:r/>
            <w:r>
              <w:rPr>
                <w:b w:val="0"/>
                <w:sz w:val="16"/>
              </w:rPr>
              <w:t xml:space="preserve">public syllabi first, NMIMS optional, </w:t>
            </w:r>
            <w:r>
              <w:rPr>
                <w:rFonts w:ascii="Consolas" w:hAnsi="Consolas"/>
                <w:sz w:val="16"/>
              </w:rPr>
              <w:t>40–60</w:t>
            </w:r>
            <w:r>
              <w:rPr>
                <w:b w:val="0"/>
                <w:sz w:val="16"/>
              </w:rPr>
              <w:t xml:space="preserve"> documents</w:t>
            </w:r>
          </w:p>
        </w:tc>
        <w:tc>
          <w:tcPr>
            <w:tcW w:type="dxa" w:w="3289"/>
          </w:tcPr>
          <w:p>
            <w:r/>
            <w:r>
              <w:rPr>
                <w:b w:val="0"/>
                <w:sz w:val="16"/>
              </w:rPr>
              <w:t>NMIMS semester syllabus booklets only: 2,366 course versions of 655 courses</w:t>
            </w:r>
          </w:p>
        </w:tc>
      </w:tr>
      <w:tr>
        <w:tc>
          <w:tcPr>
            <w:tcW w:type="dxa" w:w="3289"/>
          </w:tcPr>
          <w:p>
            <w:r/>
            <w:r>
              <w:rPr>
                <w:b w:val="0"/>
                <w:sz w:val="16"/>
              </w:rPr>
              <w:t>Success criteria</w:t>
            </w:r>
          </w:p>
        </w:tc>
        <w:tc>
          <w:tcPr>
            <w:tcW w:type="dxa" w:w="3289"/>
          </w:tcPr>
          <w:p>
            <w:r/>
            <w:r>
              <w:rPr>
                <w:b w:val="0"/>
                <w:sz w:val="16"/>
              </w:rPr>
              <w:t>none</w:t>
            </w:r>
          </w:p>
        </w:tc>
        <w:tc>
          <w:tcPr>
            <w:tcW w:type="dxa" w:w="3289"/>
          </w:tcPr>
          <w:p>
            <w:r/>
            <w:r>
              <w:rPr>
                <w:b w:val="0"/>
                <w:sz w:val="16"/>
              </w:rPr>
              <w:t>a numeric target per capability, fixed before any result</w:t>
            </w:r>
          </w:p>
        </w:tc>
      </w:tr>
      <w:tr>
        <w:tc>
          <w:tcPr>
            <w:tcW w:type="dxa" w:w="3289"/>
          </w:tcPr>
          <w:p>
            <w:r/>
            <w:r>
              <w:rPr>
                <w:b w:val="0"/>
                <w:sz w:val="16"/>
              </w:rPr>
              <w:t>Compare curricula</w:t>
            </w:r>
          </w:p>
        </w:tc>
        <w:tc>
          <w:tcPr>
            <w:tcW w:type="dxa" w:w="3289"/>
          </w:tcPr>
          <w:p>
            <w:r/>
            <w:r>
              <w:rPr>
                <w:b w:val="0"/>
                <w:sz w:val="16"/>
              </w:rPr>
              <w:t>course pairs only</w:t>
            </w:r>
          </w:p>
        </w:tc>
        <w:tc>
          <w:tcPr>
            <w:tcW w:type="dxa" w:w="3289"/>
          </w:tcPr>
          <w:p>
            <w:r/>
            <w:r>
              <w:rPr>
                <w:b w:val="0"/>
                <w:sz w:val="16"/>
              </w:rPr>
              <w:t>course pairs and whole programmes (programme vs programme, year vs year)</w:t>
            </w:r>
          </w:p>
        </w:tc>
      </w:tr>
      <w:tr>
        <w:tc>
          <w:tcPr>
            <w:tcW w:type="dxa" w:w="3289"/>
          </w:tcPr>
          <w:p>
            <w:r/>
            <w:r>
              <w:rPr>
                <w:b w:val="0"/>
                <w:sz w:val="16"/>
              </w:rPr>
              <w:t>Emerging topics, ontology</w:t>
            </w:r>
          </w:p>
        </w:tc>
        <w:tc>
          <w:tcPr>
            <w:tcW w:type="dxa" w:w="3289"/>
          </w:tcPr>
          <w:p>
            <w:r/>
            <w:r>
              <w:rPr>
                <w:b w:val="0"/>
                <w:sz w:val="16"/>
              </w:rPr>
              <w:t>named, no method</w:t>
            </w:r>
          </w:p>
        </w:tc>
        <w:tc>
          <w:tcPr>
            <w:tcW w:type="dxa" w:w="3289"/>
          </w:tcPr>
          <w:p>
            <w:r/>
            <w:r>
              <w:rPr>
                <w:b w:val="0"/>
                <w:sz w:val="16"/>
              </w:rPr>
              <w:t>cited reference list + embedding coverage; topic clusters with reviewed labels</w:t>
            </w:r>
          </w:p>
        </w:tc>
      </w:tr>
      <w:tr>
        <w:tc>
          <w:tcPr>
            <w:tcW w:type="dxa" w:w="3289"/>
          </w:tcPr>
          <w:p>
            <w:r/>
            <w:r>
              <w:rPr>
                <w:b w:val="0"/>
                <w:sz w:val="16"/>
              </w:rPr>
              <w:t>Evaluation labels</w:t>
            </w:r>
          </w:p>
        </w:tc>
        <w:tc>
          <w:tcPr>
            <w:tcW w:type="dxa" w:w="3289"/>
          </w:tcPr>
          <w:p>
            <w:r/>
            <w:r>
              <w:rPr>
                <w:b w:val="0"/>
                <w:sz w:val="16"/>
              </w:rPr>
              <w:t>"small human-annotated set"</w:t>
            </w:r>
          </w:p>
        </w:tc>
        <w:tc>
          <w:tcPr>
            <w:tcW w:type="dxa" w:w="3289"/>
          </w:tcPr>
          <w:p>
            <w:r/>
            <w:r>
              <w:rPr>
                <w:b w:val="0"/>
                <w:sz w:val="16"/>
              </w:rPr>
              <w:t>LLM-annotated reference labels with a documented multi-pass protocol, plus label-free tests</w:t>
            </w:r>
          </w:p>
        </w:tc>
      </w:tr>
    </w:tbl>
    <w:p>
      <w:pPr>
        <w:spacing w:after="40"/>
      </w:pPr>
    </w:p>
    <w:p>
      <w:pPr>
        <w:pStyle w:val="Heading1"/>
      </w:pPr>
      <w:r>
        <w:t>Problem and users</w:t>
      </w:r>
    </w:p>
    <w:p>
      <w:r>
        <w:rPr>
          <w:b w:val="0"/>
        </w:rPr>
        <w:t>Universities revise curricula periodically, but comparing course descriptions, syllabi and learning outcomes across semesters, programmes and years is done by hand. It is slow and inconsistent, and makes it hard to spot overlapping topics, redundant content, missing prerequisites or gaps in emerging topics. Users: Board of Studies and curriculum committees, heads of department checking electives for redundancy, the academic office mapping outcomes to Bloom's taxonomy, and faculty designing a new course.</w:t>
      </w:r>
    </w:p>
    <w:p>
      <w:pPr>
        <w:pStyle w:val="Heading1"/>
      </w:pPr>
      <w:r>
        <w:t>Input and output</w:t>
      </w:r>
    </w:p>
    <w:p>
      <w:r>
        <w:rPr>
          <w:b w:val="0"/>
        </w:rPr>
        <w:t>Input: two courses, two programmes or two academic years of a programme, given as NMIMS syllabus PDF/DOCX/text or as course ids from the parsed dataset. Output: a JSON report with confidence scores, for example:</w:t>
      </w:r>
    </w:p>
    <w:p>
      <w:pPr>
        <w:spacing w:after="80"/>
        <w:shd w:val="clear" w:fill="F2F2F2"/>
      </w:pPr>
      <w:r>
        <w:rPr>
          <w:rFonts w:ascii="Consolas" w:hAnsi="Consolas"/>
          <w:sz w:val="14"/>
        </w:rPr>
        <w:t>{"course_a": "...", "course_b": "...", "overlap": {"percent": "72%", "confidence": 0.86, "redundancy_warning": false},</w:t>
        <w:br/>
        <w:t xml:space="preserve"> "common_topics": ["Probability", "Regression", "Classification"], "unique_to_a": ["Time Series"],</w:t>
        <w:br/>
        <w:t xml:space="preserve"> "unique_to_b": ["Transformers", "Large Language Models"],</w:t>
        <w:br/>
        <w:t xml:space="preserve"> "missing_prerequisites": [{"course": "...", "assumes": "...", "reason": "not taught in an earlier semester of the programme"}],</w:t>
        <w:br/>
        <w:t xml:space="preserve"> "outcome_bloom": [{"outcome": "...", "level": "Apply", "confidence": 0.7}]}</w:t>
      </w:r>
    </w:p>
    <w:p>
      <w:pPr>
        <w:pStyle w:val="Heading1"/>
      </w:pPr>
      <w:r>
        <w:t>Dataset: NMIMS semester syllabus booklets</w:t>
      </w:r>
    </w:p>
    <w:p>
      <w:pPr>
        <w:pStyle w:val="ListBullet"/>
      </w:pPr>
      <w:r>
        <w:rPr>
          <w:b w:val="0"/>
        </w:rPr>
        <w:t>Source: the B.Tech syllabus archive of our college (2,413 non-exam PDFs across all years and branches, organised by year of study, programme and semester). Past exam papers in the archive are excluded: they are not syllabi.</w:t>
      </w:r>
    </w:p>
    <w:p>
      <w:pPr>
        <w:pStyle w:val="ListBullet"/>
      </w:pPr>
      <w:r>
        <w:rPr>
          <w:b w:val="0"/>
        </w:rPr>
        <w:t>Coverage limitation: 531 of 2,413 PDFs have a text layer and are parsed; 1,882 are scanned images. We have no OCR engine, so most pre-2020 booklets and some programme-year booklets are missing. OCR is future work.</w:t>
      </w:r>
    </w:p>
    <w:p>
      <w:pPr>
        <w:pStyle w:val="ListBullet"/>
      </w:pPr>
      <w:r>
        <w:rPr>
          <w:b w:val="0"/>
        </w:rPr>
        <w:t>Parsed: 2,366 course versions of 655 distinct courses (472 with two or more versions), academic years 2020-21 to 2026-27. Each record holds programme, semester, academic year, credits, prerequisites, objectives, 8,650 learning outcomes (546 carry the faculty's own K/L Bloom tag) and 14,747 units.</w:t>
      </w:r>
    </w:p>
    <w:p>
      <w:pPr>
        <w:pStyle w:val="ListBullet"/>
      </w:pPr>
      <w:r>
        <w:rPr>
          <w:b w:val="0"/>
        </w:rPr>
        <w:t>Versions vs courses: all versions of a course form one family (same code or same name). Comparing two versions is a separate version-change task, and a family is never split between training and test data.</w:t>
      </w:r>
    </w:p>
    <w:p>
      <w:pPr>
        <w:pStyle w:val="ListBullet"/>
      </w:pPr>
      <w:r>
        <w:rPr>
          <w:b w:val="0"/>
        </w:rPr>
        <w:t>Data governance: no student data; the parsed fields contain no faculty names or e-mails (checked); grading and attendance tables are cut. The parsed text stays out of the public repository; only code, ids, labels and metrics are published.</w:t>
      </w:r>
    </w:p>
    <w:p>
      <w:pPr>
        <w:pStyle w:val="Heading1"/>
      </w:pPr>
      <w:r>
        <w:t>Capabilities, methods and success criteria</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shd w:val="clear" w:color="auto" w:fill="D9E2F3"/>
          </w:tcPr>
          <w:p>
            <w:r/>
            <w:r>
              <w:rPr>
                <w:b/>
                <w:sz w:val="16"/>
              </w:rPr>
              <w:t>#</w:t>
            </w:r>
          </w:p>
        </w:tc>
        <w:tc>
          <w:tcPr>
            <w:tcW w:type="dxa" w:w="1973"/>
            <w:shd w:val="clear" w:color="auto" w:fill="D9E2F3"/>
          </w:tcPr>
          <w:p>
            <w:r/>
            <w:r>
              <w:rPr>
                <w:b/>
                <w:sz w:val="16"/>
              </w:rPr>
              <w:t>Capability</w:t>
            </w:r>
          </w:p>
        </w:tc>
        <w:tc>
          <w:tcPr>
            <w:tcW w:type="dxa" w:w="1973"/>
            <w:shd w:val="clear" w:color="auto" w:fill="D9E2F3"/>
          </w:tcPr>
          <w:p>
            <w:r/>
            <w:r>
              <w:rPr>
                <w:b/>
                <w:sz w:val="16"/>
              </w:rPr>
              <w:t>Baseline → improved</w:t>
            </w:r>
          </w:p>
        </w:tc>
        <w:tc>
          <w:tcPr>
            <w:tcW w:type="dxa" w:w="1973"/>
            <w:shd w:val="clear" w:color="auto" w:fill="D9E2F3"/>
          </w:tcPr>
          <w:p>
            <w:r/>
            <w:r>
              <w:rPr>
                <w:b/>
                <w:sz w:val="16"/>
              </w:rPr>
              <w:t>Ground truth</w:t>
            </w:r>
          </w:p>
        </w:tc>
        <w:tc>
          <w:tcPr>
            <w:tcW w:type="dxa" w:w="1973"/>
            <w:shd w:val="clear" w:color="auto" w:fill="D9E2F3"/>
          </w:tcPr>
          <w:p>
            <w:r/>
            <w:r>
              <w:rPr>
                <w:b/>
                <w:sz w:val="16"/>
              </w:rPr>
              <w:t>Metric: target</w:t>
            </w:r>
          </w:p>
        </w:tc>
      </w:tr>
      <w:tr>
        <w:tc>
          <w:tcPr>
            <w:tcW w:type="dxa" w:w="1973"/>
          </w:tcPr>
          <w:p>
            <w:r/>
            <w:r>
              <w:rPr>
                <w:b w:val="0"/>
                <w:sz w:val="16"/>
              </w:rPr>
              <w:t>1</w:t>
            </w:r>
          </w:p>
        </w:tc>
        <w:tc>
          <w:tcPr>
            <w:tcW w:type="dxa" w:w="1973"/>
          </w:tcPr>
          <w:p>
            <w:r/>
            <w:r>
              <w:rPr>
                <w:b w:val="0"/>
                <w:sz w:val="16"/>
              </w:rPr>
              <w:t>Course-pair overlap: score, common and unique topics</w:t>
            </w:r>
          </w:p>
        </w:tc>
        <w:tc>
          <w:tcPr>
            <w:tcW w:type="dxa" w:w="1973"/>
          </w:tcPr>
          <w:p>
            <w:r/>
            <w:r>
              <w:rPr>
                <w:b w:val="0"/>
                <w:sz w:val="16"/>
              </w:rPr>
              <w:t>TF-IDF cosine → chunk-level embeddings (MaxSim) + topic labels</w:t>
            </w:r>
          </w:p>
        </w:tc>
        <w:tc>
          <w:tcPr>
            <w:tcW w:type="dxa" w:w="1973"/>
          </w:tcPr>
          <w:p>
            <w:r/>
            <w:r>
              <w:rPr>
                <w:b w:val="0"/>
                <w:sz w:val="16"/>
              </w:rPr>
              <w:t>LLM-annotated reference labels (0/1/2); version pairs reported separately</w:t>
            </w:r>
          </w:p>
        </w:tc>
        <w:tc>
          <w:tcPr>
            <w:tcW w:type="dxa" w:w="1973"/>
          </w:tcPr>
          <w:p>
            <w:r/>
            <w:r>
              <w:rPr>
                <w:b w:val="0"/>
                <w:sz w:val="16"/>
              </w:rPr>
              <w:t>Spearman ≥ 0.600, ROC-AUC ≥ 0.850, F1 ≥ 0.700</w:t>
            </w:r>
          </w:p>
        </w:tc>
      </w:tr>
      <w:tr>
        <w:tc>
          <w:tcPr>
            <w:tcW w:type="dxa" w:w="1973"/>
          </w:tcPr>
          <w:p>
            <w:r/>
            <w:r>
              <w:rPr>
                <w:b w:val="0"/>
                <w:sz w:val="16"/>
              </w:rPr>
              <w:t>2</w:t>
            </w:r>
          </w:p>
        </w:tc>
        <w:tc>
          <w:tcPr>
            <w:tcW w:type="dxa" w:w="1973"/>
          </w:tcPr>
          <w:p>
            <w:r/>
            <w:r>
              <w:rPr>
                <w:b w:val="0"/>
                <w:sz w:val="16"/>
              </w:rPr>
              <w:t>Redundant content within a programme</w:t>
            </w:r>
          </w:p>
        </w:tc>
        <w:tc>
          <w:tcPr>
            <w:tcW w:type="dxa" w:w="1973"/>
          </w:tcPr>
          <w:p>
            <w:r/>
            <w:r>
              <w:rPr>
                <w:b w:val="0"/>
                <w:sz w:val="16"/>
              </w:rPr>
              <w:t>course-level TF-IDF threshold → unit-level near-duplicates</w:t>
            </w:r>
          </w:p>
        </w:tc>
        <w:tc>
          <w:tcPr>
            <w:tcW w:type="dxa" w:w="1973"/>
          </w:tcPr>
          <w:p>
            <w:r/>
            <w:r>
              <w:rPr>
                <w:b w:val="0"/>
                <w:sz w:val="16"/>
              </w:rPr>
              <w:t>reference labels on top flags; injected duplicate units</w:t>
            </w:r>
          </w:p>
        </w:tc>
        <w:tc>
          <w:tcPr>
            <w:tcW w:type="dxa" w:w="1973"/>
          </w:tcPr>
          <w:p>
            <w:r/>
            <w:r>
              <w:rPr>
                <w:b w:val="0"/>
                <w:sz w:val="16"/>
              </w:rPr>
              <w:t>precision@20 ≥ 0.700, injected recall@20 ≥ 0.800</w:t>
            </w:r>
          </w:p>
        </w:tc>
      </w:tr>
      <w:tr>
        <w:tc>
          <w:tcPr>
            <w:tcW w:type="dxa" w:w="1973"/>
          </w:tcPr>
          <w:p>
            <w:r/>
            <w:r>
              <w:rPr>
                <w:b w:val="0"/>
                <w:sz w:val="16"/>
              </w:rPr>
              <w:t>3</w:t>
            </w:r>
          </w:p>
        </w:tc>
        <w:tc>
          <w:tcPr>
            <w:tcW w:type="dxa" w:w="1973"/>
          </w:tcPr>
          <w:p>
            <w:r/>
            <w:r>
              <w:rPr>
                <w:b w:val="0"/>
                <w:sz w:val="16"/>
              </w:rPr>
              <w:t>Missing prerequisites</w:t>
            </w:r>
          </w:p>
        </w:tc>
        <w:tc>
          <w:tcPr>
            <w:tcW w:type="dxa" w:w="1973"/>
          </w:tcPr>
          <w:p>
            <w:r/>
            <w:r>
              <w:rPr>
                <w:b w:val="0"/>
                <w:sz w:val="16"/>
              </w:rPr>
              <w:t>regex + exact course-name match → embedding resolution + programme graph (prerequisite not offered earlier; assumed topic not taught earlier)</w:t>
            </w:r>
          </w:p>
        </w:tc>
        <w:tc>
          <w:tcPr>
            <w:tcW w:type="dxa" w:w="1973"/>
          </w:tcPr>
          <w:p>
            <w:r/>
            <w:r>
              <w:rPr>
                <w:b w:val="0"/>
                <w:sz w:val="16"/>
              </w:rPr>
              <w:t>removal of a prerequisite course; renamed-course test; reference labels on flags</w:t>
            </w:r>
          </w:p>
        </w:tc>
        <w:tc>
          <w:tcPr>
            <w:tcW w:type="dxa" w:w="1973"/>
          </w:tcPr>
          <w:p>
            <w:r/>
            <w:r>
              <w:rPr>
                <w:b w:val="0"/>
                <w:sz w:val="16"/>
              </w:rPr>
              <w:t>removal recall ≥ 0.800, flag precision ≥ 0.600, false alarms on renamed courses ≤ 0.200</w:t>
            </w:r>
          </w:p>
        </w:tc>
      </w:tr>
      <w:tr>
        <w:tc>
          <w:tcPr>
            <w:tcW w:type="dxa" w:w="1973"/>
          </w:tcPr>
          <w:p>
            <w:r/>
            <w:r>
              <w:rPr>
                <w:b w:val="0"/>
                <w:sz w:val="16"/>
              </w:rPr>
              <w:t>4</w:t>
            </w:r>
          </w:p>
        </w:tc>
        <w:tc>
          <w:tcPr>
            <w:tcW w:type="dxa" w:w="1973"/>
          </w:tcPr>
          <w:p>
            <w:r/>
            <w:r>
              <w:rPr>
                <w:b w:val="0"/>
                <w:sz w:val="16"/>
              </w:rPr>
              <w:t>Compare two curricula (programme vs programme, year vs year)</w:t>
            </w:r>
          </w:p>
        </w:tc>
        <w:tc>
          <w:tcPr>
            <w:tcW w:type="dxa" w:w="1973"/>
          </w:tcPr>
          <w:p>
            <w:r/>
            <w:r>
              <w:rPr>
                <w:b w:val="0"/>
                <w:sz w:val="16"/>
              </w:rPr>
              <w:t>course-name set difference → family + content matching, structured diff</w:t>
            </w:r>
          </w:p>
        </w:tc>
        <w:tc>
          <w:tcPr>
            <w:tcW w:type="dxa" w:w="1973"/>
          </w:tcPr>
          <w:p>
            <w:r/>
            <w:r>
              <w:rPr>
                <w:b w:val="0"/>
                <w:sz w:val="16"/>
              </w:rPr>
              <w:t>known year-over-year changes</w:t>
            </w:r>
          </w:p>
        </w:tc>
        <w:tc>
          <w:tcPr>
            <w:tcW w:type="dxa" w:w="1973"/>
          </w:tcPr>
          <w:p>
            <w:r/>
            <w:r>
              <w:rPr>
                <w:b w:val="0"/>
                <w:sz w:val="16"/>
              </w:rPr>
              <w:t>precision ≥ 0.850, recall ≥ 0.850</w:t>
            </w:r>
          </w:p>
        </w:tc>
      </w:tr>
      <w:tr>
        <w:tc>
          <w:tcPr>
            <w:tcW w:type="dxa" w:w="1973"/>
          </w:tcPr>
          <w:p>
            <w:r/>
            <w:r>
              <w:rPr>
                <w:b w:val="0"/>
                <w:sz w:val="16"/>
              </w:rPr>
              <w:t>5</w:t>
            </w:r>
          </w:p>
        </w:tc>
        <w:tc>
          <w:tcPr>
            <w:tcW w:type="dxa" w:w="1973"/>
          </w:tcPr>
          <w:p>
            <w:r/>
            <w:r>
              <w:rPr>
                <w:b w:val="0"/>
                <w:sz w:val="16"/>
              </w:rPr>
              <w:t>Outcome → Bloom level (stretch)</w:t>
            </w:r>
          </w:p>
        </w:tc>
        <w:tc>
          <w:tcPr>
            <w:tcW w:type="dxa" w:w="1973"/>
          </w:tcPr>
          <w:p>
            <w:r/>
            <w:r>
              <w:rPr>
                <w:b w:val="0"/>
                <w:sz w:val="16"/>
              </w:rPr>
              <w:t>verb lexicon → verb lexicon + embedding classifier / LLM</w:t>
            </w:r>
          </w:p>
        </w:tc>
        <w:tc>
          <w:tcPr>
            <w:tcW w:type="dxa" w:w="1973"/>
          </w:tcPr>
          <w:p>
            <w:r/>
            <w:r>
              <w:rPr>
                <w:b w:val="0"/>
                <w:sz w:val="16"/>
              </w:rPr>
              <w:t>faculty K/L tags printed in the syllabi</w:t>
            </w:r>
          </w:p>
        </w:tc>
        <w:tc>
          <w:tcPr>
            <w:tcW w:type="dxa" w:w="1973"/>
          </w:tcPr>
          <w:p>
            <w:r/>
            <w:r>
              <w:rPr>
                <w:b w:val="0"/>
                <w:sz w:val="16"/>
              </w:rPr>
              <w:t>accuracy ≥ 0.700, within ±1 level ≥ 0.850</w:t>
            </w:r>
          </w:p>
        </w:tc>
      </w:tr>
      <w:tr>
        <w:tc>
          <w:tcPr>
            <w:tcW w:type="dxa" w:w="1973"/>
          </w:tcPr>
          <w:p>
            <w:r/>
            <w:r>
              <w:rPr>
                <w:b w:val="0"/>
                <w:sz w:val="16"/>
              </w:rPr>
              <w:t>6</w:t>
            </w:r>
          </w:p>
        </w:tc>
        <w:tc>
          <w:tcPr>
            <w:tcW w:type="dxa" w:w="1973"/>
          </w:tcPr>
          <w:p>
            <w:r/>
            <w:r>
              <w:rPr>
                <w:b w:val="0"/>
                <w:sz w:val="16"/>
              </w:rPr>
              <w:t>Emerging-topic gaps</w:t>
            </w:r>
          </w:p>
        </w:tc>
        <w:tc>
          <w:tcPr>
            <w:tcW w:type="dxa" w:w="1973"/>
          </w:tcPr>
          <w:p>
            <w:r/>
            <w:r>
              <w:rPr>
                <w:b w:val="0"/>
                <w:sz w:val="16"/>
              </w:rPr>
              <w:t>cited reference list vs programme coverage (embeddings)</w:t>
            </w:r>
          </w:p>
        </w:tc>
        <w:tc>
          <w:tcPr>
            <w:tcW w:type="dxa" w:w="1973"/>
          </w:tcPr>
          <w:p>
            <w:r/>
            <w:r>
              <w:rPr>
                <w:b w:val="0"/>
                <w:sz w:val="16"/>
              </w:rPr>
              <w:t>reference labels on flagged gaps</w:t>
            </w:r>
          </w:p>
        </w:tc>
        <w:tc>
          <w:tcPr>
            <w:tcW w:type="dxa" w:w="1973"/>
          </w:tcPr>
          <w:p>
            <w:r/>
            <w:r>
              <w:rPr>
                <w:b w:val="0"/>
                <w:sz w:val="16"/>
              </w:rPr>
              <w:t>precision ≥ 0.700</w:t>
            </w:r>
          </w:p>
        </w:tc>
      </w:tr>
      <w:tr>
        <w:tc>
          <w:tcPr>
            <w:tcW w:type="dxa" w:w="1973"/>
          </w:tcPr>
          <w:p>
            <w:r/>
            <w:r>
              <w:rPr>
                <w:b w:val="0"/>
                <w:sz w:val="16"/>
              </w:rPr>
              <w:t>7</w:t>
            </w:r>
          </w:p>
        </w:tc>
        <w:tc>
          <w:tcPr>
            <w:tcW w:type="dxa" w:w="1973"/>
          </w:tcPr>
          <w:p>
            <w:r/>
            <w:r>
              <w:rPr>
                <w:b w:val="0"/>
                <w:sz w:val="16"/>
              </w:rPr>
              <w:t>Topic model / ontology</w:t>
            </w:r>
          </w:p>
        </w:tc>
        <w:tc>
          <w:tcPr>
            <w:tcW w:type="dxa" w:w="1973"/>
          </w:tcPr>
          <w:p>
            <w:r/>
            <w:r>
              <w:rPr>
                <w:b w:val="0"/>
                <w:sz w:val="16"/>
              </w:rPr>
              <w:t>unit-embedding clusters with class-TF-IDF names, grouped under a curated hierarchy</w:t>
            </w:r>
          </w:p>
        </w:tc>
        <w:tc>
          <w:tcPr>
            <w:tcW w:type="dxa" w:w="1973"/>
          </w:tcPr>
          <w:p>
            <w:r/>
            <w:r>
              <w:rPr>
                <w:b w:val="0"/>
                <w:sz w:val="16"/>
              </w:rPr>
              <w:t>review of topic labels</w:t>
            </w:r>
          </w:p>
        </w:tc>
        <w:tc>
          <w:tcPr>
            <w:tcW w:type="dxa" w:w="1973"/>
          </w:tcPr>
          <w:p>
            <w:r/>
            <w:r>
              <w:rPr>
                <w:b w:val="0"/>
                <w:sz w:val="16"/>
              </w:rPr>
              <w:t>labels accepted ≥ 0.700</w:t>
            </w:r>
          </w:p>
        </w:tc>
      </w:tr>
    </w:tbl>
    <w:p>
      <w:pPr>
        <w:spacing w:after="40"/>
      </w:pPr>
    </w:p>
    <w:p>
      <w:r>
        <w:rPr>
          <w:b w:val="0"/>
        </w:rPr>
        <w:t>NLP components used: semantic similarity and embeddings (overlap, redundancy, curriculum diff, emerging topics), information extraction (prerequisites, units, outcomes), classification (Bloom), topic modelling and ontology construction (topic labels, topic hierarchy). Emerging topics: a list of current topics (for example LLMs, retrieval-augmented generation, MLOps, AI safety, quantum computing, edge AI), each tied to a source we can verify; unverifiable entries are marked "to confirm". A programme has a gap when no unit of its courses is semantically close to a topic.</w:t>
      </w:r>
    </w:p>
    <w:p>
      <w:pPr>
        <w:pStyle w:val="Heading1"/>
      </w:pPr>
      <w:r>
        <w:t>Labels and evaluation protocol</w:t>
      </w:r>
    </w:p>
    <w:p>
      <w:pPr>
        <w:pStyle w:val="ListBullet"/>
      </w:pPr>
      <w:r>
        <w:rPr>
          <w:b w:val="0"/>
        </w:rPr>
        <w:t>Split by course family: 60% train, 20% validation, 20% test (seed 42). Thresholds and hyper-parameters are chosen on validation only; the test split is used once per reported run. 95% confidence intervals resample whole courses.</w:t>
      </w:r>
    </w:p>
    <w:p>
      <w:pPr>
        <w:pStyle w:val="ListBullet"/>
      </w:pPr>
      <w:r>
        <w:rPr>
          <w:b w:val="0"/>
        </w:rPr>
        <w:t>LLM-annotated reference labels: stratified course pairs and detector flags are labelled in at least two independent passes with different prompt wordings, without any model scores (pass 1: a Claude model in a fresh context; pass 2: Phi-3 running locally, or a second Claude prompt where time ran out). Disagreements go to a third pass; items without a 2-of-3 majority are marked uncertain and excluded. Agreement is reported as LLM-vs-LLM agreement, separately per labeller pair. No human annotators were used; results are indicative. For 94 of 200 pairs the second labeller was a Claude prompt rather than Phi-3, so agreement on those items is not independent. Detector flags (Week 3 onwards) were labelled by two Claude passes with different wording plus a pass 3, with no Phi-3, so agreement on flags is not independent. A human spot-check sheet (ten pairs per member) is provided for optional later checking.</w:t>
      </w:r>
    </w:p>
    <w:p>
      <w:pPr>
        <w:pStyle w:val="ListBullet"/>
      </w:pPr>
      <w:r>
        <w:rPr>
          <w:b w:val="0"/>
        </w:rPr>
        <w:t>Label-free tests run alongside: faculty Bloom tags, injected overlap and duplicate units, removal of prerequisite courses, renamed courses, known year-over-year changes.</w:t>
      </w:r>
    </w:p>
    <w:p>
      <w:pPr>
        <w:pStyle w:val="Heading1"/>
      </w:pPr>
      <w:r>
        <w:t>Architecture and API</w:t>
      </w:r>
    </w:p>
    <w:p>
      <w:r>
        <w:rPr>
          <w:b w:val="0"/>
        </w:rPr>
        <w:t xml:space="preserve">Parser (PDF/DOCX → course records) → course families, programme structure (programme × semester × year) → embeddings → overlap, redundancy, prerequisite, diff, Bloom and emerging-topic modules → JSON. Reusable asset (Week 6): Python package </w:t>
      </w:r>
      <w:r>
        <w:rPr>
          <w:rFonts w:ascii="Consolas" w:hAnsi="Consolas"/>
        </w:rPr>
        <w:t>curriculum_engine</w:t>
      </w:r>
      <w:r>
        <w:rPr>
          <w:b w:val="0"/>
        </w:rPr>
        <w:t xml:space="preserve"> and a FastAPI service with </w:t>
      </w:r>
      <w:r>
        <w:rPr>
          <w:rFonts w:ascii="Consolas" w:hAnsi="Consolas"/>
        </w:rPr>
        <w:t>POST /compare-curricula</w:t>
      </w:r>
      <w:r>
        <w:rPr>
          <w:b w:val="0"/>
        </w:rPr>
        <w:t xml:space="preserve">, </w:t>
      </w:r>
      <w:r>
        <w:rPr>
          <w:rFonts w:ascii="Consolas" w:hAnsi="Consolas"/>
        </w:rPr>
        <w:t>POST /map-outcomes</w:t>
      </w:r>
      <w:r>
        <w:rPr>
          <w:b w:val="0"/>
        </w:rPr>
        <w:t xml:space="preserve">, </w:t>
      </w:r>
      <w:r>
        <w:rPr>
          <w:rFonts w:ascii="Consolas" w:hAnsi="Consolas"/>
        </w:rPr>
        <w:t>POST /find-overlaps</w:t>
      </w:r>
      <w:r>
        <w:rPr>
          <w:b w:val="0"/>
        </w:rPr>
        <w:t xml:space="preserve">, </w:t>
      </w:r>
      <w:r>
        <w:rPr>
          <w:rFonts w:ascii="Consolas" w:hAnsi="Consolas"/>
        </w:rPr>
        <w:t>POST /check-prerequisites</w:t>
      </w:r>
      <w:r>
        <w:rPr>
          <w:b w:val="0"/>
        </w:rPr>
        <w:t xml:space="preserve">, </w:t>
      </w:r>
      <w:r>
        <w:rPr>
          <w:rFonts w:ascii="Consolas" w:hAnsi="Consolas"/>
        </w:rPr>
        <w:t>POST /detect-redundancy</w:t>
      </w:r>
      <w:r>
        <w:rPr>
          <w:b w:val="0"/>
        </w:rPr>
        <w:t xml:space="preserve">, </w:t>
      </w:r>
      <w:r>
        <w:rPr>
          <w:rFonts w:ascii="Consolas" w:hAnsi="Consolas"/>
        </w:rPr>
        <w:t>POST /emerging-topics</w:t>
      </w:r>
      <w:r>
        <w:rPr>
          <w:b w:val="0"/>
        </w:rPr>
        <w:t xml:space="preserve"> and </w:t>
      </w:r>
      <w:r>
        <w:rPr>
          <w:rFonts w:ascii="Consolas" w:hAnsi="Consolas"/>
        </w:rPr>
        <w:t>GET /health</w:t>
      </w:r>
      <w:r>
        <w:rPr>
          <w:b w:val="0"/>
        </w:rPr>
        <w:t>, each returning confidence scores and model/version information. Links to the AI University: the Knowledge Assistant (Group 4) can answer "which courses overlap with X?" from our API; Communications Intelligence (Group 11) can draft circulars about curriculum changes from our diff reports.</w:t>
      </w:r>
    </w:p>
    <w:p>
      <w:pPr>
        <w:pStyle w:val="Heading1"/>
      </w:pPr>
      <w:r>
        <w:t>Eight-week plan</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Week (due)</w:t>
            </w:r>
          </w:p>
        </w:tc>
        <w:tc>
          <w:tcPr>
            <w:tcW w:type="dxa" w:w="3289"/>
            <w:shd w:val="clear" w:color="auto" w:fill="D9E2F3"/>
          </w:tcPr>
          <w:p>
            <w:r/>
            <w:r>
              <w:rPr>
                <w:b/>
                <w:sz w:val="16"/>
              </w:rPr>
              <w:t>Deliverable</w:t>
            </w:r>
          </w:p>
        </w:tc>
        <w:tc>
          <w:tcPr>
            <w:tcW w:type="dxa" w:w="3289"/>
            <w:shd w:val="clear" w:color="auto" w:fill="D9E2F3"/>
          </w:tcPr>
          <w:p>
            <w:r/>
            <w:r>
              <w:rPr>
                <w:b/>
                <w:sz w:val="16"/>
              </w:rPr>
              <w:t>Evidence of progress</w:t>
            </w:r>
          </w:p>
        </w:tc>
      </w:tr>
      <w:tr>
        <w:tc>
          <w:tcPr>
            <w:tcW w:type="dxa" w:w="3289"/>
          </w:tcPr>
          <w:p>
            <w:r/>
            <w:r>
              <w:rPr>
                <w:b w:val="0"/>
                <w:sz w:val="16"/>
              </w:rPr>
              <w:t>Week 1 (11 Sep, v2 9 Oct)</w:t>
            </w:r>
          </w:p>
        </w:tc>
        <w:tc>
          <w:tcPr>
            <w:tcW w:type="dxa" w:w="3289"/>
          </w:tcPr>
          <w:p>
            <w:r/>
            <w:r>
              <w:rPr>
                <w:b w:val="0"/>
                <w:sz w:val="16"/>
              </w:rPr>
              <w:t>this proposal</w:t>
            </w:r>
          </w:p>
        </w:tc>
        <w:tc>
          <w:tcPr>
            <w:tcW w:type="dxa" w:w="3289"/>
          </w:tcPr>
          <w:p>
            <w:r/>
            <w:r>
              <w:rPr>
                <w:b w:val="0"/>
                <w:sz w:val="16"/>
              </w:rPr>
              <w:t>targets fixed</w:t>
            </w:r>
          </w:p>
        </w:tc>
      </w:tr>
      <w:tr>
        <w:tc>
          <w:tcPr>
            <w:tcW w:type="dxa" w:w="3289"/>
          </w:tcPr>
          <w:p>
            <w:r/>
            <w:r>
              <w:rPr>
                <w:b w:val="0"/>
                <w:sz w:val="16"/>
              </w:rPr>
              <w:t>Week 2 (26 Sep)</w:t>
            </w:r>
          </w:p>
        </w:tc>
        <w:tc>
          <w:tcPr>
            <w:tcW w:type="dxa" w:w="3289"/>
          </w:tcPr>
          <w:p>
            <w:r/>
            <w:r>
              <w:rPr>
                <w:b w:val="0"/>
                <w:sz w:val="16"/>
              </w:rPr>
              <w:t>NMIMS dataset, schema, families, programme structure, split, reference labels, baselines for capabilities 1–5</w:t>
            </w:r>
          </w:p>
        </w:tc>
        <w:tc>
          <w:tcPr>
            <w:tcW w:type="dxa" w:w="3289"/>
          </w:tcPr>
          <w:p>
            <w:r/>
            <w:r>
              <w:rPr>
                <w:b w:val="0"/>
                <w:sz w:val="16"/>
              </w:rPr>
              <w:t>baseline metrics on the test split</w:t>
            </w:r>
          </w:p>
        </w:tc>
      </w:tr>
      <w:tr>
        <w:tc>
          <w:tcPr>
            <w:tcW w:type="dxa" w:w="3289"/>
          </w:tcPr>
          <w:p>
            <w:r/>
            <w:r>
              <w:rPr>
                <w:b w:val="0"/>
                <w:sz w:val="16"/>
              </w:rPr>
              <w:t>Week 3 (26 Sep)</w:t>
            </w:r>
          </w:p>
        </w:tc>
        <w:tc>
          <w:tcPr>
            <w:tcW w:type="dxa" w:w="3289"/>
          </w:tcPr>
          <w:p>
            <w:r/>
            <w:r>
              <w:rPr>
                <w:b w:val="0"/>
                <w:sz w:val="16"/>
              </w:rPr>
              <w:t>core model: MaxSim overlap, unit-level redundancy, programme-graph prerequisite checker, topic labels</w:t>
            </w:r>
          </w:p>
        </w:tc>
        <w:tc>
          <w:tcPr>
            <w:tcW w:type="dxa" w:w="3289"/>
          </w:tcPr>
          <w:p>
            <w:r/>
            <w:r>
              <w:rPr>
                <w:b w:val="0"/>
                <w:sz w:val="16"/>
              </w:rPr>
              <w:t>same split and metrics vs Week 2</w:t>
            </w:r>
          </w:p>
        </w:tc>
      </w:tr>
      <w:tr>
        <w:tc>
          <w:tcPr>
            <w:tcW w:type="dxa" w:w="3289"/>
          </w:tcPr>
          <w:p>
            <w:r/>
            <w:r>
              <w:rPr>
                <w:b w:val="0"/>
                <w:sz w:val="16"/>
              </w:rPr>
              <w:t>Week 4 (2 Oct)</w:t>
            </w:r>
          </w:p>
        </w:tc>
        <w:tc>
          <w:tcPr>
            <w:tcW w:type="dxa" w:w="3289"/>
          </w:tcPr>
          <w:p>
            <w:r/>
            <w:r>
              <w:rPr>
                <w:b w:val="0"/>
                <w:sz w:val="16"/>
              </w:rPr>
              <w:t>ablations and improvements with confidence intervals</w:t>
            </w:r>
          </w:p>
        </w:tc>
        <w:tc>
          <w:tcPr>
            <w:tcW w:type="dxa" w:w="3289"/>
          </w:tcPr>
          <w:p>
            <w:r/>
            <w:r>
              <w:rPr>
                <w:b w:val="0"/>
                <w:sz w:val="16"/>
              </w:rPr>
              <w:t>baseline-vs-improved table</w:t>
            </w:r>
          </w:p>
        </w:tc>
      </w:tr>
      <w:tr>
        <w:tc>
          <w:tcPr>
            <w:tcW w:type="dxa" w:w="3289"/>
          </w:tcPr>
          <w:p>
            <w:r/>
            <w:r>
              <w:rPr>
                <w:b w:val="0"/>
                <w:sz w:val="16"/>
              </w:rPr>
              <w:t>Week 5 (9 Oct)</w:t>
            </w:r>
          </w:p>
        </w:tc>
        <w:tc>
          <w:tcPr>
            <w:tcW w:type="dxa" w:w="3289"/>
          </w:tcPr>
          <w:p>
            <w:r/>
            <w:r>
              <w:rPr>
                <w:b w:val="0"/>
                <w:sz w:val="16"/>
              </w:rPr>
              <w:t>evaluation and error analysis: per programme, thresholds, robustness, failure cases</w:t>
            </w:r>
          </w:p>
        </w:tc>
        <w:tc>
          <w:tcPr>
            <w:tcW w:type="dxa" w:w="3289"/>
          </w:tcPr>
          <w:p>
            <w:r/>
            <w:r>
              <w:rPr>
                <w:b w:val="0"/>
                <w:sz w:val="16"/>
              </w:rPr>
              <w:t>at least ten documented failures</w:t>
            </w:r>
          </w:p>
        </w:tc>
      </w:tr>
      <w:tr>
        <w:tc>
          <w:tcPr>
            <w:tcW w:type="dxa" w:w="3289"/>
          </w:tcPr>
          <w:p>
            <w:r/>
            <w:r>
              <w:rPr>
                <w:b w:val="0"/>
                <w:sz w:val="16"/>
              </w:rPr>
              <w:t>Week 6 (16 Oct)</w:t>
            </w:r>
          </w:p>
        </w:tc>
        <w:tc>
          <w:tcPr>
            <w:tcW w:type="dxa" w:w="3289"/>
          </w:tcPr>
          <w:p>
            <w:r/>
            <w:r>
              <w:rPr>
                <w:b w:val="0"/>
                <w:sz w:val="16"/>
              </w:rPr>
              <w:t>reusable asset: package + FastAPI + schemas + confidence + docs</w:t>
            </w:r>
          </w:p>
        </w:tc>
        <w:tc>
          <w:tcPr>
            <w:tcW w:type="dxa" w:w="3289"/>
          </w:tcPr>
          <w:p>
            <w:r/>
            <w:r>
              <w:rPr>
                <w:b w:val="0"/>
                <w:sz w:val="16"/>
              </w:rPr>
              <w:t>API tests pass</w:t>
            </w:r>
          </w:p>
        </w:tc>
      </w:tr>
      <w:tr>
        <w:tc>
          <w:tcPr>
            <w:tcW w:type="dxa" w:w="3289"/>
          </w:tcPr>
          <w:p>
            <w:r/>
            <w:r>
              <w:rPr>
                <w:b w:val="0"/>
                <w:sz w:val="16"/>
              </w:rPr>
              <w:t>Week 7 (23 Oct)</w:t>
            </w:r>
          </w:p>
        </w:tc>
        <w:tc>
          <w:tcPr>
            <w:tcW w:type="dxa" w:w="3289"/>
          </w:tcPr>
          <w:p>
            <w:r/>
            <w:r>
              <w:rPr>
                <w:b w:val="0"/>
                <w:sz w:val="16"/>
              </w:rPr>
              <w:t>committee UI, integration with Groups 4/11 (adapter + mock), responsible-AI analysis</w:t>
            </w:r>
          </w:p>
        </w:tc>
        <w:tc>
          <w:tcPr>
            <w:tcW w:type="dxa" w:w="3289"/>
          </w:tcPr>
          <w:p>
            <w:r/>
            <w:r>
              <w:rPr>
                <w:b w:val="0"/>
                <w:sz w:val="16"/>
              </w:rPr>
              <w:t>cross-component demo</w:t>
            </w:r>
          </w:p>
        </w:tc>
      </w:tr>
      <w:tr>
        <w:tc>
          <w:tcPr>
            <w:tcW w:type="dxa" w:w="3289"/>
          </w:tcPr>
          <w:p>
            <w:r/>
            <w:r>
              <w:rPr>
                <w:b w:val="0"/>
                <w:sz w:val="16"/>
              </w:rPr>
              <w:t>Week 8 (30 Oct)</w:t>
            </w:r>
          </w:p>
        </w:tc>
        <w:tc>
          <w:tcPr>
            <w:tcW w:type="dxa" w:w="3289"/>
          </w:tcPr>
          <w:p>
            <w:r/>
            <w:r>
              <w:rPr>
                <w:b w:val="0"/>
                <w:sz w:val="16"/>
              </w:rPr>
              <w:t>final report, README, slides, demo, architecture diagram, tag v1.0</w:t>
            </w:r>
          </w:p>
        </w:tc>
        <w:tc>
          <w:tcPr>
            <w:tcW w:type="dxa" w:w="3289"/>
          </w:tcPr>
          <w:p>
            <w:r/>
            <w:r>
              <w:rPr>
                <w:b w:val="0"/>
                <w:sz w:val="16"/>
              </w:rPr>
              <w:t>clean-clone run</w:t>
            </w:r>
          </w:p>
        </w:tc>
      </w:tr>
    </w:tbl>
    <w:p>
      <w:pPr>
        <w:spacing w:after="40"/>
      </w:pPr>
    </w:p>
    <w:p>
      <w:pPr>
        <w:pStyle w:val="Heading1"/>
      </w:pPr>
      <w:r>
        <w:t>Risks and mitigations</w:t>
      </w:r>
    </w:p>
    <w:tbl>
      <w:tblPr>
        <w:tblStyle w:val="TableGrid"/>
        <w:tblW w:type="auto" w:w="0"/>
        <w:tblLook w:firstColumn="1" w:firstRow="1" w:lastColumn="0" w:lastRow="0" w:noHBand="0" w:noVBand="1" w:val="04A0"/>
      </w:tblPr>
      <w:tblGrid>
        <w:gridCol w:w="4933"/>
        <w:gridCol w:w="4933"/>
      </w:tblGrid>
      <w:tr>
        <w:tc>
          <w:tcPr>
            <w:tcW w:type="dxa" w:w="4933"/>
            <w:shd w:val="clear" w:color="auto" w:fill="D9E2F3"/>
          </w:tcPr>
          <w:p>
            <w:r/>
            <w:r>
              <w:rPr>
                <w:b/>
                <w:sz w:val="16"/>
              </w:rPr>
              <w:t>Risk</w:t>
            </w:r>
          </w:p>
        </w:tc>
        <w:tc>
          <w:tcPr>
            <w:tcW w:type="dxa" w:w="4933"/>
            <w:shd w:val="clear" w:color="auto" w:fill="D9E2F3"/>
          </w:tcPr>
          <w:p>
            <w:r/>
            <w:r>
              <w:rPr>
                <w:b/>
                <w:sz w:val="16"/>
              </w:rPr>
              <w:t>Mitigation</w:t>
            </w:r>
          </w:p>
        </w:tc>
      </w:tr>
      <w:tr>
        <w:tc>
          <w:tcPr>
            <w:tcW w:type="dxa" w:w="4933"/>
          </w:tcPr>
          <w:p>
            <w:r/>
            <w:r>
              <w:rPr>
                <w:b w:val="0"/>
                <w:sz w:val="16"/>
              </w:rPr>
              <w:t>Scanned PDFs leave programme-year gaps, so a prerequisite can look "missing"</w:t>
            </w:r>
          </w:p>
        </w:tc>
        <w:tc>
          <w:tcPr>
            <w:tcW w:type="dxa" w:w="4933"/>
          </w:tcPr>
          <w:p>
            <w:r/>
            <w:r>
              <w:rPr>
                <w:b w:val="0"/>
                <w:sz w:val="16"/>
              </w:rPr>
              <w:t>coverage-aware checks; coverage table per programme; OCR as future work</w:t>
            </w:r>
          </w:p>
        </w:tc>
      </w:tr>
      <w:tr>
        <w:tc>
          <w:tcPr>
            <w:tcW w:type="dxa" w:w="4933"/>
          </w:tcPr>
          <w:p>
            <w:r/>
            <w:r>
              <w:rPr>
                <w:b w:val="0"/>
                <w:sz w:val="16"/>
              </w:rPr>
              <w:t>Reference labels come from LLMs, not people</w:t>
            </w:r>
          </w:p>
        </w:tc>
        <w:tc>
          <w:tcPr>
            <w:tcW w:type="dxa" w:w="4933"/>
          </w:tcPr>
          <w:p>
            <w:r/>
            <w:r>
              <w:rPr>
                <w:b w:val="0"/>
                <w:sz w:val="16"/>
              </w:rPr>
              <w:t>multi-pass protocol, agreement reported, label-free tests, optional human spot check, stated in every report</w:t>
            </w:r>
          </w:p>
        </w:tc>
      </w:tr>
      <w:tr>
        <w:tc>
          <w:tcPr>
            <w:tcW w:type="dxa" w:w="4933"/>
          </w:tcPr>
          <w:p>
            <w:r/>
            <w:r>
              <w:rPr>
                <w:b w:val="0"/>
                <w:sz w:val="16"/>
              </w:rPr>
              <w:t>Templated syllabi share wording, so lexical similarity is already strong</w:t>
            </w:r>
          </w:p>
        </w:tc>
        <w:tc>
          <w:tcPr>
            <w:tcW w:type="dxa" w:w="4933"/>
          </w:tcPr>
          <w:p>
            <w:r/>
            <w:r>
              <w:rPr>
                <w:b w:val="0"/>
                <w:sz w:val="16"/>
              </w:rPr>
              <w:t>unit-level analysis, honest "no clear difference" verdicts</w:t>
            </w:r>
          </w:p>
        </w:tc>
      </w:tr>
      <w:tr>
        <w:tc>
          <w:tcPr>
            <w:tcW w:type="dxa" w:w="4933"/>
          </w:tcPr>
          <w:p>
            <w:r/>
            <w:r>
              <w:rPr>
                <w:b w:val="0"/>
                <w:sz w:val="16"/>
              </w:rPr>
              <w:t>CPU-only machine</w:t>
            </w:r>
          </w:p>
        </w:tc>
        <w:tc>
          <w:tcPr>
            <w:tcW w:type="dxa" w:w="4933"/>
          </w:tcPr>
          <w:p>
            <w:r/>
            <w:r>
              <w:rPr>
                <w:b w:val="0"/>
                <w:sz w:val="16"/>
              </w:rPr>
              <w:t>cached embeddings, small local LLM, LLM steps optional</w:t>
            </w:r>
          </w:p>
        </w:tc>
      </w:tr>
    </w:tbl>
    <w:p>
      <w:pPr>
        <w:spacing w:after="40"/>
      </w:pPr>
    </w:p>
    <w:p>
      <w:pPr>
        <w:pStyle w:val="Heading1"/>
      </w:pPr>
      <w:r>
        <w:t>Responsible AI</w:t>
      </w:r>
    </w:p>
    <w:p>
      <w:r>
        <w:rPr>
          <w:b w:val="0"/>
        </w:rPr>
        <w:t>Scores support a committee; they never cut or merge courses automatically. Reports show the evidence (matched units, prerequisite text) behind each flag, include confidence, and are checked for faithfulness when an LLM writes text. Results are broken down by department to spot uneven quality. No personal data is processed.</w:t>
      </w:r>
    </w:p>
    <w:p>
      <w:pPr>
        <w:pStyle w:val="Heading1"/>
      </w:pPr>
      <w:r>
        <w:t>AI assistance</w:t>
      </w:r>
    </w:p>
    <w:p>
      <w:r>
        <w:rPr>
          <w:b w:val="0"/>
        </w:rPr>
        <w:t xml:space="preserve">Code, labels and report drafting were produced with AI assistance (Claude; Phi-3 locally as a second labeller). All numbers in this report are generated from </w:t>
      </w:r>
      <w:r>
        <w:rPr>
          <w:rFonts w:ascii="Consolas" w:hAnsi="Consolas"/>
        </w:rPr>
        <w:t>results/*.json</w:t>
      </w:r>
      <w:r>
        <w:rPr>
          <w:b w:val="0"/>
        </w:rPr>
        <w:t xml:space="preserve"> by </w:t>
      </w:r>
      <w:r>
        <w:rPr>
          <w:rFonts w:ascii="Consolas" w:hAnsi="Consolas"/>
        </w:rPr>
        <w:t>tools/build_report.py</w:t>
      </w:r>
      <w:r>
        <w:rPr>
          <w:b w:val="0"/>
        </w:rPr>
        <w:t xml:space="preserve"> and verified by </w:t>
      </w:r>
      <w:r>
        <w:rPr>
          <w:rFonts w:ascii="Consolas" w:hAnsi="Consolas"/>
        </w:rPr>
        <w:t>tools/check_reports.py</w:t>
      </w:r>
      <w:r>
        <w:rPr>
          <w:b w:val="0"/>
        </w:rPr>
        <w:t>. LLM-annotated reference labels are used for evaluation; no human annotators were used; results are indicative.</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