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ApnaCare Product Requirements Document</w:t>
      </w:r>
    </w:p>
    <w:p>
      <w:r>
        <w:rPr>
          <w:b/>
          <w:color w:val="2F6B3B"/>
          <w:sz w:val="30"/>
        </w:rPr>
        <w:t>Emergency to everyday healthcare platform</w:t>
      </w:r>
    </w:p>
    <w:p>
      <w:r>
        <w:t>Company strategy, product requirements, access model, and frontend implementation blueprint</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4968"/>
            <w:vAlign w:val="center"/>
            <w:shd w:fill="2F6B3B"/>
          </w:tcPr>
          <w:p>
            <w:pPr>
              <w:spacing w:after="60"/>
            </w:pPr>
            <w:r/>
            <w:r>
              <w:rPr>
                <w:rFonts w:ascii="Aptos" w:hAnsi="Aptos"/>
                <w:b/>
                <w:color w:val="FFFFFF"/>
                <w:sz w:val="18"/>
              </w:rPr>
              <w:t>Document field</w:t>
            </w:r>
          </w:p>
        </w:tc>
        <w:tc>
          <w:tcPr>
            <w:tcW w:type="dxa" w:w="4968"/>
            <w:vAlign w:val="center"/>
            <w:shd w:fill="2F6B3B"/>
          </w:tcPr>
          <w:p>
            <w:pPr>
              <w:spacing w:after="60"/>
            </w:pPr>
            <w:r/>
            <w:r>
              <w:rPr>
                <w:rFonts w:ascii="Aptos" w:hAnsi="Aptos"/>
                <w:b/>
                <w:color w:val="FFFFFF"/>
                <w:sz w:val="18"/>
              </w:rPr>
              <w:t>Decision</w:t>
            </w:r>
          </w:p>
        </w:tc>
      </w:tr>
      <w:tr>
        <w:tc>
          <w:tcPr>
            <w:tcW w:type="dxa" w:w="4968"/>
            <w:vAlign w:val="center"/>
          </w:tcPr>
          <w:p>
            <w:pPr>
              <w:spacing w:after="60"/>
            </w:pPr>
            <w:r/>
            <w:r>
              <w:rPr>
                <w:rFonts w:ascii="Aptos" w:hAnsi="Aptos"/>
                <w:b w:val="0"/>
                <w:color w:val="222222"/>
                <w:sz w:val="18"/>
              </w:rPr>
              <w:t>Product</w:t>
            </w:r>
          </w:p>
        </w:tc>
        <w:tc>
          <w:tcPr>
            <w:tcW w:type="dxa" w:w="4968"/>
            <w:vAlign w:val="center"/>
          </w:tcPr>
          <w:p>
            <w:pPr>
              <w:spacing w:after="60"/>
            </w:pPr>
            <w:r/>
            <w:r>
              <w:rPr>
                <w:rFonts w:ascii="Aptos" w:hAnsi="Aptos"/>
                <w:b w:val="0"/>
                <w:color w:val="222222"/>
                <w:sz w:val="18"/>
              </w:rPr>
              <w:t>ApnaCare</w:t>
            </w:r>
          </w:p>
        </w:tc>
      </w:tr>
      <w:tr>
        <w:tc>
          <w:tcPr>
            <w:tcW w:type="dxa" w:w="4968"/>
            <w:vAlign w:val="center"/>
            <w:shd w:fill="F1F6F0"/>
          </w:tcPr>
          <w:p>
            <w:pPr>
              <w:spacing w:after="60"/>
            </w:pPr>
            <w:r/>
            <w:r>
              <w:rPr>
                <w:rFonts w:ascii="Aptos" w:hAnsi="Aptos"/>
                <w:b w:val="0"/>
                <w:color w:val="222222"/>
                <w:sz w:val="18"/>
              </w:rPr>
              <w:t>Company type</w:t>
            </w:r>
          </w:p>
        </w:tc>
        <w:tc>
          <w:tcPr>
            <w:tcW w:type="dxa" w:w="4968"/>
            <w:vAlign w:val="center"/>
            <w:shd w:fill="F1F6F0"/>
          </w:tcPr>
          <w:p>
            <w:pPr>
              <w:spacing w:after="60"/>
            </w:pPr>
            <w:r/>
            <w:r>
              <w:rPr>
                <w:rFonts w:ascii="Aptos" w:hAnsi="Aptos"/>
                <w:b w:val="0"/>
                <w:color w:val="222222"/>
                <w:sz w:val="18"/>
              </w:rPr>
              <w:t>Multi-sided healthcare network and provider operating platform</w:t>
            </w:r>
          </w:p>
        </w:tc>
      </w:tr>
      <w:tr>
        <w:tc>
          <w:tcPr>
            <w:tcW w:type="dxa" w:w="4968"/>
            <w:vAlign w:val="center"/>
          </w:tcPr>
          <w:p>
            <w:pPr>
              <w:spacing w:after="60"/>
            </w:pPr>
            <w:r/>
            <w:r>
              <w:rPr>
                <w:rFonts w:ascii="Aptos" w:hAnsi="Aptos"/>
                <w:b w:val="0"/>
                <w:color w:val="222222"/>
                <w:sz w:val="18"/>
              </w:rPr>
              <w:t>Launch wedge</w:t>
            </w:r>
          </w:p>
        </w:tc>
        <w:tc>
          <w:tcPr>
            <w:tcW w:type="dxa" w:w="4968"/>
            <w:vAlign w:val="center"/>
          </w:tcPr>
          <w:p>
            <w:pPr>
              <w:spacing w:after="60"/>
            </w:pPr>
            <w:r/>
            <w:r>
              <w:rPr>
                <w:rFonts w:ascii="Aptos" w:hAnsi="Aptos"/>
                <w:b w:val="0"/>
                <w:color w:val="222222"/>
                <w:sz w:val="18"/>
              </w:rPr>
              <w:t>Emergency Care Room and ambulance coordination</w:t>
            </w:r>
          </w:p>
        </w:tc>
      </w:tr>
      <w:tr>
        <w:tc>
          <w:tcPr>
            <w:tcW w:type="dxa" w:w="4968"/>
            <w:vAlign w:val="center"/>
            <w:shd w:fill="F1F6F0"/>
          </w:tcPr>
          <w:p>
            <w:pPr>
              <w:spacing w:after="60"/>
            </w:pPr>
            <w:r/>
            <w:r>
              <w:rPr>
                <w:rFonts w:ascii="Aptos" w:hAnsi="Aptos"/>
                <w:b w:val="0"/>
                <w:color w:val="222222"/>
                <w:sz w:val="18"/>
              </w:rPr>
              <w:t>Initial build</w:t>
            </w:r>
          </w:p>
        </w:tc>
        <w:tc>
          <w:tcPr>
            <w:tcW w:type="dxa" w:w="4968"/>
            <w:vAlign w:val="center"/>
            <w:shd w:fill="F1F6F0"/>
          </w:tcPr>
          <w:p>
            <w:pPr>
              <w:spacing w:after="60"/>
            </w:pPr>
            <w:r/>
            <w:r>
              <w:rPr>
                <w:rFonts w:ascii="Aptos" w:hAnsi="Aptos"/>
                <w:b w:val="0"/>
                <w:color w:val="222222"/>
                <w:sz w:val="18"/>
              </w:rPr>
              <w:t>Flutter frontend with realistic dummy repositories</w:t>
            </w:r>
          </w:p>
        </w:tc>
      </w:tr>
      <w:tr>
        <w:tc>
          <w:tcPr>
            <w:tcW w:type="dxa" w:w="4968"/>
            <w:vAlign w:val="center"/>
          </w:tcPr>
          <w:p>
            <w:pPr>
              <w:spacing w:after="60"/>
            </w:pPr>
            <w:r/>
            <w:r>
              <w:rPr>
                <w:rFonts w:ascii="Aptos" w:hAnsi="Aptos"/>
                <w:b w:val="0"/>
                <w:color w:val="222222"/>
                <w:sz w:val="18"/>
              </w:rPr>
              <w:t>Audience</w:t>
            </w:r>
          </w:p>
        </w:tc>
        <w:tc>
          <w:tcPr>
            <w:tcW w:type="dxa" w:w="4968"/>
            <w:vAlign w:val="center"/>
          </w:tcPr>
          <w:p>
            <w:pPr>
              <w:spacing w:after="60"/>
            </w:pPr>
            <w:r/>
            <w:r>
              <w:rPr>
                <w:rFonts w:ascii="Aptos" w:hAnsi="Aptos"/>
                <w:b w:val="0"/>
                <w:color w:val="222222"/>
                <w:sz w:val="18"/>
              </w:rPr>
              <w:t>Founder, product, engineering, provider partners, and investors</w:t>
            </w:r>
          </w:p>
        </w:tc>
      </w:tr>
    </w:tbl>
    <w:p>
      <w:pPr>
        <w:spacing w:after="40"/>
      </w:pPr>
    </w:p>
    <w:p>
      <w:r>
        <w:t>This document defines what ApnaCare is building, why it should exist as a company, how patients and providers benefit, how access is controlled, and how the current frontend prototype should evolve. The first release proves one complete emergency workflow; later releases turn the same network into the everyday care and provider operations layer.</w:t>
      </w:r>
    </w:p>
    <w:p>
      <w:pPr>
        <w:pStyle w:val="Heading1"/>
        <w:keepNext/>
      </w:pPr>
      <w:r>
        <w:t>Executive decision</w:t>
      </w:r>
    </w:p>
    <w:p>
      <w:r>
        <w:t>ApnaCare will be an emergency-to-everyday healthcare platform. Patients and families use it for emergency access, care coordination, appointments, records, bills, and future medicine services. Hospitals, clinics, independent doctors, ambulance providers, and diagnostic partners use the same network to run their workflows and reach patients.</w:t>
      </w:r>
    </w:p>
    <w:p>
      <w:r>
        <w:t>ApnaCare owns the platform, permission primitives, emergency network, and marketplace. Each provider organization receives an owner account with full control of its own tenant. The owner can invite staff, create custom roles from ApnaCare permissions, configure departments and services, publish availability, and manage billing without waiting for ApnaCare support.</w:t>
      </w:r>
    </w:p>
    <w:p>
      <w:pPr>
        <w:pStyle w:val="Heading1"/>
        <w:keepNext/>
      </w:pPr>
      <w:r>
        <w:t>1 Company thesis and goals</w:t>
      </w:r>
    </w:p>
    <w:p>
      <w:pPr>
        <w:pStyle w:val="Heading1"/>
        <w:keepNext/>
      </w:pPr>
      <w:r>
        <w:t>1.1 Problem</w:t>
      </w:r>
    </w:p>
    <w:p>
      <w:r>
        <w:t>Healthcare is fragmented when coordination matters most. A family may call an ambulance, search for a hospital, carry paper reports, phone a doctor, wait at reception, and pay through disconnected systems. Providers operate in separate appointment calendars, billing tools, spreadsheets, phone lines, and manually maintained records.</w:t>
      </w:r>
    </w:p>
    <w:p>
      <w:r>
        <w:t>This creates lost time, poor handoffs, empty appointment capacity, no-shows, slow billing, missing emergency information, and no shared accountability across a care journey.</w:t>
      </w:r>
    </w:p>
    <w:p>
      <w:pPr>
        <w:pStyle w:val="Heading2"/>
        <w:keepNext/>
      </w:pPr>
      <w:r>
        <w:t>1.2 Company goals</w:t>
      </w:r>
    </w:p>
    <w:p>
      <w:pPr>
        <w:pStyle w:val="ListBullet"/>
        <w:spacing w:after="60"/>
      </w:pPr>
      <w:r>
        <w:t>Make emergency care coordination faster, more informed, and auditable.</w:t>
      </w:r>
    </w:p>
    <w:p>
      <w:pPr>
        <w:pStyle w:val="ListBullet"/>
        <w:spacing w:after="60"/>
      </w:pPr>
      <w:r>
        <w:t>Give every participating provider a useful operating system before a full network exists.</w:t>
      </w:r>
    </w:p>
    <w:p>
      <w:pPr>
        <w:pStyle w:val="ListBullet"/>
        <w:spacing w:after="60"/>
      </w:pPr>
      <w:r>
        <w:t>Create a trusted patient identity, emergency card, and consent layer across providers.</w:t>
      </w:r>
    </w:p>
    <w:p>
      <w:pPr>
        <w:pStyle w:val="ListBullet"/>
        <w:spacing w:after="60"/>
      </w:pPr>
      <w:r>
        <w:t>Create a network effect: patient demand attracts providers; provider readiness makes the patient app more valuable.</w:t>
      </w:r>
    </w:p>
    <w:p>
      <w:pPr>
        <w:pStyle w:val="ListBullet"/>
        <w:spacing w:after="60"/>
      </w:pPr>
      <w:r>
        <w:t>Build sustainable revenue through provider subscriptions, workflow modules, network fees, and family services.</w:t>
      </w:r>
    </w:p>
    <w:p>
      <w:pPr>
        <w:pStyle w:val="Heading2"/>
        <w:keepNext/>
      </w:pPr>
      <w:r>
        <w:t>1.3 Success definition</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4968"/>
            <w:vAlign w:val="center"/>
            <w:shd w:fill="2F6B3B"/>
          </w:tcPr>
          <w:p>
            <w:pPr>
              <w:spacing w:after="60"/>
            </w:pPr>
            <w:r/>
            <w:r>
              <w:rPr>
                <w:rFonts w:ascii="Aptos" w:hAnsi="Aptos"/>
                <w:b/>
                <w:color w:val="FFFFFF"/>
                <w:sz w:val="18"/>
              </w:rPr>
              <w:t>Stage</w:t>
            </w:r>
          </w:p>
        </w:tc>
        <w:tc>
          <w:tcPr>
            <w:tcW w:type="dxa" w:w="4968"/>
            <w:vAlign w:val="center"/>
            <w:shd w:fill="2F6B3B"/>
          </w:tcPr>
          <w:p>
            <w:pPr>
              <w:spacing w:after="60"/>
            </w:pPr>
            <w:r/>
            <w:r>
              <w:rPr>
                <w:rFonts w:ascii="Aptos" w:hAnsi="Aptos"/>
                <w:b/>
                <w:color w:val="FFFFFF"/>
                <w:sz w:val="18"/>
              </w:rPr>
              <w:t>Evidence of success</w:t>
            </w:r>
          </w:p>
        </w:tc>
      </w:tr>
      <w:tr>
        <w:tc>
          <w:tcPr>
            <w:tcW w:type="dxa" w:w="4968"/>
            <w:vAlign w:val="center"/>
          </w:tcPr>
          <w:p>
            <w:pPr>
              <w:spacing w:after="60"/>
            </w:pPr>
            <w:r/>
            <w:r>
              <w:rPr>
                <w:rFonts w:ascii="Aptos" w:hAnsi="Aptos"/>
                <w:b w:val="0"/>
                <w:color w:val="222222"/>
                <w:sz w:val="18"/>
              </w:rPr>
              <w:t>Frontend demo</w:t>
            </w:r>
          </w:p>
        </w:tc>
        <w:tc>
          <w:tcPr>
            <w:tcW w:type="dxa" w:w="4968"/>
            <w:vAlign w:val="center"/>
          </w:tcPr>
          <w:p>
            <w:pPr>
              <w:spacing w:after="60"/>
            </w:pPr>
            <w:r/>
            <w:r>
              <w:rPr>
                <w:rFonts w:ascii="Aptos" w:hAnsi="Aptos"/>
                <w:b w:val="0"/>
                <w:color w:val="222222"/>
                <w:sz w:val="18"/>
              </w:rPr>
              <w:t>One emergency incident can be followed across patient, dispatcher, ambulance, hospital, doctor, billing, and admin workspaces.</w:t>
            </w:r>
          </w:p>
        </w:tc>
      </w:tr>
      <w:tr>
        <w:tc>
          <w:tcPr>
            <w:tcW w:type="dxa" w:w="4968"/>
            <w:vAlign w:val="center"/>
            <w:shd w:fill="F1F6F0"/>
          </w:tcPr>
          <w:p>
            <w:pPr>
              <w:spacing w:after="60"/>
            </w:pPr>
            <w:r/>
            <w:r>
              <w:rPr>
                <w:rFonts w:ascii="Aptos" w:hAnsi="Aptos"/>
                <w:b w:val="0"/>
                <w:color w:val="222222"/>
                <w:sz w:val="18"/>
              </w:rPr>
              <w:t>Pilot</w:t>
            </w:r>
          </w:p>
        </w:tc>
        <w:tc>
          <w:tcPr>
            <w:tcW w:type="dxa" w:w="4968"/>
            <w:vAlign w:val="center"/>
            <w:shd w:fill="F1F6F0"/>
          </w:tcPr>
          <w:p>
            <w:pPr>
              <w:spacing w:after="60"/>
            </w:pPr>
            <w:r/>
            <w:r>
              <w:rPr>
                <w:rFonts w:ascii="Aptos" w:hAnsi="Aptos"/>
                <w:b w:val="0"/>
                <w:color w:val="222222"/>
                <w:sz w:val="18"/>
              </w:rPr>
              <w:t>A provider owner configures staff, roles, services, schedules, billing, and emergency readiness without engineering help.</w:t>
            </w:r>
          </w:p>
        </w:tc>
      </w:tr>
      <w:tr>
        <w:tc>
          <w:tcPr>
            <w:tcW w:type="dxa" w:w="4968"/>
            <w:vAlign w:val="center"/>
          </w:tcPr>
          <w:p>
            <w:pPr>
              <w:spacing w:after="60"/>
            </w:pPr>
            <w:r/>
            <w:r>
              <w:rPr>
                <w:rFonts w:ascii="Aptos" w:hAnsi="Aptos"/>
                <w:b w:val="0"/>
                <w:color w:val="222222"/>
                <w:sz w:val="18"/>
              </w:rPr>
              <w:t>Network</w:t>
            </w:r>
          </w:p>
        </w:tc>
        <w:tc>
          <w:tcPr>
            <w:tcW w:type="dxa" w:w="4968"/>
            <w:vAlign w:val="center"/>
          </w:tcPr>
          <w:p>
            <w:pPr>
              <w:spacing w:after="60"/>
            </w:pPr>
            <w:r/>
            <w:r>
              <w:rPr>
                <w:rFonts w:ascii="Aptos" w:hAnsi="Aptos"/>
                <w:b w:val="0"/>
                <w:color w:val="222222"/>
                <w:sz w:val="18"/>
              </w:rPr>
              <w:t>Patients use ApnaCare for emergency readiness and appointments; providers receive demand and operational visibility.</w:t>
            </w:r>
          </w:p>
        </w:tc>
      </w:tr>
      <w:tr>
        <w:tc>
          <w:tcPr>
            <w:tcW w:type="dxa" w:w="4968"/>
            <w:vAlign w:val="center"/>
            <w:shd w:fill="F1F6F0"/>
          </w:tcPr>
          <w:p>
            <w:pPr>
              <w:spacing w:after="60"/>
            </w:pPr>
            <w:r/>
            <w:r>
              <w:rPr>
                <w:rFonts w:ascii="Aptos" w:hAnsi="Aptos"/>
                <w:b w:val="0"/>
                <w:color w:val="222222"/>
                <w:sz w:val="18"/>
              </w:rPr>
              <w:t>Company</w:t>
            </w:r>
          </w:p>
        </w:tc>
        <w:tc>
          <w:tcPr>
            <w:tcW w:type="dxa" w:w="4968"/>
            <w:vAlign w:val="center"/>
            <w:shd w:fill="F1F6F0"/>
          </w:tcPr>
          <w:p>
            <w:pPr>
              <w:spacing w:after="60"/>
            </w:pPr>
            <w:r/>
            <w:r>
              <w:rPr>
                <w:rFonts w:ascii="Aptos" w:hAnsi="Aptos"/>
                <w:b w:val="0"/>
                <w:color w:val="222222"/>
                <w:sz w:val="18"/>
              </w:rPr>
              <w:t>ApnaCare becomes the coordination layer providers and families do not want to operate without.</w:t>
            </w:r>
          </w:p>
        </w:tc>
      </w:tr>
    </w:tbl>
    <w:p>
      <w:pPr>
        <w:spacing w:after="40"/>
      </w:pPr>
    </w:p>
    <w:p>
      <w:pPr>
        <w:pStyle w:val="Heading1"/>
        <w:keepNext/>
      </w:pPr>
      <w:r>
        <w:t>2 Product positioning</w:t>
      </w:r>
    </w:p>
    <w:p>
      <w:r>
        <w:t>ApnaCare is the emergency-to-everyday care layer for families and the operating system for healthcare providers. The reason to install is emergency readiness: a family can prepare an emergency card, contacts, location, and trusted providers before a crisis. The reason to keep using it is appointments, records, bills, reminders, referrals, and medicine services.</w:t>
      </w:r>
    </w:p>
    <w:p>
      <w:pPr>
        <w:pStyle w:val="Heading2"/>
        <w:keepNext/>
      </w:pPr>
      <w:r>
        <w:t>2.1 Product surfaces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c>
          <w:tcPr>
            <w:tcW w:type="dxa" w:w="3312"/>
            <w:vAlign w:val="center"/>
            <w:shd w:fill="2F6B3B"/>
          </w:tcPr>
          <w:p>
            <w:pPr>
              <w:spacing w:after="60"/>
            </w:pPr>
            <w:r/>
            <w:r>
              <w:rPr>
                <w:rFonts w:ascii="Aptos" w:hAnsi="Aptos"/>
                <w:b/>
                <w:color w:val="FFFFFF"/>
                <w:sz w:val="18"/>
              </w:rPr>
              <w:t>Surface</w:t>
            </w:r>
          </w:p>
        </w:tc>
        <w:tc>
          <w:tcPr>
            <w:tcW w:type="dxa" w:w="3312"/>
            <w:vAlign w:val="center"/>
            <w:shd w:fill="2F6B3B"/>
          </w:tcPr>
          <w:p>
            <w:pPr>
              <w:spacing w:after="60"/>
            </w:pPr>
            <w:r/>
            <w:r>
              <w:rPr>
                <w:rFonts w:ascii="Aptos" w:hAnsi="Aptos"/>
                <w:b/>
                <w:color w:val="FFFFFF"/>
                <w:sz w:val="18"/>
              </w:rPr>
              <w:t>Primary job</w:t>
            </w:r>
          </w:p>
        </w:tc>
        <w:tc>
          <w:tcPr>
            <w:tcW w:type="dxa" w:w="3312"/>
            <w:vAlign w:val="center"/>
            <w:shd w:fill="2F6B3B"/>
          </w:tcPr>
          <w:p>
            <w:pPr>
              <w:spacing w:after="60"/>
            </w:pPr>
            <w:r/>
            <w:r>
              <w:rPr>
                <w:rFonts w:ascii="Aptos" w:hAnsi="Aptos"/>
                <w:b/>
                <w:color w:val="FFFFFF"/>
                <w:sz w:val="18"/>
              </w:rPr>
              <w:t>Business value</w:t>
            </w:r>
          </w:p>
        </w:tc>
      </w:tr>
      <w:tr>
        <w:tc>
          <w:tcPr>
            <w:tcW w:type="dxa" w:w="3312"/>
            <w:vAlign w:val="center"/>
          </w:tcPr>
          <w:p>
            <w:pPr>
              <w:spacing w:after="60"/>
            </w:pPr>
            <w:r/>
            <w:r>
              <w:rPr>
                <w:rFonts w:ascii="Aptos" w:hAnsi="Aptos"/>
                <w:b w:val="0"/>
                <w:color w:val="222222"/>
                <w:sz w:val="18"/>
              </w:rPr>
              <w:t>Patient app</w:t>
            </w:r>
          </w:p>
        </w:tc>
        <w:tc>
          <w:tcPr>
            <w:tcW w:type="dxa" w:w="3312"/>
            <w:vAlign w:val="center"/>
          </w:tcPr>
          <w:p>
            <w:pPr>
              <w:spacing w:after="60"/>
            </w:pPr>
            <w:r/>
            <w:r>
              <w:rPr>
                <w:rFonts w:ascii="Aptos" w:hAnsi="Aptos"/>
                <w:b w:val="0"/>
                <w:color w:val="222222"/>
                <w:sz w:val="18"/>
              </w:rPr>
              <w:t>Request help, find care, manage family health, track events</w:t>
            </w:r>
          </w:p>
        </w:tc>
        <w:tc>
          <w:tcPr>
            <w:tcW w:type="dxa" w:w="3312"/>
            <w:vAlign w:val="center"/>
          </w:tcPr>
          <w:p>
            <w:pPr>
              <w:spacing w:after="60"/>
            </w:pPr>
            <w:r/>
            <w:r>
              <w:rPr>
                <w:rFonts w:ascii="Aptos" w:hAnsi="Aptos"/>
                <w:b w:val="0"/>
                <w:color w:val="222222"/>
                <w:sz w:val="18"/>
              </w:rPr>
              <w:t>Creates demand and daily habit</w:t>
            </w:r>
          </w:p>
        </w:tc>
      </w:tr>
      <w:tr>
        <w:tc>
          <w:tcPr>
            <w:tcW w:type="dxa" w:w="3312"/>
            <w:vAlign w:val="center"/>
            <w:shd w:fill="F1F6F0"/>
          </w:tcPr>
          <w:p>
            <w:pPr>
              <w:spacing w:after="60"/>
            </w:pPr>
            <w:r/>
            <w:r>
              <w:rPr>
                <w:rFonts w:ascii="Aptos" w:hAnsi="Aptos"/>
                <w:b w:val="0"/>
                <w:color w:val="222222"/>
                <w:sz w:val="18"/>
              </w:rPr>
              <w:t>Ambulance workspace</w:t>
            </w:r>
          </w:p>
        </w:tc>
        <w:tc>
          <w:tcPr>
            <w:tcW w:type="dxa" w:w="3312"/>
            <w:vAlign w:val="center"/>
            <w:shd w:fill="F1F6F0"/>
          </w:tcPr>
          <w:p>
            <w:pPr>
              <w:spacing w:after="60"/>
            </w:pPr>
            <w:r/>
            <w:r>
              <w:rPr>
                <w:rFonts w:ascii="Aptos" w:hAnsi="Aptos"/>
                <w:b w:val="0"/>
                <w:color w:val="222222"/>
                <w:sz w:val="18"/>
              </w:rPr>
              <w:t>Accept, dispatch, navigate, communicate, close incidents</w:t>
            </w:r>
          </w:p>
        </w:tc>
        <w:tc>
          <w:tcPr>
            <w:tcW w:type="dxa" w:w="3312"/>
            <w:vAlign w:val="center"/>
            <w:shd w:fill="F1F6F0"/>
          </w:tcPr>
          <w:p>
            <w:pPr>
              <w:spacing w:after="60"/>
            </w:pPr>
            <w:r/>
            <w:r>
              <w:rPr>
                <w:rFonts w:ascii="Aptos" w:hAnsi="Aptos"/>
                <w:b w:val="0"/>
                <w:color w:val="222222"/>
                <w:sz w:val="18"/>
              </w:rPr>
              <w:t>Turns the wedge into a network</w:t>
            </w:r>
          </w:p>
        </w:tc>
      </w:tr>
      <w:tr>
        <w:tc>
          <w:tcPr>
            <w:tcW w:type="dxa" w:w="3312"/>
            <w:vAlign w:val="center"/>
          </w:tcPr>
          <w:p>
            <w:pPr>
              <w:spacing w:after="60"/>
            </w:pPr>
            <w:r/>
            <w:r>
              <w:rPr>
                <w:rFonts w:ascii="Aptos" w:hAnsi="Aptos"/>
                <w:b w:val="0"/>
                <w:color w:val="222222"/>
                <w:sz w:val="18"/>
              </w:rPr>
              <w:t>Doctor workspace</w:t>
            </w:r>
          </w:p>
        </w:tc>
        <w:tc>
          <w:tcPr>
            <w:tcW w:type="dxa" w:w="3312"/>
            <w:vAlign w:val="center"/>
          </w:tcPr>
          <w:p>
            <w:pPr>
              <w:spacing w:after="60"/>
            </w:pPr>
            <w:r/>
            <w:r>
              <w:rPr>
                <w:rFonts w:ascii="Aptos" w:hAnsi="Aptos"/>
                <w:b w:val="0"/>
                <w:color w:val="222222"/>
                <w:sz w:val="18"/>
              </w:rPr>
              <w:t>See queue, context, notes, prescriptions, follow-ups</w:t>
            </w:r>
          </w:p>
        </w:tc>
        <w:tc>
          <w:tcPr>
            <w:tcW w:type="dxa" w:w="3312"/>
            <w:vAlign w:val="center"/>
          </w:tcPr>
          <w:p>
            <w:pPr>
              <w:spacing w:after="60"/>
            </w:pPr>
            <w:r/>
            <w:r>
              <w:rPr>
                <w:rFonts w:ascii="Aptos" w:hAnsi="Aptos"/>
                <w:b w:val="0"/>
                <w:color w:val="222222"/>
                <w:sz w:val="18"/>
              </w:rPr>
              <w:t>Makes clinicians active participants</w:t>
            </w:r>
          </w:p>
        </w:tc>
      </w:tr>
      <w:tr>
        <w:tc>
          <w:tcPr>
            <w:tcW w:type="dxa" w:w="3312"/>
            <w:vAlign w:val="center"/>
            <w:shd w:fill="F1F6F0"/>
          </w:tcPr>
          <w:p>
            <w:pPr>
              <w:spacing w:after="60"/>
            </w:pPr>
            <w:r/>
            <w:r>
              <w:rPr>
                <w:rFonts w:ascii="Aptos" w:hAnsi="Aptos"/>
                <w:b w:val="0"/>
                <w:color w:val="222222"/>
                <w:sz w:val="18"/>
              </w:rPr>
              <w:t>Provider workspace</w:t>
            </w:r>
          </w:p>
        </w:tc>
        <w:tc>
          <w:tcPr>
            <w:tcW w:type="dxa" w:w="3312"/>
            <w:vAlign w:val="center"/>
            <w:shd w:fill="F1F6F0"/>
          </w:tcPr>
          <w:p>
            <w:pPr>
              <w:spacing w:after="60"/>
            </w:pPr>
            <w:r/>
            <w:r>
              <w:rPr>
                <w:rFonts w:ascii="Aptos" w:hAnsi="Aptos"/>
                <w:b w:val="0"/>
                <w:color w:val="222222"/>
                <w:sz w:val="18"/>
              </w:rPr>
              <w:t>Run appointments, queues, staff, services, billing, reports</w:t>
            </w:r>
          </w:p>
        </w:tc>
        <w:tc>
          <w:tcPr>
            <w:tcW w:type="dxa" w:w="3312"/>
            <w:vAlign w:val="center"/>
            <w:shd w:fill="F1F6F0"/>
          </w:tcPr>
          <w:p>
            <w:pPr>
              <w:spacing w:after="60"/>
            </w:pPr>
            <w:r/>
            <w:r>
              <w:rPr>
                <w:rFonts w:ascii="Aptos" w:hAnsi="Aptos"/>
                <w:b w:val="0"/>
                <w:color w:val="222222"/>
                <w:sz w:val="18"/>
              </w:rPr>
              <w:t>Creates recurring SaaS value</w:t>
            </w:r>
          </w:p>
        </w:tc>
      </w:tr>
      <w:tr>
        <w:tc>
          <w:tcPr>
            <w:tcW w:type="dxa" w:w="3312"/>
            <w:vAlign w:val="center"/>
          </w:tcPr>
          <w:p>
            <w:pPr>
              <w:spacing w:after="60"/>
            </w:pPr>
            <w:r/>
            <w:r>
              <w:rPr>
                <w:rFonts w:ascii="Aptos" w:hAnsi="Aptos"/>
                <w:b w:val="0"/>
                <w:color w:val="222222"/>
                <w:sz w:val="18"/>
              </w:rPr>
              <w:t>ApnaCare control plane</w:t>
            </w:r>
          </w:p>
        </w:tc>
        <w:tc>
          <w:tcPr>
            <w:tcW w:type="dxa" w:w="3312"/>
            <w:vAlign w:val="center"/>
          </w:tcPr>
          <w:p>
            <w:pPr>
              <w:spacing w:after="60"/>
            </w:pPr>
            <w:r/>
            <w:r>
              <w:rPr>
                <w:rFonts w:ascii="Aptos" w:hAnsi="Aptos"/>
                <w:b w:val="0"/>
                <w:color w:val="222222"/>
                <w:sz w:val="18"/>
              </w:rPr>
              <w:t>Verify providers, manage safety, plans, disputes, network</w:t>
            </w:r>
          </w:p>
        </w:tc>
        <w:tc>
          <w:tcPr>
            <w:tcW w:type="dxa" w:w="3312"/>
            <w:vAlign w:val="center"/>
          </w:tcPr>
          <w:p>
            <w:pPr>
              <w:spacing w:after="60"/>
            </w:pPr>
            <w:r/>
            <w:r>
              <w:rPr>
                <w:rFonts w:ascii="Aptos" w:hAnsi="Aptos"/>
                <w:b w:val="0"/>
                <w:color w:val="222222"/>
                <w:sz w:val="18"/>
              </w:rPr>
              <w:t>Protects trust and monetization</w:t>
            </w:r>
          </w:p>
        </w:tc>
      </w:tr>
    </w:tbl>
    <w:p>
      <w:pPr>
        <w:spacing w:after="40"/>
      </w:pPr>
    </w:p>
    <w:p>
      <w:pPr>
        <w:pStyle w:val="Heading2"/>
        <w:keepNext/>
      </w:pPr>
      <w:r>
        <w:t>2.2 Product principles</w:t>
      </w:r>
    </w:p>
    <w:p>
      <w:pPr>
        <w:pStyle w:val="ListBullet"/>
        <w:spacing w:after="60"/>
      </w:pPr>
      <w:r>
        <w:t>Emergency-first, but not emergency-only.</w:t>
      </w:r>
    </w:p>
    <w:p>
      <w:pPr>
        <w:pStyle w:val="ListBullet"/>
        <w:spacing w:after="60"/>
      </w:pPr>
      <w:r>
        <w:t>Configuration over customization: provider owners configure workflows without code.</w:t>
      </w:r>
    </w:p>
    <w:p>
      <w:pPr>
        <w:pStyle w:val="ListBullet"/>
        <w:spacing w:after="60"/>
      </w:pPr>
      <w:r>
        <w:t>Permission-aware by default: every person sees only what their task requires.</w:t>
      </w:r>
    </w:p>
    <w:p>
      <w:pPr>
        <w:pStyle w:val="ListBullet"/>
        <w:spacing w:after="60"/>
      </w:pPr>
      <w:r>
        <w:t>Explain recommendations using readiness, capability, cost, distance, and availability.</w:t>
      </w:r>
    </w:p>
    <w:p>
      <w:pPr>
        <w:pStyle w:val="ListBullet"/>
        <w:spacing w:after="60"/>
      </w:pPr>
      <w:r>
        <w:t>Every important action has a status, owner, timestamp, and audit trail.</w:t>
      </w:r>
    </w:p>
    <w:p>
      <w:pPr>
        <w:pStyle w:val="ListBullet"/>
        <w:spacing w:after="60"/>
      </w:pPr>
      <w:r>
        <w:t>AI assists navigation and organization; it does not diagnose or prescribe.</w:t>
      </w:r>
    </w:p>
    <w:p>
      <w:pPr>
        <w:pStyle w:val="Heading1"/>
        <w:keepNext/>
      </w:pPr>
      <w:r>
        <w:t>3 Customers and participants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c>
          <w:tcPr>
            <w:tcW w:type="dxa" w:w="3312"/>
            <w:vAlign w:val="center"/>
            <w:shd w:fill="2F6B3B"/>
          </w:tcPr>
          <w:p>
            <w:pPr>
              <w:spacing w:after="60"/>
            </w:pPr>
            <w:r/>
            <w:r>
              <w:rPr>
                <w:rFonts w:ascii="Aptos" w:hAnsi="Aptos"/>
                <w:b/>
                <w:color w:val="FFFFFF"/>
                <w:sz w:val="18"/>
              </w:rPr>
              <w:t>Participant</w:t>
            </w:r>
          </w:p>
        </w:tc>
        <w:tc>
          <w:tcPr>
            <w:tcW w:type="dxa" w:w="3312"/>
            <w:vAlign w:val="center"/>
            <w:shd w:fill="2F6B3B"/>
          </w:tcPr>
          <w:p>
            <w:pPr>
              <w:spacing w:after="60"/>
            </w:pPr>
            <w:r/>
            <w:r>
              <w:rPr>
                <w:rFonts w:ascii="Aptos" w:hAnsi="Aptos"/>
                <w:b/>
                <w:color w:val="FFFFFF"/>
                <w:sz w:val="18"/>
              </w:rPr>
              <w:t>Pain point</w:t>
            </w:r>
          </w:p>
        </w:tc>
        <w:tc>
          <w:tcPr>
            <w:tcW w:type="dxa" w:w="3312"/>
            <w:vAlign w:val="center"/>
            <w:shd w:fill="2F6B3B"/>
          </w:tcPr>
          <w:p>
            <w:pPr>
              <w:spacing w:after="60"/>
            </w:pPr>
            <w:r/>
            <w:r>
              <w:rPr>
                <w:rFonts w:ascii="Aptos" w:hAnsi="Aptos"/>
                <w:b/>
                <w:color w:val="FFFFFF"/>
                <w:sz w:val="18"/>
              </w:rPr>
              <w:t>ApnaCare value</w:t>
            </w:r>
          </w:p>
        </w:tc>
      </w:tr>
      <w:tr>
        <w:tc>
          <w:tcPr>
            <w:tcW w:type="dxa" w:w="3312"/>
            <w:vAlign w:val="center"/>
          </w:tcPr>
          <w:p>
            <w:pPr>
              <w:spacing w:after="60"/>
            </w:pPr>
            <w:r/>
            <w:r>
              <w:rPr>
                <w:rFonts w:ascii="Aptos" w:hAnsi="Aptos"/>
                <w:b w:val="0"/>
                <w:color w:val="222222"/>
                <w:sz w:val="18"/>
              </w:rPr>
              <w:t>Patient or caregiver</w:t>
            </w:r>
          </w:p>
        </w:tc>
        <w:tc>
          <w:tcPr>
            <w:tcW w:type="dxa" w:w="3312"/>
            <w:vAlign w:val="center"/>
          </w:tcPr>
          <w:p>
            <w:pPr>
              <w:spacing w:after="60"/>
            </w:pPr>
            <w:r/>
            <w:r>
              <w:rPr>
                <w:rFonts w:ascii="Aptos" w:hAnsi="Aptos"/>
                <w:b w:val="0"/>
                <w:color w:val="222222"/>
                <w:sz w:val="18"/>
              </w:rPr>
              <w:t>Unclear next step; repeated information</w:t>
            </w:r>
          </w:p>
        </w:tc>
        <w:tc>
          <w:tcPr>
            <w:tcW w:type="dxa" w:w="3312"/>
            <w:vAlign w:val="center"/>
          </w:tcPr>
          <w:p>
            <w:pPr>
              <w:spacing w:after="60"/>
            </w:pPr>
            <w:r/>
            <w:r>
              <w:rPr>
                <w:rFonts w:ascii="Aptos" w:hAnsi="Aptos"/>
                <w:b w:val="0"/>
                <w:color w:val="222222"/>
                <w:sz w:val="18"/>
              </w:rPr>
              <w:t>Emergency card, care search, booking, records, reminders</w:t>
            </w:r>
          </w:p>
        </w:tc>
      </w:tr>
      <w:tr>
        <w:tc>
          <w:tcPr>
            <w:tcW w:type="dxa" w:w="3312"/>
            <w:vAlign w:val="center"/>
            <w:shd w:fill="F1F6F0"/>
          </w:tcPr>
          <w:p>
            <w:pPr>
              <w:spacing w:after="60"/>
            </w:pPr>
            <w:r/>
            <w:r>
              <w:rPr>
                <w:rFonts w:ascii="Aptos" w:hAnsi="Aptos"/>
                <w:b w:val="0"/>
                <w:color w:val="222222"/>
                <w:sz w:val="18"/>
              </w:rPr>
              <w:t>Ambulance provider</w:t>
            </w:r>
          </w:p>
        </w:tc>
        <w:tc>
          <w:tcPr>
            <w:tcW w:type="dxa" w:w="3312"/>
            <w:vAlign w:val="center"/>
            <w:shd w:fill="F1F6F0"/>
          </w:tcPr>
          <w:p>
            <w:pPr>
              <w:spacing w:after="60"/>
            </w:pPr>
            <w:r/>
            <w:r>
              <w:rPr>
                <w:rFonts w:ascii="Aptos" w:hAnsi="Aptos"/>
                <w:b w:val="0"/>
                <w:color w:val="222222"/>
                <w:sz w:val="18"/>
              </w:rPr>
              <w:t>Phone-based dispatch and weak hospital coordination</w:t>
            </w:r>
          </w:p>
        </w:tc>
        <w:tc>
          <w:tcPr>
            <w:tcW w:type="dxa" w:w="3312"/>
            <w:vAlign w:val="center"/>
            <w:shd w:fill="F1F6F0"/>
          </w:tcPr>
          <w:p>
            <w:pPr>
              <w:spacing w:after="60"/>
            </w:pPr>
            <w:r/>
            <w:r>
              <w:rPr>
                <w:rFonts w:ascii="Aptos" w:hAnsi="Aptos"/>
                <w:b w:val="0"/>
                <w:color w:val="222222"/>
                <w:sz w:val="18"/>
              </w:rPr>
              <w:t>Live requests, capability matching, navigation, handoff, settlement</w:t>
            </w:r>
          </w:p>
        </w:tc>
      </w:tr>
      <w:tr>
        <w:tc>
          <w:tcPr>
            <w:tcW w:type="dxa" w:w="3312"/>
            <w:vAlign w:val="center"/>
          </w:tcPr>
          <w:p>
            <w:pPr>
              <w:spacing w:after="60"/>
            </w:pPr>
            <w:r/>
            <w:r>
              <w:rPr>
                <w:rFonts w:ascii="Aptos" w:hAnsi="Aptos"/>
                <w:b w:val="0"/>
                <w:color w:val="222222"/>
                <w:sz w:val="18"/>
              </w:rPr>
              <w:t>Hospital or clinic owner</w:t>
            </w:r>
          </w:p>
        </w:tc>
        <w:tc>
          <w:tcPr>
            <w:tcW w:type="dxa" w:w="3312"/>
            <w:vAlign w:val="center"/>
          </w:tcPr>
          <w:p>
            <w:pPr>
              <w:spacing w:after="60"/>
            </w:pPr>
            <w:r/>
            <w:r>
              <w:rPr>
                <w:rFonts w:ascii="Aptos" w:hAnsi="Aptos"/>
                <w:b w:val="0"/>
                <w:color w:val="222222"/>
                <w:sz w:val="18"/>
              </w:rPr>
              <w:t>Disconnected tools and manual administration</w:t>
            </w:r>
          </w:p>
        </w:tc>
        <w:tc>
          <w:tcPr>
            <w:tcW w:type="dxa" w:w="3312"/>
            <w:vAlign w:val="center"/>
          </w:tcPr>
          <w:p>
            <w:pPr>
              <w:spacing w:after="60"/>
            </w:pPr>
            <w:r/>
            <w:r>
              <w:rPr>
                <w:rFonts w:ascii="Aptos" w:hAnsi="Aptos"/>
                <w:b w:val="0"/>
                <w:color w:val="222222"/>
                <w:sz w:val="18"/>
              </w:rPr>
              <w:t>Configurable operations, demand, workflows, revenue visibility</w:t>
            </w:r>
          </w:p>
        </w:tc>
      </w:tr>
      <w:tr>
        <w:tc>
          <w:tcPr>
            <w:tcW w:type="dxa" w:w="3312"/>
            <w:vAlign w:val="center"/>
            <w:shd w:fill="F1F6F0"/>
          </w:tcPr>
          <w:p>
            <w:pPr>
              <w:spacing w:after="60"/>
            </w:pPr>
            <w:r/>
            <w:r>
              <w:rPr>
                <w:rFonts w:ascii="Aptos" w:hAnsi="Aptos"/>
                <w:b w:val="0"/>
                <w:color w:val="222222"/>
                <w:sz w:val="18"/>
              </w:rPr>
              <w:t>Doctor</w:t>
            </w:r>
          </w:p>
        </w:tc>
        <w:tc>
          <w:tcPr>
            <w:tcW w:type="dxa" w:w="3312"/>
            <w:vAlign w:val="center"/>
            <w:shd w:fill="F1F6F0"/>
          </w:tcPr>
          <w:p>
            <w:pPr>
              <w:spacing w:after="60"/>
            </w:pPr>
            <w:r/>
            <w:r>
              <w:rPr>
                <w:rFonts w:ascii="Aptos" w:hAnsi="Aptos"/>
                <w:b w:val="0"/>
                <w:color w:val="222222"/>
                <w:sz w:val="18"/>
              </w:rPr>
              <w:t>Unclear queue and missing patient context</w:t>
            </w:r>
          </w:p>
        </w:tc>
        <w:tc>
          <w:tcPr>
            <w:tcW w:type="dxa" w:w="3312"/>
            <w:vAlign w:val="center"/>
            <w:shd w:fill="F1F6F0"/>
          </w:tcPr>
          <w:p>
            <w:pPr>
              <w:spacing w:after="60"/>
            </w:pPr>
            <w:r/>
            <w:r>
              <w:rPr>
                <w:rFonts w:ascii="Aptos" w:hAnsi="Aptos"/>
                <w:b w:val="0"/>
                <w:color w:val="222222"/>
                <w:sz w:val="18"/>
              </w:rPr>
              <w:t>Today view, reports, notes, prescriptions, availability</w:t>
            </w:r>
          </w:p>
        </w:tc>
      </w:tr>
      <w:tr>
        <w:tc>
          <w:tcPr>
            <w:tcW w:type="dxa" w:w="3312"/>
            <w:vAlign w:val="center"/>
          </w:tcPr>
          <w:p>
            <w:pPr>
              <w:spacing w:after="60"/>
            </w:pPr>
            <w:r/>
            <w:r>
              <w:rPr>
                <w:rFonts w:ascii="Aptos" w:hAnsi="Aptos"/>
                <w:b w:val="0"/>
                <w:color w:val="222222"/>
                <w:sz w:val="18"/>
              </w:rPr>
              <w:t>Operations and billing staff</w:t>
            </w:r>
          </w:p>
        </w:tc>
        <w:tc>
          <w:tcPr>
            <w:tcW w:type="dxa" w:w="3312"/>
            <w:vAlign w:val="center"/>
          </w:tcPr>
          <w:p>
            <w:pPr>
              <w:spacing w:after="60"/>
            </w:pPr>
            <w:r/>
            <w:r>
              <w:rPr>
                <w:rFonts w:ascii="Aptos" w:hAnsi="Aptos"/>
                <w:b w:val="0"/>
                <w:color w:val="222222"/>
                <w:sz w:val="18"/>
              </w:rPr>
              <w:t>Repeated entry and unclear responsibility</w:t>
            </w:r>
          </w:p>
        </w:tc>
        <w:tc>
          <w:tcPr>
            <w:tcW w:type="dxa" w:w="3312"/>
            <w:vAlign w:val="center"/>
          </w:tcPr>
          <w:p>
            <w:pPr>
              <w:spacing w:after="60"/>
            </w:pPr>
            <w:r/>
            <w:r>
              <w:rPr>
                <w:rFonts w:ascii="Aptos" w:hAnsi="Aptos"/>
                <w:b w:val="0"/>
                <w:color w:val="222222"/>
                <w:sz w:val="18"/>
              </w:rPr>
              <w:t>Role-specific queues, invoices, receipts, refunds, auditability</w:t>
            </w:r>
          </w:p>
        </w:tc>
      </w:tr>
      <w:tr>
        <w:tc>
          <w:tcPr>
            <w:tcW w:type="dxa" w:w="3312"/>
            <w:vAlign w:val="center"/>
            <w:shd w:fill="F1F6F0"/>
          </w:tcPr>
          <w:p>
            <w:pPr>
              <w:spacing w:after="60"/>
            </w:pPr>
            <w:r/>
            <w:r>
              <w:rPr>
                <w:rFonts w:ascii="Aptos" w:hAnsi="Aptos"/>
                <w:b w:val="0"/>
                <w:color w:val="222222"/>
                <w:sz w:val="18"/>
              </w:rPr>
              <w:t>ApnaCare team</w:t>
            </w:r>
          </w:p>
        </w:tc>
        <w:tc>
          <w:tcPr>
            <w:tcW w:type="dxa" w:w="3312"/>
            <w:vAlign w:val="center"/>
            <w:shd w:fill="F1F6F0"/>
          </w:tcPr>
          <w:p>
            <w:pPr>
              <w:spacing w:after="60"/>
            </w:pPr>
            <w:r/>
            <w:r>
              <w:rPr>
                <w:rFonts w:ascii="Aptos" w:hAnsi="Aptos"/>
                <w:b w:val="0"/>
                <w:color w:val="222222"/>
                <w:sz w:val="18"/>
              </w:rPr>
              <w:t>Trust is difficult across a distributed network</w:t>
            </w:r>
          </w:p>
        </w:tc>
        <w:tc>
          <w:tcPr>
            <w:tcW w:type="dxa" w:w="3312"/>
            <w:vAlign w:val="center"/>
            <w:shd w:fill="F1F6F0"/>
          </w:tcPr>
          <w:p>
            <w:pPr>
              <w:spacing w:after="60"/>
            </w:pPr>
            <w:r/>
            <w:r>
              <w:rPr>
                <w:rFonts w:ascii="Aptos" w:hAnsi="Aptos"/>
                <w:b w:val="0"/>
                <w:color w:val="222222"/>
                <w:sz w:val="18"/>
              </w:rPr>
              <w:t>Verification, policy, SLA, plans, and dispute controls</w:t>
            </w:r>
          </w:p>
        </w:tc>
      </w:tr>
    </w:tbl>
    <w:p>
      <w:pPr>
        <w:spacing w:after="40"/>
      </w:pPr>
    </w:p>
    <w:p>
      <w:pPr>
        <w:pStyle w:val="Heading1"/>
        <w:keepNext/>
      </w:pPr>
      <w:r>
        <w:t>4 Organization and access model</w:t>
      </w:r>
    </w:p>
    <w:p>
      <w:r>
        <w:t>Provider type is not a role. A hospital, clinic, ambulance company, diagnostic centre, pharmacy, or independent practice is an organization. A doctor, dispatcher, driver, receptionist, billing operator, or administrator is a person’s responsibility inside an organization. One person can belong to several organizations with different roles and scopes.</w:t>
      </w:r>
    </w:p>
    <w:p>
      <w:pPr>
        <w:pStyle w:val="Heading2"/>
        <w:keepNext/>
      </w:pPr>
      <w:r>
        <w:t>4.1 Core entities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4968"/>
            <w:vAlign w:val="center"/>
            <w:shd w:fill="2F6B3B"/>
          </w:tcPr>
          <w:p>
            <w:pPr>
              <w:spacing w:after="60"/>
            </w:pPr>
            <w:r/>
            <w:r>
              <w:rPr>
                <w:rFonts w:ascii="Aptos" w:hAnsi="Aptos"/>
                <w:b/>
                <w:color w:val="FFFFFF"/>
                <w:sz w:val="18"/>
              </w:rPr>
              <w:t>Entity</w:t>
            </w:r>
          </w:p>
        </w:tc>
        <w:tc>
          <w:tcPr>
            <w:tcW w:type="dxa" w:w="4968"/>
            <w:vAlign w:val="center"/>
            <w:shd w:fill="2F6B3B"/>
          </w:tcPr>
          <w:p>
            <w:pPr>
              <w:spacing w:after="60"/>
            </w:pPr>
            <w:r/>
            <w:r>
              <w:rPr>
                <w:rFonts w:ascii="Aptos" w:hAnsi="Aptos"/>
                <w:b/>
                <w:color w:val="FFFFFF"/>
                <w:sz w:val="18"/>
              </w:rPr>
              <w:t>Purpose</w:t>
            </w:r>
          </w:p>
        </w:tc>
      </w:tr>
      <w:tr>
        <w:tc>
          <w:tcPr>
            <w:tcW w:type="dxa" w:w="4968"/>
            <w:vAlign w:val="center"/>
          </w:tcPr>
          <w:p>
            <w:pPr>
              <w:spacing w:after="60"/>
            </w:pPr>
            <w:r/>
            <w:r>
              <w:rPr>
                <w:rFonts w:ascii="Aptos" w:hAnsi="Aptos"/>
                <w:b w:val="0"/>
                <w:color w:val="222222"/>
                <w:sz w:val="18"/>
              </w:rPr>
              <w:t>Person</w:t>
            </w:r>
          </w:p>
        </w:tc>
        <w:tc>
          <w:tcPr>
            <w:tcW w:type="dxa" w:w="4968"/>
            <w:vAlign w:val="center"/>
          </w:tcPr>
          <w:p>
            <w:pPr>
              <w:spacing w:after="60"/>
            </w:pPr>
            <w:r/>
            <w:r>
              <w:rPr>
                <w:rFonts w:ascii="Aptos" w:hAnsi="Aptos"/>
                <w:b w:val="0"/>
                <w:color w:val="222222"/>
                <w:sz w:val="18"/>
              </w:rPr>
              <w:t>One identity for login, profile, security history, and notifications</w:t>
            </w:r>
          </w:p>
        </w:tc>
      </w:tr>
      <w:tr>
        <w:tc>
          <w:tcPr>
            <w:tcW w:type="dxa" w:w="4968"/>
            <w:vAlign w:val="center"/>
            <w:shd w:fill="F1F6F0"/>
          </w:tcPr>
          <w:p>
            <w:pPr>
              <w:spacing w:after="60"/>
            </w:pPr>
            <w:r/>
            <w:r>
              <w:rPr>
                <w:rFonts w:ascii="Aptos" w:hAnsi="Aptos"/>
                <w:b w:val="0"/>
                <w:color w:val="222222"/>
                <w:sz w:val="18"/>
              </w:rPr>
              <w:t>Organization</w:t>
            </w:r>
          </w:p>
        </w:tc>
        <w:tc>
          <w:tcPr>
            <w:tcW w:type="dxa" w:w="4968"/>
            <w:vAlign w:val="center"/>
            <w:shd w:fill="F1F6F0"/>
          </w:tcPr>
          <w:p>
            <w:pPr>
              <w:spacing w:after="60"/>
            </w:pPr>
            <w:r/>
            <w:r>
              <w:rPr>
                <w:rFonts w:ascii="Aptos" w:hAnsi="Aptos"/>
                <w:b w:val="0"/>
                <w:color w:val="222222"/>
                <w:sz w:val="18"/>
              </w:rPr>
              <w:t>Hospital, clinic, ambulance provider, diagnostic centre, pharmacy, or ApnaCare</w:t>
            </w:r>
          </w:p>
        </w:tc>
      </w:tr>
      <w:tr>
        <w:tc>
          <w:tcPr>
            <w:tcW w:type="dxa" w:w="4968"/>
            <w:vAlign w:val="center"/>
          </w:tcPr>
          <w:p>
            <w:pPr>
              <w:spacing w:after="60"/>
            </w:pPr>
            <w:r/>
            <w:r>
              <w:rPr>
                <w:rFonts w:ascii="Aptos" w:hAnsi="Aptos"/>
                <w:b w:val="0"/>
                <w:color w:val="222222"/>
                <w:sz w:val="18"/>
              </w:rPr>
              <w:t>Branch and department</w:t>
            </w:r>
          </w:p>
        </w:tc>
        <w:tc>
          <w:tcPr>
            <w:tcW w:type="dxa" w:w="4968"/>
            <w:vAlign w:val="center"/>
          </w:tcPr>
          <w:p>
            <w:pPr>
              <w:spacing w:after="60"/>
            </w:pPr>
            <w:r/>
            <w:r>
              <w:rPr>
                <w:rFonts w:ascii="Aptos" w:hAnsi="Aptos"/>
                <w:b w:val="0"/>
                <w:color w:val="222222"/>
                <w:sz w:val="18"/>
              </w:rPr>
              <w:t>Operational boundaries inside an organization</w:t>
            </w:r>
          </w:p>
        </w:tc>
      </w:tr>
      <w:tr>
        <w:tc>
          <w:tcPr>
            <w:tcW w:type="dxa" w:w="4968"/>
            <w:vAlign w:val="center"/>
            <w:shd w:fill="F1F6F0"/>
          </w:tcPr>
          <w:p>
            <w:pPr>
              <w:spacing w:after="60"/>
            </w:pPr>
            <w:r/>
            <w:r>
              <w:rPr>
                <w:rFonts w:ascii="Aptos" w:hAnsi="Aptos"/>
                <w:b w:val="0"/>
                <w:color w:val="222222"/>
                <w:sz w:val="18"/>
              </w:rPr>
              <w:t>Membership</w:t>
            </w:r>
          </w:p>
        </w:tc>
        <w:tc>
          <w:tcPr>
            <w:tcW w:type="dxa" w:w="4968"/>
            <w:vAlign w:val="center"/>
            <w:shd w:fill="F1F6F0"/>
          </w:tcPr>
          <w:p>
            <w:pPr>
              <w:spacing w:after="60"/>
            </w:pPr>
            <w:r/>
            <w:r>
              <w:rPr>
                <w:rFonts w:ascii="Aptos" w:hAnsi="Aptos"/>
                <w:b w:val="0"/>
                <w:color w:val="222222"/>
                <w:sz w:val="18"/>
              </w:rPr>
              <w:t>Connects a person to an organization and its status</w:t>
            </w:r>
          </w:p>
        </w:tc>
      </w:tr>
      <w:tr>
        <w:tc>
          <w:tcPr>
            <w:tcW w:type="dxa" w:w="4968"/>
            <w:vAlign w:val="center"/>
          </w:tcPr>
          <w:p>
            <w:pPr>
              <w:spacing w:after="60"/>
            </w:pPr>
            <w:r/>
            <w:r>
              <w:rPr>
                <w:rFonts w:ascii="Aptos" w:hAnsi="Aptos"/>
                <w:b w:val="0"/>
                <w:color w:val="222222"/>
                <w:sz w:val="18"/>
              </w:rPr>
              <w:t>Role</w:t>
            </w:r>
          </w:p>
        </w:tc>
        <w:tc>
          <w:tcPr>
            <w:tcW w:type="dxa" w:w="4968"/>
            <w:vAlign w:val="center"/>
          </w:tcPr>
          <w:p>
            <w:pPr>
              <w:spacing w:after="60"/>
            </w:pPr>
            <w:r/>
            <w:r>
              <w:rPr>
                <w:rFonts w:ascii="Aptos" w:hAnsi="Aptos"/>
                <w:b w:val="0"/>
                <w:color w:val="222222"/>
                <w:sz w:val="18"/>
              </w:rPr>
              <w:t>Named bundle of platform or organization permissions</w:t>
            </w:r>
          </w:p>
        </w:tc>
      </w:tr>
      <w:tr>
        <w:tc>
          <w:tcPr>
            <w:tcW w:type="dxa" w:w="4968"/>
            <w:vAlign w:val="center"/>
            <w:shd w:fill="F1F6F0"/>
          </w:tcPr>
          <w:p>
            <w:pPr>
              <w:spacing w:after="60"/>
            </w:pPr>
            <w:r/>
            <w:r>
              <w:rPr>
                <w:rFonts w:ascii="Aptos" w:hAnsi="Aptos"/>
                <w:b w:val="0"/>
                <w:color w:val="222222"/>
                <w:sz w:val="18"/>
              </w:rPr>
              <w:t>Permission</w:t>
            </w:r>
          </w:p>
        </w:tc>
        <w:tc>
          <w:tcPr>
            <w:tcW w:type="dxa" w:w="4968"/>
            <w:vAlign w:val="center"/>
            <w:shd w:fill="F1F6F0"/>
          </w:tcPr>
          <w:p>
            <w:pPr>
              <w:spacing w:after="60"/>
            </w:pPr>
            <w:r/>
            <w:r>
              <w:rPr>
                <w:rFonts w:ascii="Aptos" w:hAnsi="Aptos"/>
                <w:b w:val="0"/>
                <w:color w:val="222222"/>
                <w:sz w:val="18"/>
              </w:rPr>
              <w:t>Atomic action such as appointments.view or billing.refund</w:t>
            </w:r>
          </w:p>
        </w:tc>
      </w:tr>
      <w:tr>
        <w:tc>
          <w:tcPr>
            <w:tcW w:type="dxa" w:w="4968"/>
            <w:vAlign w:val="center"/>
          </w:tcPr>
          <w:p>
            <w:pPr>
              <w:spacing w:after="60"/>
            </w:pPr>
            <w:r/>
            <w:r>
              <w:rPr>
                <w:rFonts w:ascii="Aptos" w:hAnsi="Aptos"/>
                <w:b w:val="0"/>
                <w:color w:val="222222"/>
                <w:sz w:val="18"/>
              </w:rPr>
              <w:t>Scope</w:t>
            </w:r>
          </w:p>
        </w:tc>
        <w:tc>
          <w:tcPr>
            <w:tcW w:type="dxa" w:w="4968"/>
            <w:vAlign w:val="center"/>
          </w:tcPr>
          <w:p>
            <w:pPr>
              <w:spacing w:after="60"/>
            </w:pPr>
            <w:r/>
            <w:r>
              <w:rPr>
                <w:rFonts w:ascii="Aptos" w:hAnsi="Aptos"/>
                <w:b w:val="0"/>
                <w:color w:val="222222"/>
                <w:sz w:val="18"/>
              </w:rPr>
              <w:t>Own, assigned, department, branch, organization, network, or platform</w:t>
            </w:r>
          </w:p>
        </w:tc>
      </w:tr>
      <w:tr>
        <w:tc>
          <w:tcPr>
            <w:tcW w:type="dxa" w:w="4968"/>
            <w:vAlign w:val="center"/>
            <w:shd w:fill="F1F6F0"/>
          </w:tcPr>
          <w:p>
            <w:pPr>
              <w:spacing w:after="60"/>
            </w:pPr>
            <w:r/>
            <w:r>
              <w:rPr>
                <w:rFonts w:ascii="Aptos" w:hAnsi="Aptos"/>
                <w:b w:val="0"/>
                <w:color w:val="222222"/>
                <w:sz w:val="18"/>
              </w:rPr>
              <w:t>Policy and audit event</w:t>
            </w:r>
          </w:p>
        </w:tc>
        <w:tc>
          <w:tcPr>
            <w:tcW w:type="dxa" w:w="4968"/>
            <w:vAlign w:val="center"/>
            <w:shd w:fill="F1F6F0"/>
          </w:tcPr>
          <w:p>
            <w:pPr>
              <w:spacing w:after="60"/>
            </w:pPr>
            <w:r/>
            <w:r>
              <w:rPr>
                <w:rFonts w:ascii="Aptos" w:hAnsi="Aptos"/>
                <w:b w:val="0"/>
                <w:color w:val="222222"/>
                <w:sz w:val="18"/>
              </w:rPr>
              <w:t>Contextual rule and immutable sensitive-action history</w:t>
            </w:r>
          </w:p>
        </w:tc>
      </w:tr>
    </w:tbl>
    <w:p>
      <w:pPr>
        <w:spacing w:after="40"/>
      </w:pPr>
    </w:p>
    <w:p>
      <w:pPr>
        <w:pStyle w:val="Heading2"/>
        <w:keepNext/>
      </w:pPr>
      <w:r>
        <w:t>4.2 Owner and custom role workflow</w:t>
      </w:r>
    </w:p>
    <w:p>
      <w:pPr>
        <w:pStyle w:val="ListNumber"/>
        <w:spacing w:after="60"/>
      </w:pPr>
      <w:r>
        <w:t>ApnaCare verifies and creates the provider organization.</w:t>
      </w:r>
    </w:p>
    <w:p>
      <w:pPr>
        <w:pStyle w:val="ListNumber"/>
        <w:spacing w:after="60"/>
      </w:pPr>
      <w:r>
        <w:t>The organization owner receives full control of that organization only.</w:t>
      </w:r>
    </w:p>
    <w:p>
      <w:pPr>
        <w:pStyle w:val="ListNumber"/>
        <w:spacing w:after="60"/>
      </w:pPr>
      <w:r>
        <w:t>The owner configures branches, departments, services, fees, schedules, staff, and billing.</w:t>
      </w:r>
    </w:p>
    <w:p>
      <w:pPr>
        <w:pStyle w:val="ListNumber"/>
        <w:spacing w:after="60"/>
      </w:pPr>
      <w:r>
        <w:t>The owner creates roles from ApnaCare permission primitives or recommended templates.</w:t>
      </w:r>
    </w:p>
    <w:p>
      <w:pPr>
        <w:pStyle w:val="ListNumber"/>
        <w:spacing w:after="60"/>
      </w:pPr>
      <w:r>
        <w:t>The owner invites staff and assigns roles with scope, branch, department, and optional expiry.</w:t>
      </w:r>
    </w:p>
    <w:p>
      <w:pPr>
        <w:pStyle w:val="ListNumber"/>
        <w:spacing w:after="60"/>
      </w:pPr>
      <w:r>
        <w:t>The owner reviews access, revokes sessions, and inspects audit events independently.</w:t>
      </w:r>
    </w:p>
    <w:p>
      <w:pPr>
        <w:pStyle w:val="Heading2"/>
        <w:keepNext/>
      </w:pPr>
      <w:r>
        <w:t>4.3 Example base roles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c>
          <w:tcPr>
            <w:tcW w:type="dxa" w:w="3312"/>
            <w:vAlign w:val="center"/>
            <w:shd w:fill="2F6B3B"/>
          </w:tcPr>
          <w:p>
            <w:pPr>
              <w:spacing w:after="60"/>
            </w:pPr>
            <w:r/>
            <w:r>
              <w:rPr>
                <w:rFonts w:ascii="Aptos" w:hAnsi="Aptos"/>
                <w:b/>
                <w:color w:val="FFFFFF"/>
                <w:sz w:val="18"/>
              </w:rPr>
              <w:t>Organization</w:t>
            </w:r>
          </w:p>
        </w:tc>
        <w:tc>
          <w:tcPr>
            <w:tcW w:type="dxa" w:w="3312"/>
            <w:vAlign w:val="center"/>
            <w:shd w:fill="2F6B3B"/>
          </w:tcPr>
          <w:p>
            <w:pPr>
              <w:spacing w:after="60"/>
            </w:pPr>
            <w:r/>
            <w:r>
              <w:rPr>
                <w:rFonts w:ascii="Aptos" w:hAnsi="Aptos"/>
                <w:b/>
                <w:color w:val="FFFFFF"/>
                <w:sz w:val="18"/>
              </w:rPr>
              <w:t>Base roles</w:t>
            </w:r>
          </w:p>
        </w:tc>
        <w:tc>
          <w:tcPr>
            <w:tcW w:type="dxa" w:w="3312"/>
            <w:vAlign w:val="center"/>
            <w:shd w:fill="2F6B3B"/>
          </w:tcPr>
          <w:p>
            <w:pPr>
              <w:spacing w:after="60"/>
            </w:pPr>
            <w:r/>
            <w:r>
              <w:rPr>
                <w:rFonts w:ascii="Aptos" w:hAnsi="Aptos"/>
                <w:b/>
                <w:color w:val="FFFFFF"/>
                <w:sz w:val="18"/>
              </w:rPr>
              <w:t>Owner-created examples</w:t>
            </w:r>
          </w:p>
        </w:tc>
      </w:tr>
      <w:tr>
        <w:tc>
          <w:tcPr>
            <w:tcW w:type="dxa" w:w="3312"/>
            <w:vAlign w:val="center"/>
          </w:tcPr>
          <w:p>
            <w:pPr>
              <w:spacing w:after="60"/>
            </w:pPr>
            <w:r/>
            <w:r>
              <w:rPr>
                <w:rFonts w:ascii="Aptos" w:hAnsi="Aptos"/>
                <w:b w:val="0"/>
                <w:color w:val="222222"/>
                <w:sz w:val="18"/>
              </w:rPr>
              <w:t>Hospital</w:t>
            </w:r>
          </w:p>
        </w:tc>
        <w:tc>
          <w:tcPr>
            <w:tcW w:type="dxa" w:w="3312"/>
            <w:vAlign w:val="center"/>
          </w:tcPr>
          <w:p>
            <w:pPr>
              <w:spacing w:after="60"/>
            </w:pPr>
            <w:r/>
            <w:r>
              <w:rPr>
                <w:rFonts w:ascii="Aptos" w:hAnsi="Aptos"/>
                <w:b w:val="0"/>
                <w:color w:val="222222"/>
                <w:sz w:val="18"/>
              </w:rPr>
              <w:t>Owner, admin, doctor, nurse, receptionist, billing, dispatcher</w:t>
            </w:r>
          </w:p>
        </w:tc>
        <w:tc>
          <w:tcPr>
            <w:tcW w:type="dxa" w:w="3312"/>
            <w:vAlign w:val="center"/>
          </w:tcPr>
          <w:p>
            <w:pPr>
              <w:spacing w:after="60"/>
            </w:pPr>
            <w:r/>
            <w:r>
              <w:rPr>
                <w:rFonts w:ascii="Aptos" w:hAnsi="Aptos"/>
                <w:b w:val="0"/>
                <w:color w:val="222222"/>
                <w:sz w:val="18"/>
              </w:rPr>
              <w:t>Night coordinator, ICU billing reviewer, branch quality lead</w:t>
            </w:r>
          </w:p>
        </w:tc>
      </w:tr>
      <w:tr>
        <w:tc>
          <w:tcPr>
            <w:tcW w:type="dxa" w:w="3312"/>
            <w:vAlign w:val="center"/>
            <w:shd w:fill="F1F6F0"/>
          </w:tcPr>
          <w:p>
            <w:pPr>
              <w:spacing w:after="60"/>
            </w:pPr>
            <w:r/>
            <w:r>
              <w:rPr>
                <w:rFonts w:ascii="Aptos" w:hAnsi="Aptos"/>
                <w:b w:val="0"/>
                <w:color w:val="222222"/>
                <w:sz w:val="18"/>
              </w:rPr>
              <w:t>Clinic</w:t>
            </w:r>
          </w:p>
        </w:tc>
        <w:tc>
          <w:tcPr>
            <w:tcW w:type="dxa" w:w="3312"/>
            <w:vAlign w:val="center"/>
            <w:shd w:fill="F1F6F0"/>
          </w:tcPr>
          <w:p>
            <w:pPr>
              <w:spacing w:after="60"/>
            </w:pPr>
            <w:r/>
            <w:r>
              <w:rPr>
                <w:rFonts w:ascii="Aptos" w:hAnsi="Aptos"/>
                <w:b w:val="0"/>
                <w:color w:val="222222"/>
                <w:sz w:val="18"/>
              </w:rPr>
              <w:t>Owner, doctor, receptionist, billing</w:t>
            </w:r>
          </w:p>
        </w:tc>
        <w:tc>
          <w:tcPr>
            <w:tcW w:type="dxa" w:w="3312"/>
            <w:vAlign w:val="center"/>
            <w:shd w:fill="F1F6F0"/>
          </w:tcPr>
          <w:p>
            <w:pPr>
              <w:spacing w:after="60"/>
            </w:pPr>
            <w:r/>
            <w:r>
              <w:rPr>
                <w:rFonts w:ascii="Aptos" w:hAnsi="Aptos"/>
                <w:b w:val="0"/>
                <w:color w:val="222222"/>
                <w:sz w:val="18"/>
              </w:rPr>
              <w:t>Visiting consultant, part-time front desk</w:t>
            </w:r>
          </w:p>
        </w:tc>
      </w:tr>
      <w:tr>
        <w:tc>
          <w:tcPr>
            <w:tcW w:type="dxa" w:w="3312"/>
            <w:vAlign w:val="center"/>
          </w:tcPr>
          <w:p>
            <w:pPr>
              <w:spacing w:after="60"/>
            </w:pPr>
            <w:r/>
            <w:r>
              <w:rPr>
                <w:rFonts w:ascii="Aptos" w:hAnsi="Aptos"/>
                <w:b w:val="0"/>
                <w:color w:val="222222"/>
                <w:sz w:val="18"/>
              </w:rPr>
              <w:t>Ambulance provider</w:t>
            </w:r>
          </w:p>
        </w:tc>
        <w:tc>
          <w:tcPr>
            <w:tcW w:type="dxa" w:w="3312"/>
            <w:vAlign w:val="center"/>
          </w:tcPr>
          <w:p>
            <w:pPr>
              <w:spacing w:after="60"/>
            </w:pPr>
            <w:r/>
            <w:r>
              <w:rPr>
                <w:rFonts w:ascii="Aptos" w:hAnsi="Aptos"/>
                <w:b w:val="0"/>
                <w:color w:val="222222"/>
                <w:sz w:val="18"/>
              </w:rPr>
              <w:t>Owner, dispatcher, driver, medical crew</w:t>
            </w:r>
          </w:p>
        </w:tc>
        <w:tc>
          <w:tcPr>
            <w:tcW w:type="dxa" w:w="3312"/>
            <w:vAlign w:val="center"/>
          </w:tcPr>
          <w:p>
            <w:pPr>
              <w:spacing w:after="60"/>
            </w:pPr>
            <w:r/>
            <w:r>
              <w:rPr>
                <w:rFonts w:ascii="Aptos" w:hAnsi="Aptos"/>
                <w:b w:val="0"/>
                <w:color w:val="222222"/>
                <w:sz w:val="18"/>
              </w:rPr>
              <w:t>Fleet supervisor, night dispatcher</w:t>
            </w:r>
          </w:p>
        </w:tc>
      </w:tr>
      <w:tr>
        <w:tc>
          <w:tcPr>
            <w:tcW w:type="dxa" w:w="3312"/>
            <w:vAlign w:val="center"/>
            <w:shd w:fill="F1F6F0"/>
          </w:tcPr>
          <w:p>
            <w:pPr>
              <w:spacing w:after="60"/>
            </w:pPr>
            <w:r/>
            <w:r>
              <w:rPr>
                <w:rFonts w:ascii="Aptos" w:hAnsi="Aptos"/>
                <w:b w:val="0"/>
                <w:color w:val="222222"/>
                <w:sz w:val="18"/>
              </w:rPr>
              <w:t>Independent doctor</w:t>
            </w:r>
          </w:p>
        </w:tc>
        <w:tc>
          <w:tcPr>
            <w:tcW w:type="dxa" w:w="3312"/>
            <w:vAlign w:val="center"/>
            <w:shd w:fill="F1F6F0"/>
          </w:tcPr>
          <w:p>
            <w:pPr>
              <w:spacing w:after="60"/>
            </w:pPr>
            <w:r/>
            <w:r>
              <w:rPr>
                <w:rFonts w:ascii="Aptos" w:hAnsi="Aptos"/>
                <w:b w:val="0"/>
                <w:color w:val="222222"/>
                <w:sz w:val="18"/>
              </w:rPr>
              <w:t>Owner-doctor, assistant, billing</w:t>
            </w:r>
          </w:p>
        </w:tc>
        <w:tc>
          <w:tcPr>
            <w:tcW w:type="dxa" w:w="3312"/>
            <w:vAlign w:val="center"/>
            <w:shd w:fill="F1F6F0"/>
          </w:tcPr>
          <w:p>
            <w:pPr>
              <w:spacing w:after="60"/>
            </w:pPr>
            <w:r/>
            <w:r>
              <w:rPr>
                <w:rFonts w:ascii="Aptos" w:hAnsi="Aptos"/>
                <w:b w:val="0"/>
                <w:color w:val="222222"/>
                <w:sz w:val="18"/>
              </w:rPr>
              <w:t>Teleconsult coordinator, hospital liaison</w:t>
            </w:r>
          </w:p>
        </w:tc>
      </w:tr>
    </w:tbl>
    <w:p>
      <w:pPr>
        <w:spacing w:after="40"/>
      </w:pPr>
    </w:p>
    <w:p>
      <w:pPr>
        <w:pStyle w:val="Heading2"/>
        <w:keepNext/>
      </w:pPr>
      <w:r>
        <w:t>4.4 Permission families</w:t>
      </w:r>
    </w:p>
    <w:p>
      <w:pPr>
        <w:pStyle w:val="ListBullet"/>
        <w:spacing w:after="60"/>
      </w:pPr>
      <w:r>
        <w:t>appointments.view, create, reschedule, cancel, check_in</w:t>
      </w:r>
    </w:p>
    <w:p>
      <w:pPr>
        <w:pStyle w:val="ListBullet"/>
        <w:spacing w:after="60"/>
      </w:pPr>
      <w:r>
        <w:t>patients.view, edit, assign, records.view, records.upload, records.share</w:t>
      </w:r>
    </w:p>
    <w:p>
      <w:pPr>
        <w:pStyle w:val="ListBullet"/>
        <w:spacing w:after="60"/>
      </w:pPr>
      <w:r>
        <w:t>billing.view, invoice.create, payment.record, refund, export</w:t>
      </w:r>
    </w:p>
    <w:p>
      <w:pPr>
        <w:pStyle w:val="ListBullet"/>
        <w:spacing w:after="60"/>
      </w:pPr>
      <w:r>
        <w:t>ambulance.request.view, accept, dispatch, assign, location.view, close</w:t>
      </w:r>
    </w:p>
    <w:p>
      <w:pPr>
        <w:pStyle w:val="ListBullet"/>
        <w:spacing w:after="60"/>
      </w:pPr>
      <w:r>
        <w:t>schedules.view, manage, publish, block</w:t>
      </w:r>
    </w:p>
    <w:p>
      <w:pPr>
        <w:pStyle w:val="ListBullet"/>
        <w:spacing w:after="60"/>
      </w:pPr>
      <w:r>
        <w:t>staff.invite, suspend, role.assign, session.revoke</w:t>
      </w:r>
    </w:p>
    <w:p>
      <w:pPr>
        <w:pStyle w:val="ListBullet"/>
        <w:spacing w:after="60"/>
      </w:pPr>
      <w:r>
        <w:t>reports.view, export, configure; settings.manage; audit.view</w:t>
      </w:r>
    </w:p>
    <w:p>
      <w:pPr>
        <w:pStyle w:val="Heading2"/>
        <w:keepNext/>
      </w:pPr>
      <w:r>
        <w:t>4.5 Emergency break-glass access</w:t>
      </w:r>
    </w:p>
    <w:p>
      <w:r>
        <w:t>An authorized responder can temporarily view only the emergency card, critical allergies, medications, location, and contacts required for immediate care. The responder provides a reason; access expires; the event is logged and reviewable. Emergency access never exposes an entire medical history by default.</w:t>
      </w:r>
    </w:p>
    <w:p>
      <w:pPr>
        <w:pStyle w:val="Heading1"/>
        <w:keepNext/>
      </w:pPr>
      <w:r>
        <w:t>5 Launch wedge Emergency Care Room</w:t>
      </w:r>
    </w:p>
    <w:p>
      <w:r>
        <w:t>The first memorable product is not a red SOS button. It is a shared Emergency Care Room connecting the patient, caregiver, dispatcher, ambulance crew, receiving hospital, doctor, and billing team around one incident.</w:t>
      </w:r>
    </w:p>
    <w:p>
      <w:pPr>
        <w:pStyle w:val="Heading2"/>
        <w:keepNext/>
      </w:pPr>
      <w:r>
        <w:t>5.1 End to end flow</w:t>
      </w:r>
    </w:p>
    <w:p>
      <w:pPr>
        <w:pStyle w:val="ListNumber"/>
        <w:spacing w:after="60"/>
      </w:pPr>
      <w:r>
        <w:t>Patient or caregiver selects the person needing help and starts an emergency request.</w:t>
      </w:r>
    </w:p>
    <w:p>
      <w:pPr>
        <w:pStyle w:val="ListNumber"/>
        <w:spacing w:after="60"/>
      </w:pPr>
      <w:r>
        <w:t>A short safety check presents 112 guidance for severe symptoms.</w:t>
      </w:r>
    </w:p>
    <w:p>
      <w:pPr>
        <w:pStyle w:val="ListNumber"/>
        <w:spacing w:after="60"/>
      </w:pPr>
      <w:r>
        <w:t>The request shares location and the minimum emergency card required for response.</w:t>
      </w:r>
    </w:p>
    <w:p>
      <w:pPr>
        <w:pStyle w:val="ListNumber"/>
        <w:spacing w:after="60"/>
      </w:pPr>
      <w:r>
        <w:t>The network matches an ambulance by capability, readiness, distance, and service area.</w:t>
      </w:r>
    </w:p>
    <w:p>
      <w:pPr>
        <w:pStyle w:val="ListNumber"/>
        <w:spacing w:after="60"/>
      </w:pPr>
      <w:r>
        <w:t>Dispatcher assigns a vehicle and crew; the caregiver sees status and ETA.</w:t>
      </w:r>
    </w:p>
    <w:p>
      <w:pPr>
        <w:pStyle w:val="ListNumber"/>
        <w:spacing w:after="60"/>
      </w:pPr>
      <w:r>
        <w:t>The receiving hospital confirms emergency capacity and receives a pre-arrival summary.</w:t>
      </w:r>
    </w:p>
    <w:p>
      <w:pPr>
        <w:pStyle w:val="ListNumber"/>
        <w:spacing w:after="60"/>
      </w:pPr>
      <w:r>
        <w:t>The doctor or emergency team records arrival and handoff events.</w:t>
      </w:r>
    </w:p>
    <w:p>
      <w:pPr>
        <w:pStyle w:val="ListNumber"/>
        <w:spacing w:after="60"/>
      </w:pPr>
      <w:r>
        <w:t>Billing captures ambulance, consultation, and hospital charges against the incident.</w:t>
      </w:r>
    </w:p>
    <w:p>
      <w:pPr>
        <w:pStyle w:val="ListNumber"/>
        <w:spacing w:after="60"/>
      </w:pPr>
      <w:r>
        <w:t>The incident closes into the patient timeline and an optional follow-up care plan.</w:t>
      </w:r>
    </w:p>
    <w:p>
      <w:pPr>
        <w:pStyle w:val="Heading2"/>
        <w:keepNext/>
      </w:pPr>
      <w:r>
        <w:t>5.2 Differentiating pain-point features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c>
          <w:tcPr>
            <w:tcW w:type="dxa" w:w="3312"/>
            <w:vAlign w:val="center"/>
            <w:shd w:fill="2F6B3B"/>
          </w:tcPr>
          <w:p>
            <w:pPr>
              <w:spacing w:after="60"/>
            </w:pPr>
            <w:r/>
            <w:r>
              <w:rPr>
                <w:rFonts w:ascii="Aptos" w:hAnsi="Aptos"/>
                <w:b/>
                <w:color w:val="FFFFFF"/>
                <w:sz w:val="18"/>
              </w:rPr>
              <w:t>Feature</w:t>
            </w:r>
          </w:p>
        </w:tc>
        <w:tc>
          <w:tcPr>
            <w:tcW w:type="dxa" w:w="3312"/>
            <w:vAlign w:val="center"/>
            <w:shd w:fill="2F6B3B"/>
          </w:tcPr>
          <w:p>
            <w:pPr>
              <w:spacing w:after="60"/>
            </w:pPr>
            <w:r/>
            <w:r>
              <w:rPr>
                <w:rFonts w:ascii="Aptos" w:hAnsi="Aptos"/>
                <w:b/>
                <w:color w:val="FFFFFF"/>
                <w:sz w:val="18"/>
              </w:rPr>
              <w:t>Pain removed</w:t>
            </w:r>
          </w:p>
        </w:tc>
        <w:tc>
          <w:tcPr>
            <w:tcW w:type="dxa" w:w="3312"/>
            <w:vAlign w:val="center"/>
            <w:shd w:fill="2F6B3B"/>
          </w:tcPr>
          <w:p>
            <w:pPr>
              <w:spacing w:after="60"/>
            </w:pPr>
            <w:r/>
            <w:r>
              <w:rPr>
                <w:rFonts w:ascii="Aptos" w:hAnsi="Aptos"/>
                <w:b/>
                <w:color w:val="FFFFFF"/>
                <w:sz w:val="18"/>
              </w:rPr>
              <w:t>Demo proof</w:t>
            </w:r>
          </w:p>
        </w:tc>
      </w:tr>
      <w:tr>
        <w:tc>
          <w:tcPr>
            <w:tcW w:type="dxa" w:w="3312"/>
            <w:vAlign w:val="center"/>
          </w:tcPr>
          <w:p>
            <w:pPr>
              <w:spacing w:after="60"/>
            </w:pPr>
            <w:r/>
            <w:r>
              <w:rPr>
                <w:rFonts w:ascii="Aptos" w:hAnsi="Aptos"/>
                <w:b w:val="0"/>
                <w:color w:val="222222"/>
                <w:sz w:val="18"/>
              </w:rPr>
              <w:t>Capability-aware dispatch</w:t>
            </w:r>
          </w:p>
        </w:tc>
        <w:tc>
          <w:tcPr>
            <w:tcW w:type="dxa" w:w="3312"/>
            <w:vAlign w:val="center"/>
          </w:tcPr>
          <w:p>
            <w:pPr>
              <w:spacing w:after="60"/>
            </w:pPr>
            <w:r/>
            <w:r>
              <w:rPr>
                <w:rFonts w:ascii="Aptos" w:hAnsi="Aptos"/>
                <w:b w:val="0"/>
                <w:color w:val="222222"/>
                <w:sz w:val="18"/>
              </w:rPr>
              <w:t>Nearest vehicle may lack oxygen, ALS crew, or equipment</w:t>
            </w:r>
          </w:p>
        </w:tc>
        <w:tc>
          <w:tcPr>
            <w:tcW w:type="dxa" w:w="3312"/>
            <w:vAlign w:val="center"/>
          </w:tcPr>
          <w:p>
            <w:pPr>
              <w:spacing w:after="60"/>
            </w:pPr>
            <w:r/>
            <w:r>
              <w:rPr>
                <w:rFonts w:ascii="Aptos" w:hAnsi="Aptos"/>
                <w:b w:val="0"/>
                <w:color w:val="222222"/>
                <w:sz w:val="18"/>
              </w:rPr>
              <w:t>Vehicle cards show capability, readiness, ETA, and acceptance</w:t>
            </w:r>
          </w:p>
        </w:tc>
      </w:tr>
      <w:tr>
        <w:tc>
          <w:tcPr>
            <w:tcW w:type="dxa" w:w="3312"/>
            <w:vAlign w:val="center"/>
            <w:shd w:fill="F1F6F0"/>
          </w:tcPr>
          <w:p>
            <w:pPr>
              <w:spacing w:after="60"/>
            </w:pPr>
            <w:r/>
            <w:r>
              <w:rPr>
                <w:rFonts w:ascii="Aptos" w:hAnsi="Aptos"/>
                <w:b w:val="0"/>
                <w:color w:val="222222"/>
                <w:sz w:val="18"/>
              </w:rPr>
              <w:t>Hospital readiness handshake</w:t>
            </w:r>
          </w:p>
        </w:tc>
        <w:tc>
          <w:tcPr>
            <w:tcW w:type="dxa" w:w="3312"/>
            <w:vAlign w:val="center"/>
            <w:shd w:fill="F1F6F0"/>
          </w:tcPr>
          <w:p>
            <w:pPr>
              <w:spacing w:after="60"/>
            </w:pPr>
            <w:r/>
            <w:r>
              <w:rPr>
                <w:rFonts w:ascii="Aptos" w:hAnsi="Aptos"/>
                <w:b w:val="0"/>
                <w:color w:val="222222"/>
                <w:sz w:val="18"/>
              </w:rPr>
              <w:t>Ambulance arrives without knowing capacity</w:t>
            </w:r>
          </w:p>
        </w:tc>
        <w:tc>
          <w:tcPr>
            <w:tcW w:type="dxa" w:w="3312"/>
            <w:vAlign w:val="center"/>
            <w:shd w:fill="F1F6F0"/>
          </w:tcPr>
          <w:p>
            <w:pPr>
              <w:spacing w:after="60"/>
            </w:pPr>
            <w:r/>
            <w:r>
              <w:rPr>
                <w:rFonts w:ascii="Aptos" w:hAnsi="Aptos"/>
                <w:b w:val="0"/>
                <w:color w:val="222222"/>
                <w:sz w:val="18"/>
              </w:rPr>
              <w:t>Hospital console accepts pre-arrival and shows readiness</w:t>
            </w:r>
          </w:p>
        </w:tc>
      </w:tr>
      <w:tr>
        <w:tc>
          <w:tcPr>
            <w:tcW w:type="dxa" w:w="3312"/>
            <w:vAlign w:val="center"/>
          </w:tcPr>
          <w:p>
            <w:pPr>
              <w:spacing w:after="60"/>
            </w:pPr>
            <w:r/>
            <w:r>
              <w:rPr>
                <w:rFonts w:ascii="Aptos" w:hAnsi="Aptos"/>
                <w:b w:val="0"/>
                <w:color w:val="222222"/>
                <w:sz w:val="18"/>
              </w:rPr>
              <w:t>Permission-aware incident room</w:t>
            </w:r>
          </w:p>
        </w:tc>
        <w:tc>
          <w:tcPr>
            <w:tcW w:type="dxa" w:w="3312"/>
            <w:vAlign w:val="center"/>
          </w:tcPr>
          <w:p>
            <w:pPr>
              <w:spacing w:after="60"/>
            </w:pPr>
            <w:r/>
            <w:r>
              <w:rPr>
                <w:rFonts w:ascii="Aptos" w:hAnsi="Aptos"/>
                <w:b w:val="0"/>
                <w:color w:val="222222"/>
                <w:sz w:val="18"/>
              </w:rPr>
              <w:t>Participants see too much or too little</w:t>
            </w:r>
          </w:p>
        </w:tc>
        <w:tc>
          <w:tcPr>
            <w:tcW w:type="dxa" w:w="3312"/>
            <w:vAlign w:val="center"/>
          </w:tcPr>
          <w:p>
            <w:pPr>
              <w:spacing w:after="60"/>
            </w:pPr>
            <w:r/>
            <w:r>
              <w:rPr>
                <w:rFonts w:ascii="Aptos" w:hAnsi="Aptos"/>
                <w:b w:val="0"/>
                <w:color w:val="222222"/>
                <w:sz w:val="18"/>
              </w:rPr>
              <w:t>Each workspace shows a safe view of one incident</w:t>
            </w:r>
          </w:p>
        </w:tc>
      </w:tr>
      <w:tr>
        <w:tc>
          <w:tcPr>
            <w:tcW w:type="dxa" w:w="3312"/>
            <w:vAlign w:val="center"/>
            <w:shd w:fill="F1F6F0"/>
          </w:tcPr>
          <w:p>
            <w:pPr>
              <w:spacing w:after="60"/>
            </w:pPr>
            <w:r/>
            <w:r>
              <w:rPr>
                <w:rFonts w:ascii="Aptos" w:hAnsi="Aptos"/>
                <w:b w:val="0"/>
                <w:color w:val="222222"/>
                <w:sz w:val="18"/>
              </w:rPr>
              <w:t>Escalation and fallback</w:t>
            </w:r>
          </w:p>
        </w:tc>
        <w:tc>
          <w:tcPr>
            <w:tcW w:type="dxa" w:w="3312"/>
            <w:vAlign w:val="center"/>
            <w:shd w:fill="F1F6F0"/>
          </w:tcPr>
          <w:p>
            <w:pPr>
              <w:spacing w:after="60"/>
            </w:pPr>
            <w:r/>
            <w:r>
              <w:rPr>
                <w:rFonts w:ascii="Aptos" w:hAnsi="Aptos"/>
                <w:b w:val="0"/>
                <w:color w:val="222222"/>
                <w:sz w:val="18"/>
              </w:rPr>
              <w:t>A missed call costs critical time</w:t>
            </w:r>
          </w:p>
        </w:tc>
        <w:tc>
          <w:tcPr>
            <w:tcW w:type="dxa" w:w="3312"/>
            <w:vAlign w:val="center"/>
            <w:shd w:fill="F1F6F0"/>
          </w:tcPr>
          <w:p>
            <w:pPr>
              <w:spacing w:after="60"/>
            </w:pPr>
            <w:r/>
            <w:r>
              <w:rPr>
                <w:rFonts w:ascii="Aptos" w:hAnsi="Aptos"/>
                <w:b w:val="0"/>
                <w:color w:val="222222"/>
                <w:sz w:val="18"/>
              </w:rPr>
              <w:t>Unaccepted request escalates to backup and calling guidance</w:t>
            </w:r>
          </w:p>
        </w:tc>
      </w:tr>
      <w:tr>
        <w:tc>
          <w:tcPr>
            <w:tcW w:type="dxa" w:w="3312"/>
            <w:vAlign w:val="center"/>
          </w:tcPr>
          <w:p>
            <w:pPr>
              <w:spacing w:after="60"/>
            </w:pPr>
            <w:r/>
            <w:r>
              <w:rPr>
                <w:rFonts w:ascii="Aptos" w:hAnsi="Aptos"/>
                <w:b w:val="0"/>
                <w:color w:val="222222"/>
                <w:sz w:val="18"/>
              </w:rPr>
              <w:t>Handoff ledger</w:t>
            </w:r>
          </w:p>
        </w:tc>
        <w:tc>
          <w:tcPr>
            <w:tcW w:type="dxa" w:w="3312"/>
            <w:vAlign w:val="center"/>
          </w:tcPr>
          <w:p>
            <w:pPr>
              <w:spacing w:after="60"/>
            </w:pPr>
            <w:r/>
            <w:r>
              <w:rPr>
                <w:rFonts w:ascii="Aptos" w:hAnsi="Aptos"/>
                <w:b w:val="0"/>
                <w:color w:val="222222"/>
                <w:sz w:val="18"/>
              </w:rPr>
              <w:t>No accountability between ambulance and hospital</w:t>
            </w:r>
          </w:p>
        </w:tc>
        <w:tc>
          <w:tcPr>
            <w:tcW w:type="dxa" w:w="3312"/>
            <w:vAlign w:val="center"/>
          </w:tcPr>
          <w:p>
            <w:pPr>
              <w:spacing w:after="60"/>
            </w:pPr>
            <w:r/>
            <w:r>
              <w:rPr>
                <w:rFonts w:ascii="Aptos" w:hAnsi="Aptos"/>
                <w:b w:val="0"/>
                <w:color w:val="222222"/>
                <w:sz w:val="18"/>
              </w:rPr>
              <w:t>Timeline records people, times, status, and handoffs</w:t>
            </w:r>
          </w:p>
        </w:tc>
      </w:tr>
      <w:tr>
        <w:tc>
          <w:tcPr>
            <w:tcW w:type="dxa" w:w="3312"/>
            <w:vAlign w:val="center"/>
            <w:shd w:fill="F1F6F0"/>
          </w:tcPr>
          <w:p>
            <w:pPr>
              <w:spacing w:after="60"/>
            </w:pPr>
            <w:r/>
            <w:r>
              <w:rPr>
                <w:rFonts w:ascii="Aptos" w:hAnsi="Aptos"/>
                <w:b w:val="0"/>
                <w:color w:val="222222"/>
                <w:sz w:val="18"/>
              </w:rPr>
              <w:t>Post-event continuity</w:t>
            </w:r>
          </w:p>
        </w:tc>
        <w:tc>
          <w:tcPr>
            <w:tcW w:type="dxa" w:w="3312"/>
            <w:vAlign w:val="center"/>
            <w:shd w:fill="F1F6F0"/>
          </w:tcPr>
          <w:p>
            <w:pPr>
              <w:spacing w:after="60"/>
            </w:pPr>
            <w:r/>
            <w:r>
              <w:rPr>
                <w:rFonts w:ascii="Aptos" w:hAnsi="Aptos"/>
                <w:b w:val="0"/>
                <w:color w:val="222222"/>
                <w:sz w:val="18"/>
              </w:rPr>
              <w:t>Care ends when ambulance arrives</w:t>
            </w:r>
          </w:p>
        </w:tc>
        <w:tc>
          <w:tcPr>
            <w:tcW w:type="dxa" w:w="3312"/>
            <w:vAlign w:val="center"/>
            <w:shd w:fill="F1F6F0"/>
          </w:tcPr>
          <w:p>
            <w:pPr>
              <w:spacing w:after="60"/>
            </w:pPr>
            <w:r/>
            <w:r>
              <w:rPr>
                <w:rFonts w:ascii="Aptos" w:hAnsi="Aptos"/>
                <w:b w:val="0"/>
                <w:color w:val="222222"/>
                <w:sz w:val="18"/>
              </w:rPr>
              <w:t>Incident creates documents, billing, tasks, and follow-up</w:t>
            </w:r>
          </w:p>
        </w:tc>
      </w:tr>
    </w:tbl>
    <w:p>
      <w:pPr>
        <w:spacing w:after="40"/>
      </w:pPr>
    </w:p>
    <w:p>
      <w:pPr>
        <w:pStyle w:val="Heading1"/>
        <w:keepNext/>
      </w:pPr>
      <w:r>
        <w:t>6 Provider operating system</w:t>
      </w:r>
    </w:p>
    <w:p>
      <w:pPr>
        <w:pStyle w:val="Heading2"/>
        <w:keepNext/>
      </w:pPr>
      <w:r>
        <w:t>6.1 Hospital and clinic modules</w:t>
      </w:r>
    </w:p>
    <w:p>
      <w:pPr>
        <w:pStyle w:val="ListBullet"/>
        <w:spacing w:after="60"/>
      </w:pPr>
      <w:r>
        <w:t>Organization onboarding and verification</w:t>
      </w:r>
    </w:p>
    <w:p>
      <w:pPr>
        <w:pStyle w:val="ListBullet"/>
        <w:spacing w:after="60"/>
      </w:pPr>
      <w:r>
        <w:t>Branch and department configuration</w:t>
      </w:r>
    </w:p>
    <w:p>
      <w:pPr>
        <w:pStyle w:val="ListBullet"/>
        <w:spacing w:after="60"/>
      </w:pPr>
      <w:r>
        <w:t>Provider profiles, credentials, fees, languages, and availability</w:t>
      </w:r>
    </w:p>
    <w:p>
      <w:pPr>
        <w:pStyle w:val="ListBullet"/>
        <w:spacing w:after="60"/>
      </w:pPr>
      <w:r>
        <w:t>Appointment slots, queues, check-in, wait-time updates, and no-show handling</w:t>
      </w:r>
    </w:p>
    <w:p>
      <w:pPr>
        <w:pStyle w:val="ListBullet"/>
        <w:spacing w:after="60"/>
      </w:pPr>
      <w:r>
        <w:t>Consent-aware patient registration and records</w:t>
      </w:r>
    </w:p>
    <w:p>
      <w:pPr>
        <w:pStyle w:val="ListBullet"/>
        <w:spacing w:after="60"/>
      </w:pPr>
      <w:r>
        <w:t>Invoices, receipts, refunds, discounts, settlements, and payment status</w:t>
      </w:r>
    </w:p>
    <w:p>
      <w:pPr>
        <w:pStyle w:val="ListBullet"/>
        <w:spacing w:after="60"/>
      </w:pPr>
      <w:r>
        <w:t>Staff invitation, role builder, branch/department scope, and access review</w:t>
      </w:r>
    </w:p>
    <w:p>
      <w:pPr>
        <w:pStyle w:val="ListBullet"/>
        <w:spacing w:after="60"/>
      </w:pPr>
      <w:r>
        <w:t>Operational dashboards for volume, wait time, capacity, cancellations, and revenue</w:t>
      </w:r>
    </w:p>
    <w:p>
      <w:pPr>
        <w:pStyle w:val="ListBullet"/>
        <w:spacing w:after="60"/>
      </w:pPr>
      <w:r>
        <w:t>Content and offer publishing for the patient app</w:t>
      </w:r>
    </w:p>
    <w:p>
      <w:pPr>
        <w:pStyle w:val="ListBullet"/>
        <w:spacing w:after="60"/>
      </w:pPr>
      <w:r>
        <w:t>Exportable reports and an audit log</w:t>
      </w:r>
    </w:p>
    <w:p>
      <w:pPr>
        <w:pStyle w:val="Heading2"/>
        <w:keepNext/>
      </w:pPr>
      <w:r>
        <w:t>6.2 Doctor workspace</w:t>
      </w:r>
    </w:p>
    <w:p>
      <w:r>
        <w:t>The doctor workspace focuses on the working day: schedule, queue, check-in status, patient context, reports, visit notes, prescriptions, follow-up tasks, and availability. It should reduce clicks during a consultation rather than imitate a large ERP.</w:t>
      </w:r>
    </w:p>
    <w:p>
      <w:pPr>
        <w:pStyle w:val="Heading2"/>
        <w:keepNext/>
      </w:pPr>
      <w:r>
        <w:t>6.3 Independent practice support</w:t>
      </w:r>
    </w:p>
    <w:p>
      <w:r>
        <w:t>An independent doctor can create a verified practice, configure a schedule, invite an assistant, publish services, accept appointments, issue invoices, and refer a patient to a hospital or diagnostic partner. ApnaCare can therefore create supply even before large hospital contracts.</w:t>
      </w:r>
    </w:p>
    <w:p>
      <w:pPr>
        <w:pStyle w:val="Heading1"/>
        <w:keepNext/>
      </w:pPr>
      <w:r>
        <w:t>7 Patient experience</w:t>
      </w:r>
    </w:p>
    <w:p>
      <w:pPr>
        <w:pStyle w:val="ListBullet"/>
        <w:spacing w:after="60"/>
      </w:pPr>
      <w:r>
        <w:t>Emergency card with consent controls and family contacts</w:t>
      </w:r>
    </w:p>
    <w:p>
      <w:pPr>
        <w:pStyle w:val="ListBullet"/>
        <w:spacing w:after="60"/>
      </w:pPr>
      <w:r>
        <w:t>Care Circle for parents, children, and dependents</w:t>
      </w:r>
    </w:p>
    <w:p>
      <w:pPr>
        <w:pStyle w:val="ListBullet"/>
        <w:spacing w:after="60"/>
      </w:pPr>
      <w:r>
        <w:t>Provider discovery with transparent fit reasons, not only star ratings</w:t>
      </w:r>
    </w:p>
    <w:p>
      <w:pPr>
        <w:pStyle w:val="ListBullet"/>
        <w:spacing w:after="60"/>
      </w:pPr>
      <w:r>
        <w:t>Appointments, queues, reschedule, cancellation, and reminders</w:t>
      </w:r>
    </w:p>
    <w:p>
      <w:pPr>
        <w:pStyle w:val="ListBullet"/>
        <w:spacing w:after="60"/>
      </w:pPr>
      <w:r>
        <w:t>Health vault for reports, prescriptions, and discharge summaries</w:t>
      </w:r>
    </w:p>
    <w:p>
      <w:pPr>
        <w:pStyle w:val="ListBullet"/>
        <w:spacing w:after="60"/>
      </w:pPr>
      <w:r>
        <w:t>Care timeline linking emergencies, visits, bills, documents, and follow-ups</w:t>
      </w:r>
    </w:p>
    <w:p>
      <w:pPr>
        <w:pStyle w:val="ListBullet"/>
        <w:spacing w:after="60"/>
      </w:pPr>
      <w:r>
        <w:t>Low-data and Hindi/English-friendly emergency access</w:t>
      </w:r>
    </w:p>
    <w:p>
      <w:pPr>
        <w:pStyle w:val="ListBullet"/>
        <w:spacing w:after="60"/>
      </w:pPr>
      <w:r>
        <w:t>Care Companion for navigation, organization, and safe report explanation</w:t>
      </w:r>
    </w:p>
    <w:p>
      <w:pPr>
        <w:pStyle w:val="ListBullet"/>
        <w:spacing w:after="60"/>
      </w:pPr>
      <w:r>
        <w:t>Future medicine delivery and diagnostic fulfillment</w:t>
      </w:r>
    </w:p>
    <w:p>
      <w:pPr>
        <w:pStyle w:val="Heading1"/>
        <w:keepNext/>
      </w:pPr>
      <w:r>
        <w:t>8 Care Companion AI</w:t>
      </w:r>
    </w:p>
    <w:p>
      <w:r>
        <w:t>The assistant is a tool-using care navigator. It creates value by taking actions inside ApnaCare, not by producing generic health paragraphs.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c>
          <w:tcPr>
            <w:tcW w:type="dxa" w:w="3312"/>
            <w:vAlign w:val="center"/>
            <w:shd w:fill="2F6B3B"/>
          </w:tcPr>
          <w:p>
            <w:pPr>
              <w:spacing w:after="60"/>
            </w:pPr>
            <w:r/>
            <w:r>
              <w:rPr>
                <w:rFonts w:ascii="Aptos" w:hAnsi="Aptos"/>
                <w:b/>
                <w:color w:val="FFFFFF"/>
                <w:sz w:val="18"/>
              </w:rPr>
              <w:t>Capability</w:t>
            </w:r>
          </w:p>
        </w:tc>
        <w:tc>
          <w:tcPr>
            <w:tcW w:type="dxa" w:w="3312"/>
            <w:vAlign w:val="center"/>
            <w:shd w:fill="2F6B3B"/>
          </w:tcPr>
          <w:p>
            <w:pPr>
              <w:spacing w:after="60"/>
            </w:pPr>
            <w:r/>
            <w:r>
              <w:rPr>
                <w:rFonts w:ascii="Aptos" w:hAnsi="Aptos"/>
                <w:b/>
                <w:color w:val="FFFFFF"/>
                <w:sz w:val="18"/>
              </w:rPr>
              <w:t>Allowed behavior</w:t>
            </w:r>
          </w:p>
        </w:tc>
        <w:tc>
          <w:tcPr>
            <w:tcW w:type="dxa" w:w="3312"/>
            <w:vAlign w:val="center"/>
            <w:shd w:fill="2F6B3B"/>
          </w:tcPr>
          <w:p>
            <w:pPr>
              <w:spacing w:after="60"/>
            </w:pPr>
            <w:r/>
            <w:r>
              <w:rPr>
                <w:rFonts w:ascii="Aptos" w:hAnsi="Aptos"/>
                <w:b/>
                <w:color w:val="FFFFFF"/>
                <w:sz w:val="18"/>
              </w:rPr>
              <w:t>Safety boundary</w:t>
            </w:r>
          </w:p>
        </w:tc>
      </w:tr>
      <w:tr>
        <w:tc>
          <w:tcPr>
            <w:tcW w:type="dxa" w:w="3312"/>
            <w:vAlign w:val="center"/>
          </w:tcPr>
          <w:p>
            <w:pPr>
              <w:spacing w:after="60"/>
            </w:pPr>
            <w:r/>
            <w:r>
              <w:rPr>
                <w:rFonts w:ascii="Aptos" w:hAnsi="Aptos"/>
                <w:b w:val="0"/>
                <w:color w:val="222222"/>
                <w:sz w:val="18"/>
              </w:rPr>
              <w:t>Guided intake</w:t>
            </w:r>
          </w:p>
        </w:tc>
        <w:tc>
          <w:tcPr>
            <w:tcW w:type="dxa" w:w="3312"/>
            <w:vAlign w:val="center"/>
          </w:tcPr>
          <w:p>
            <w:pPr>
              <w:spacing w:after="60"/>
            </w:pPr>
            <w:r/>
            <w:r>
              <w:rPr>
                <w:rFonts w:ascii="Aptos" w:hAnsi="Aptos"/>
                <w:b w:val="0"/>
                <w:color w:val="222222"/>
                <w:sz w:val="18"/>
              </w:rPr>
              <w:t>Convert plain language into structured care needs</w:t>
            </w:r>
          </w:p>
        </w:tc>
        <w:tc>
          <w:tcPr>
            <w:tcW w:type="dxa" w:w="3312"/>
            <w:vAlign w:val="center"/>
          </w:tcPr>
          <w:p>
            <w:pPr>
              <w:spacing w:after="60"/>
            </w:pPr>
            <w:r/>
            <w:r>
              <w:rPr>
                <w:rFonts w:ascii="Aptos" w:hAnsi="Aptos"/>
                <w:b w:val="0"/>
                <w:color w:val="222222"/>
                <w:sz w:val="18"/>
              </w:rPr>
              <w:t>Never claim a diagnosis</w:t>
            </w:r>
          </w:p>
        </w:tc>
      </w:tr>
      <w:tr>
        <w:tc>
          <w:tcPr>
            <w:tcW w:type="dxa" w:w="3312"/>
            <w:vAlign w:val="center"/>
            <w:shd w:fill="F1F6F0"/>
          </w:tcPr>
          <w:p>
            <w:pPr>
              <w:spacing w:after="60"/>
            </w:pPr>
            <w:r/>
            <w:r>
              <w:rPr>
                <w:rFonts w:ascii="Aptos" w:hAnsi="Aptos"/>
                <w:b w:val="0"/>
                <w:color w:val="222222"/>
                <w:sz w:val="18"/>
              </w:rPr>
              <w:t>Emergency routing</w:t>
            </w:r>
          </w:p>
        </w:tc>
        <w:tc>
          <w:tcPr>
            <w:tcW w:type="dxa" w:w="3312"/>
            <w:vAlign w:val="center"/>
            <w:shd w:fill="F1F6F0"/>
          </w:tcPr>
          <w:p>
            <w:pPr>
              <w:spacing w:after="60"/>
            </w:pPr>
            <w:r/>
            <w:r>
              <w:rPr>
                <w:rFonts w:ascii="Aptos" w:hAnsi="Aptos"/>
                <w:b w:val="0"/>
                <w:color w:val="222222"/>
                <w:sz w:val="18"/>
              </w:rPr>
              <w:t>Detect urgent language and open emergency actions</w:t>
            </w:r>
          </w:p>
        </w:tc>
        <w:tc>
          <w:tcPr>
            <w:tcW w:type="dxa" w:w="3312"/>
            <w:vAlign w:val="center"/>
            <w:shd w:fill="F1F6F0"/>
          </w:tcPr>
          <w:p>
            <w:pPr>
              <w:spacing w:after="60"/>
            </w:pPr>
            <w:r/>
            <w:r>
              <w:rPr>
                <w:rFonts w:ascii="Aptos" w:hAnsi="Aptos"/>
                <w:b w:val="0"/>
                <w:color w:val="222222"/>
                <w:sz w:val="18"/>
              </w:rPr>
              <w:t>Show 112 guidance and escalate</w:t>
            </w:r>
          </w:p>
        </w:tc>
      </w:tr>
      <w:tr>
        <w:tc>
          <w:tcPr>
            <w:tcW w:type="dxa" w:w="3312"/>
            <w:vAlign w:val="center"/>
          </w:tcPr>
          <w:p>
            <w:pPr>
              <w:spacing w:after="60"/>
            </w:pPr>
            <w:r/>
            <w:r>
              <w:rPr>
                <w:rFonts w:ascii="Aptos" w:hAnsi="Aptos"/>
                <w:b w:val="0"/>
                <w:color w:val="222222"/>
                <w:sz w:val="18"/>
              </w:rPr>
              <w:t>Provider matching</w:t>
            </w:r>
          </w:p>
        </w:tc>
        <w:tc>
          <w:tcPr>
            <w:tcW w:type="dxa" w:w="3312"/>
            <w:vAlign w:val="center"/>
          </w:tcPr>
          <w:p>
            <w:pPr>
              <w:spacing w:after="60"/>
            </w:pPr>
            <w:r/>
            <w:r>
              <w:rPr>
                <w:rFonts w:ascii="Aptos" w:hAnsi="Aptos"/>
                <w:b w:val="0"/>
                <w:color w:val="222222"/>
                <w:sz w:val="18"/>
              </w:rPr>
              <w:t>Filter by readiness, fee, language, distance, and slot</w:t>
            </w:r>
          </w:p>
        </w:tc>
        <w:tc>
          <w:tcPr>
            <w:tcW w:type="dxa" w:w="3312"/>
            <w:vAlign w:val="center"/>
          </w:tcPr>
          <w:p>
            <w:pPr>
              <w:spacing w:after="60"/>
            </w:pPr>
            <w:r/>
            <w:r>
              <w:rPr>
                <w:rFonts w:ascii="Aptos" w:hAnsi="Aptos"/>
                <w:b w:val="0"/>
                <w:color w:val="222222"/>
                <w:sz w:val="18"/>
              </w:rPr>
              <w:t>Explain the match using source data</w:t>
            </w:r>
          </w:p>
        </w:tc>
      </w:tr>
      <w:tr>
        <w:tc>
          <w:tcPr>
            <w:tcW w:type="dxa" w:w="3312"/>
            <w:vAlign w:val="center"/>
            <w:shd w:fill="F1F6F0"/>
          </w:tcPr>
          <w:p>
            <w:pPr>
              <w:spacing w:after="60"/>
            </w:pPr>
            <w:r/>
            <w:r>
              <w:rPr>
                <w:rFonts w:ascii="Aptos" w:hAnsi="Aptos"/>
                <w:b w:val="0"/>
                <w:color w:val="222222"/>
                <w:sz w:val="18"/>
              </w:rPr>
              <w:t>Booking agent</w:t>
            </w:r>
          </w:p>
        </w:tc>
        <w:tc>
          <w:tcPr>
            <w:tcW w:type="dxa" w:w="3312"/>
            <w:vAlign w:val="center"/>
            <w:shd w:fill="F1F6F0"/>
          </w:tcPr>
          <w:p>
            <w:pPr>
              <w:spacing w:after="60"/>
            </w:pPr>
            <w:r/>
            <w:r>
              <w:rPr>
                <w:rFonts w:ascii="Aptos" w:hAnsi="Aptos"/>
                <w:b w:val="0"/>
                <w:color w:val="222222"/>
                <w:sz w:val="18"/>
              </w:rPr>
              <w:t>Create, reschedule, and cancel after confirmation</w:t>
            </w:r>
          </w:p>
        </w:tc>
        <w:tc>
          <w:tcPr>
            <w:tcW w:type="dxa" w:w="3312"/>
            <w:vAlign w:val="center"/>
            <w:shd w:fill="F1F6F0"/>
          </w:tcPr>
          <w:p>
            <w:pPr>
              <w:spacing w:after="60"/>
            </w:pPr>
            <w:r/>
            <w:r>
              <w:rPr>
                <w:rFonts w:ascii="Aptos" w:hAnsi="Aptos"/>
                <w:b w:val="0"/>
                <w:color w:val="222222"/>
                <w:sz w:val="18"/>
              </w:rPr>
              <w:t>Never silently commit</w:t>
            </w:r>
          </w:p>
        </w:tc>
      </w:tr>
      <w:tr>
        <w:tc>
          <w:tcPr>
            <w:tcW w:type="dxa" w:w="3312"/>
            <w:vAlign w:val="center"/>
          </w:tcPr>
          <w:p>
            <w:pPr>
              <w:spacing w:after="60"/>
            </w:pPr>
            <w:r/>
            <w:r>
              <w:rPr>
                <w:rFonts w:ascii="Aptos" w:hAnsi="Aptos"/>
                <w:b w:val="0"/>
                <w:color w:val="222222"/>
                <w:sz w:val="18"/>
              </w:rPr>
              <w:t>Report explainer</w:t>
            </w:r>
          </w:p>
        </w:tc>
        <w:tc>
          <w:tcPr>
            <w:tcW w:type="dxa" w:w="3312"/>
            <w:vAlign w:val="center"/>
          </w:tcPr>
          <w:p>
            <w:pPr>
              <w:spacing w:after="60"/>
            </w:pPr>
            <w:r/>
            <w:r>
              <w:rPr>
                <w:rFonts w:ascii="Aptos" w:hAnsi="Aptos"/>
                <w:b w:val="0"/>
                <w:color w:val="222222"/>
                <w:sz w:val="18"/>
              </w:rPr>
              <w:t>Summarize documents and draft doctor questions</w:t>
            </w:r>
          </w:p>
        </w:tc>
        <w:tc>
          <w:tcPr>
            <w:tcW w:type="dxa" w:w="3312"/>
            <w:vAlign w:val="center"/>
          </w:tcPr>
          <w:p>
            <w:pPr>
              <w:spacing w:after="60"/>
            </w:pPr>
            <w:r/>
            <w:r>
              <w:rPr>
                <w:rFonts w:ascii="Aptos" w:hAnsi="Aptos"/>
                <w:b w:val="0"/>
                <w:color w:val="222222"/>
                <w:sz w:val="18"/>
              </w:rPr>
              <w:t>Never prescribe or change treatment</w:t>
            </w:r>
          </w:p>
        </w:tc>
      </w:tr>
      <w:tr>
        <w:tc>
          <w:tcPr>
            <w:tcW w:type="dxa" w:w="3312"/>
            <w:vAlign w:val="center"/>
            <w:shd w:fill="F1F6F0"/>
          </w:tcPr>
          <w:p>
            <w:pPr>
              <w:spacing w:after="60"/>
            </w:pPr>
            <w:r/>
            <w:r>
              <w:rPr>
                <w:rFonts w:ascii="Aptos" w:hAnsi="Aptos"/>
                <w:b w:val="0"/>
                <w:color w:val="222222"/>
                <w:sz w:val="18"/>
              </w:rPr>
              <w:t>Care organizer</w:t>
            </w:r>
          </w:p>
        </w:tc>
        <w:tc>
          <w:tcPr>
            <w:tcW w:type="dxa" w:w="3312"/>
            <w:vAlign w:val="center"/>
            <w:shd w:fill="F1F6F0"/>
          </w:tcPr>
          <w:p>
            <w:pPr>
              <w:spacing w:after="60"/>
            </w:pPr>
            <w:r/>
            <w:r>
              <w:rPr>
                <w:rFonts w:ascii="Aptos" w:hAnsi="Aptos"/>
                <w:b w:val="0"/>
                <w:color w:val="222222"/>
                <w:sz w:val="18"/>
              </w:rPr>
              <w:t>Create reminders, tasks, and caregiver updates</w:t>
            </w:r>
          </w:p>
        </w:tc>
        <w:tc>
          <w:tcPr>
            <w:tcW w:type="dxa" w:w="3312"/>
            <w:vAlign w:val="center"/>
            <w:shd w:fill="F1F6F0"/>
          </w:tcPr>
          <w:p>
            <w:pPr>
              <w:spacing w:after="60"/>
            </w:pPr>
            <w:r/>
            <w:r>
              <w:rPr>
                <w:rFonts w:ascii="Aptos" w:hAnsi="Aptos"/>
                <w:b w:val="0"/>
                <w:color w:val="222222"/>
                <w:sz w:val="18"/>
              </w:rPr>
              <w:t>Respect consent and membership scope</w:t>
            </w:r>
          </w:p>
        </w:tc>
      </w:tr>
    </w:tbl>
    <w:p>
      <w:pPr>
        <w:spacing w:after="40"/>
      </w:pPr>
    </w:p>
    <w:p>
      <w:pPr>
        <w:pStyle w:val="Heading1"/>
        <w:keepNext/>
      </w:pPr>
      <w:r>
        <w:t>9 Business model and go to market</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c>
          <w:tcPr>
            <w:tcW w:type="dxa" w:w="3312"/>
            <w:vAlign w:val="center"/>
            <w:shd w:fill="2F6B3B"/>
          </w:tcPr>
          <w:p>
            <w:pPr>
              <w:spacing w:after="60"/>
            </w:pPr>
            <w:r/>
            <w:r>
              <w:rPr>
                <w:rFonts w:ascii="Aptos" w:hAnsi="Aptos"/>
                <w:b/>
                <w:color w:val="FFFFFF"/>
                <w:sz w:val="18"/>
              </w:rPr>
              <w:t>Revenue stream</w:t>
            </w:r>
          </w:p>
        </w:tc>
        <w:tc>
          <w:tcPr>
            <w:tcW w:type="dxa" w:w="3312"/>
            <w:vAlign w:val="center"/>
            <w:shd w:fill="2F6B3B"/>
          </w:tcPr>
          <w:p>
            <w:pPr>
              <w:spacing w:after="60"/>
            </w:pPr>
            <w:r/>
            <w:r>
              <w:rPr>
                <w:rFonts w:ascii="Aptos" w:hAnsi="Aptos"/>
                <w:b/>
                <w:color w:val="FFFFFF"/>
                <w:sz w:val="18"/>
              </w:rPr>
              <w:t>Buyer</w:t>
            </w:r>
          </w:p>
        </w:tc>
        <w:tc>
          <w:tcPr>
            <w:tcW w:type="dxa" w:w="3312"/>
            <w:vAlign w:val="center"/>
            <w:shd w:fill="2F6B3B"/>
          </w:tcPr>
          <w:p>
            <w:pPr>
              <w:spacing w:after="60"/>
            </w:pPr>
            <w:r/>
            <w:r>
              <w:rPr>
                <w:rFonts w:ascii="Aptos" w:hAnsi="Aptos"/>
                <w:b/>
                <w:color w:val="FFFFFF"/>
                <w:sz w:val="18"/>
              </w:rPr>
              <w:t>Value</w:t>
            </w:r>
          </w:p>
        </w:tc>
      </w:tr>
      <w:tr>
        <w:tc>
          <w:tcPr>
            <w:tcW w:type="dxa" w:w="3312"/>
            <w:vAlign w:val="center"/>
          </w:tcPr>
          <w:p>
            <w:pPr>
              <w:spacing w:after="60"/>
            </w:pPr>
            <w:r/>
            <w:r>
              <w:rPr>
                <w:rFonts w:ascii="Aptos" w:hAnsi="Aptos"/>
                <w:b w:val="0"/>
                <w:color w:val="222222"/>
                <w:sz w:val="18"/>
              </w:rPr>
              <w:t>Provider subscription</w:t>
            </w:r>
          </w:p>
        </w:tc>
        <w:tc>
          <w:tcPr>
            <w:tcW w:type="dxa" w:w="3312"/>
            <w:vAlign w:val="center"/>
          </w:tcPr>
          <w:p>
            <w:pPr>
              <w:spacing w:after="60"/>
            </w:pPr>
            <w:r/>
            <w:r>
              <w:rPr>
                <w:rFonts w:ascii="Aptos" w:hAnsi="Aptos"/>
                <w:b w:val="0"/>
                <w:color w:val="222222"/>
                <w:sz w:val="18"/>
              </w:rPr>
              <w:t>Hospital, clinic, ambulance company</w:t>
            </w:r>
          </w:p>
        </w:tc>
        <w:tc>
          <w:tcPr>
            <w:tcW w:type="dxa" w:w="3312"/>
            <w:vAlign w:val="center"/>
          </w:tcPr>
          <w:p>
            <w:pPr>
              <w:spacing w:after="60"/>
            </w:pPr>
            <w:r/>
            <w:r>
              <w:rPr>
                <w:rFonts w:ascii="Aptos" w:hAnsi="Aptos"/>
                <w:b w:val="0"/>
                <w:color w:val="222222"/>
                <w:sz w:val="18"/>
              </w:rPr>
              <w:t>Seats, workflows, billing, reporting, branding, support</w:t>
            </w:r>
          </w:p>
        </w:tc>
      </w:tr>
      <w:tr>
        <w:tc>
          <w:tcPr>
            <w:tcW w:type="dxa" w:w="3312"/>
            <w:vAlign w:val="center"/>
            <w:shd w:fill="F1F6F0"/>
          </w:tcPr>
          <w:p>
            <w:pPr>
              <w:spacing w:after="60"/>
            </w:pPr>
            <w:r/>
            <w:r>
              <w:rPr>
                <w:rFonts w:ascii="Aptos" w:hAnsi="Aptos"/>
                <w:b w:val="0"/>
                <w:color w:val="222222"/>
                <w:sz w:val="18"/>
              </w:rPr>
              <w:t>Network transaction fee</w:t>
            </w:r>
          </w:p>
        </w:tc>
        <w:tc>
          <w:tcPr>
            <w:tcW w:type="dxa" w:w="3312"/>
            <w:vAlign w:val="center"/>
            <w:shd w:fill="F1F6F0"/>
          </w:tcPr>
          <w:p>
            <w:pPr>
              <w:spacing w:after="60"/>
            </w:pPr>
            <w:r/>
            <w:r>
              <w:rPr>
                <w:rFonts w:ascii="Aptos" w:hAnsi="Aptos"/>
                <w:b w:val="0"/>
                <w:color w:val="222222"/>
                <w:sz w:val="18"/>
              </w:rPr>
              <w:t>Provider or payer</w:t>
            </w:r>
          </w:p>
        </w:tc>
        <w:tc>
          <w:tcPr>
            <w:tcW w:type="dxa" w:w="3312"/>
            <w:vAlign w:val="center"/>
            <w:shd w:fill="F1F6F0"/>
          </w:tcPr>
          <w:p>
            <w:pPr>
              <w:spacing w:after="60"/>
            </w:pPr>
            <w:r/>
            <w:r>
              <w:rPr>
                <w:rFonts w:ascii="Aptos" w:hAnsi="Aptos"/>
                <w:b w:val="0"/>
                <w:color w:val="222222"/>
                <w:sz w:val="18"/>
              </w:rPr>
              <w:t>Qualified appointment and emergency demand</w:t>
            </w:r>
          </w:p>
        </w:tc>
      </w:tr>
      <w:tr>
        <w:tc>
          <w:tcPr>
            <w:tcW w:type="dxa" w:w="3312"/>
            <w:vAlign w:val="center"/>
          </w:tcPr>
          <w:p>
            <w:pPr>
              <w:spacing w:after="60"/>
            </w:pPr>
            <w:r/>
            <w:r>
              <w:rPr>
                <w:rFonts w:ascii="Aptos" w:hAnsi="Aptos"/>
                <w:b w:val="0"/>
                <w:color w:val="222222"/>
                <w:sz w:val="18"/>
              </w:rPr>
              <w:t>Premium family plan</w:t>
            </w:r>
          </w:p>
        </w:tc>
        <w:tc>
          <w:tcPr>
            <w:tcW w:type="dxa" w:w="3312"/>
            <w:vAlign w:val="center"/>
          </w:tcPr>
          <w:p>
            <w:pPr>
              <w:spacing w:after="60"/>
            </w:pPr>
            <w:r/>
            <w:r>
              <w:rPr>
                <w:rFonts w:ascii="Aptos" w:hAnsi="Aptos"/>
                <w:b w:val="0"/>
                <w:color w:val="222222"/>
                <w:sz w:val="18"/>
              </w:rPr>
              <w:t>Patient or caregiver</w:t>
            </w:r>
          </w:p>
        </w:tc>
        <w:tc>
          <w:tcPr>
            <w:tcW w:type="dxa" w:w="3312"/>
            <w:vAlign w:val="center"/>
          </w:tcPr>
          <w:p>
            <w:pPr>
              <w:spacing w:after="60"/>
            </w:pPr>
            <w:r/>
            <w:r>
              <w:rPr>
                <w:rFonts w:ascii="Aptos" w:hAnsi="Aptos"/>
                <w:b w:val="0"/>
                <w:color w:val="222222"/>
                <w:sz w:val="18"/>
              </w:rPr>
              <w:t>Care Circle, storage, reminders, coordination</w:t>
            </w:r>
          </w:p>
        </w:tc>
      </w:tr>
      <w:tr>
        <w:tc>
          <w:tcPr>
            <w:tcW w:type="dxa" w:w="3312"/>
            <w:vAlign w:val="center"/>
            <w:shd w:fill="F1F6F0"/>
          </w:tcPr>
          <w:p>
            <w:pPr>
              <w:spacing w:after="60"/>
            </w:pPr>
            <w:r/>
            <w:r>
              <w:rPr>
                <w:rFonts w:ascii="Aptos" w:hAnsi="Aptos"/>
                <w:b w:val="0"/>
                <w:color w:val="222222"/>
                <w:sz w:val="18"/>
              </w:rPr>
              <w:t>Enterprise modules</w:t>
            </w:r>
          </w:p>
        </w:tc>
        <w:tc>
          <w:tcPr>
            <w:tcW w:type="dxa" w:w="3312"/>
            <w:vAlign w:val="center"/>
            <w:shd w:fill="F1F6F0"/>
          </w:tcPr>
          <w:p>
            <w:pPr>
              <w:spacing w:after="60"/>
            </w:pPr>
            <w:r/>
            <w:r>
              <w:rPr>
                <w:rFonts w:ascii="Aptos" w:hAnsi="Aptos"/>
                <w:b w:val="0"/>
                <w:color w:val="222222"/>
                <w:sz w:val="18"/>
              </w:rPr>
              <w:t>Hospital network</w:t>
            </w:r>
          </w:p>
        </w:tc>
        <w:tc>
          <w:tcPr>
            <w:tcW w:type="dxa" w:w="3312"/>
            <w:vAlign w:val="center"/>
            <w:shd w:fill="F1F6F0"/>
          </w:tcPr>
          <w:p>
            <w:pPr>
              <w:spacing w:after="60"/>
            </w:pPr>
            <w:r/>
            <w:r>
              <w:rPr>
                <w:rFonts w:ascii="Aptos" w:hAnsi="Aptos"/>
                <w:b w:val="0"/>
                <w:color w:val="222222"/>
                <w:sz w:val="18"/>
              </w:rPr>
              <w:t>Integrations, analytics, SLA, multi-branch controls</w:t>
            </w:r>
          </w:p>
        </w:tc>
      </w:tr>
      <w:tr>
        <w:tc>
          <w:tcPr>
            <w:tcW w:type="dxa" w:w="3312"/>
            <w:vAlign w:val="center"/>
          </w:tcPr>
          <w:p>
            <w:pPr>
              <w:spacing w:after="60"/>
            </w:pPr>
            <w:r/>
            <w:r>
              <w:rPr>
                <w:rFonts w:ascii="Aptos" w:hAnsi="Aptos"/>
                <w:b w:val="0"/>
                <w:color w:val="222222"/>
                <w:sz w:val="18"/>
              </w:rPr>
              <w:t>Future pharmacy and diagnostics margin</w:t>
            </w:r>
          </w:p>
        </w:tc>
        <w:tc>
          <w:tcPr>
            <w:tcW w:type="dxa" w:w="3312"/>
            <w:vAlign w:val="center"/>
          </w:tcPr>
          <w:p>
            <w:pPr>
              <w:spacing w:after="60"/>
            </w:pPr>
            <w:r/>
            <w:r>
              <w:rPr>
                <w:rFonts w:ascii="Aptos" w:hAnsi="Aptos"/>
                <w:b w:val="0"/>
                <w:color w:val="222222"/>
                <w:sz w:val="18"/>
              </w:rPr>
              <w:t>Partner network</w:t>
            </w:r>
          </w:p>
        </w:tc>
        <w:tc>
          <w:tcPr>
            <w:tcW w:type="dxa" w:w="3312"/>
            <w:vAlign w:val="center"/>
          </w:tcPr>
          <w:p>
            <w:pPr>
              <w:spacing w:after="60"/>
            </w:pPr>
            <w:r/>
            <w:r>
              <w:rPr>
                <w:rFonts w:ascii="Aptos" w:hAnsi="Aptos"/>
                <w:b w:val="0"/>
                <w:color w:val="222222"/>
                <w:sz w:val="18"/>
              </w:rPr>
              <w:t>Convenient fulfillment after trust is established</w:t>
            </w:r>
          </w:p>
        </w:tc>
      </w:tr>
    </w:tbl>
    <w:p>
      <w:pPr>
        <w:spacing w:after="40"/>
      </w:pPr>
    </w:p>
    <w:p>
      <w:r>
        <w:t>Start with one city, one hospital or clinic partner, and a verified ambulance network. Emergency readiness creates patient demand; provider tools create retention and revenue. Appointments, records, bills, and medicines create recurring usage.</w:t>
      </w:r>
    </w:p>
    <w:p>
      <w:pPr>
        <w:pStyle w:val="Heading1"/>
        <w:keepNext/>
      </w:pPr>
      <w:r>
        <w:t>10 Frontend implementation plan</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c>
          <w:tcPr>
            <w:tcW w:type="dxa" w:w="3312"/>
            <w:vAlign w:val="center"/>
            <w:shd w:fill="2F6B3B"/>
          </w:tcPr>
          <w:p>
            <w:pPr>
              <w:spacing w:after="60"/>
            </w:pPr>
            <w:r/>
            <w:r>
              <w:rPr>
                <w:rFonts w:ascii="Aptos" w:hAnsi="Aptos"/>
                <w:b/>
                <w:color w:val="FFFFFF"/>
                <w:sz w:val="18"/>
              </w:rPr>
              <w:t>Phase</w:t>
            </w:r>
          </w:p>
        </w:tc>
        <w:tc>
          <w:tcPr>
            <w:tcW w:type="dxa" w:w="3312"/>
            <w:vAlign w:val="center"/>
            <w:shd w:fill="2F6B3B"/>
          </w:tcPr>
          <w:p>
            <w:pPr>
              <w:spacing w:after="60"/>
            </w:pPr>
            <w:r/>
            <w:r>
              <w:rPr>
                <w:rFonts w:ascii="Aptos" w:hAnsi="Aptos"/>
                <w:b/>
                <w:color w:val="FFFFFF"/>
                <w:sz w:val="18"/>
              </w:rPr>
              <w:t>Frontend outcome</w:t>
            </w:r>
          </w:p>
        </w:tc>
        <w:tc>
          <w:tcPr>
            <w:tcW w:type="dxa" w:w="3312"/>
            <w:vAlign w:val="center"/>
            <w:shd w:fill="2F6B3B"/>
          </w:tcPr>
          <w:p>
            <w:pPr>
              <w:spacing w:after="60"/>
            </w:pPr>
            <w:r/>
            <w:r>
              <w:rPr>
                <w:rFonts w:ascii="Aptos" w:hAnsi="Aptos"/>
                <w:b/>
                <w:color w:val="FFFFFF"/>
                <w:sz w:val="18"/>
              </w:rPr>
              <w:t>Dummy scenario</w:t>
            </w:r>
          </w:p>
        </w:tc>
      </w:tr>
      <w:tr>
        <w:tc>
          <w:tcPr>
            <w:tcW w:type="dxa" w:w="3312"/>
            <w:vAlign w:val="center"/>
          </w:tcPr>
          <w:p>
            <w:pPr>
              <w:spacing w:after="60"/>
            </w:pPr>
            <w:r/>
            <w:r>
              <w:rPr>
                <w:rFonts w:ascii="Aptos" w:hAnsi="Aptos"/>
                <w:b w:val="0"/>
                <w:color w:val="222222"/>
                <w:sz w:val="18"/>
              </w:rPr>
              <w:t>1. Platform shell</w:t>
            </w:r>
          </w:p>
        </w:tc>
        <w:tc>
          <w:tcPr>
            <w:tcW w:type="dxa" w:w="3312"/>
            <w:vAlign w:val="center"/>
          </w:tcPr>
          <w:p>
            <w:pPr>
              <w:spacing w:after="60"/>
            </w:pPr>
            <w:r/>
            <w:r>
              <w:rPr>
                <w:rFonts w:ascii="Aptos" w:hAnsi="Aptos"/>
                <w:b w:val="0"/>
                <w:color w:val="222222"/>
                <w:sz w:val="18"/>
              </w:rPr>
              <w:t>Role-aware navigation, organization switcher, permission-aware actions</w:t>
            </w:r>
          </w:p>
        </w:tc>
        <w:tc>
          <w:tcPr>
            <w:tcW w:type="dxa" w:w="3312"/>
            <w:vAlign w:val="center"/>
          </w:tcPr>
          <w:p>
            <w:pPr>
              <w:spacing w:after="60"/>
            </w:pPr>
            <w:r/>
            <w:r>
              <w:rPr>
                <w:rFonts w:ascii="Aptos" w:hAnsi="Aptos"/>
                <w:b w:val="0"/>
                <w:color w:val="222222"/>
                <w:sz w:val="18"/>
              </w:rPr>
              <w:t>One doctor belongs to a clinic and ambulance provider</w:t>
            </w:r>
          </w:p>
        </w:tc>
      </w:tr>
      <w:tr>
        <w:tc>
          <w:tcPr>
            <w:tcW w:type="dxa" w:w="3312"/>
            <w:vAlign w:val="center"/>
            <w:shd w:fill="F1F6F0"/>
          </w:tcPr>
          <w:p>
            <w:pPr>
              <w:spacing w:after="60"/>
            </w:pPr>
            <w:r/>
            <w:r>
              <w:rPr>
                <w:rFonts w:ascii="Aptos" w:hAnsi="Aptos"/>
                <w:b w:val="0"/>
                <w:color w:val="222222"/>
                <w:sz w:val="18"/>
              </w:rPr>
              <w:t>2. Emergency journey</w:t>
            </w:r>
          </w:p>
        </w:tc>
        <w:tc>
          <w:tcPr>
            <w:tcW w:type="dxa" w:w="3312"/>
            <w:vAlign w:val="center"/>
            <w:shd w:fill="F1F6F0"/>
          </w:tcPr>
          <w:p>
            <w:pPr>
              <w:spacing w:after="60"/>
            </w:pPr>
            <w:r/>
            <w:r>
              <w:rPr>
                <w:rFonts w:ascii="Aptos" w:hAnsi="Aptos"/>
                <w:b w:val="0"/>
                <w:color w:val="222222"/>
                <w:sz w:val="18"/>
              </w:rPr>
              <w:t>Patient SOS, dispatcher queue, ambulance status, hospital readiness, timeline</w:t>
            </w:r>
          </w:p>
        </w:tc>
        <w:tc>
          <w:tcPr>
            <w:tcW w:type="dxa" w:w="3312"/>
            <w:vAlign w:val="center"/>
            <w:shd w:fill="F1F6F0"/>
          </w:tcPr>
          <w:p>
            <w:pPr>
              <w:spacing w:after="60"/>
            </w:pPr>
            <w:r/>
            <w:r>
              <w:rPr>
                <w:rFonts w:ascii="Aptos" w:hAnsi="Aptos"/>
                <w:b w:val="0"/>
                <w:color w:val="222222"/>
                <w:sz w:val="18"/>
              </w:rPr>
              <w:t>Sunita Jain requests cardiac support and reaches Apollo emergency</w:t>
            </w:r>
          </w:p>
        </w:tc>
      </w:tr>
      <w:tr>
        <w:tc>
          <w:tcPr>
            <w:tcW w:type="dxa" w:w="3312"/>
            <w:vAlign w:val="center"/>
          </w:tcPr>
          <w:p>
            <w:pPr>
              <w:spacing w:after="60"/>
            </w:pPr>
            <w:r/>
            <w:r>
              <w:rPr>
                <w:rFonts w:ascii="Aptos" w:hAnsi="Aptos"/>
                <w:b w:val="0"/>
                <w:color w:val="222222"/>
                <w:sz w:val="18"/>
              </w:rPr>
              <w:t>3. Provider operations</w:t>
            </w:r>
          </w:p>
        </w:tc>
        <w:tc>
          <w:tcPr>
            <w:tcW w:type="dxa" w:w="3312"/>
            <w:vAlign w:val="center"/>
          </w:tcPr>
          <w:p>
            <w:pPr>
              <w:spacing w:after="60"/>
            </w:pPr>
            <w:r/>
            <w:r>
              <w:rPr>
                <w:rFonts w:ascii="Aptos" w:hAnsi="Aptos"/>
                <w:b w:val="0"/>
                <w:color w:val="222222"/>
                <w:sz w:val="18"/>
              </w:rPr>
              <w:t>Hospital/clinic dashboard, doctor day view, queues, services, billing</w:t>
            </w:r>
          </w:p>
        </w:tc>
        <w:tc>
          <w:tcPr>
            <w:tcW w:type="dxa" w:w="3312"/>
            <w:vAlign w:val="center"/>
          </w:tcPr>
          <w:p>
            <w:pPr>
              <w:spacing w:after="60"/>
            </w:pPr>
            <w:r/>
            <w:r>
              <w:rPr>
                <w:rFonts w:ascii="Aptos" w:hAnsi="Aptos"/>
                <w:b w:val="0"/>
                <w:color w:val="222222"/>
                <w:sz w:val="18"/>
              </w:rPr>
              <w:t>Apollo changes cardiology slots and issues an invoice</w:t>
            </w:r>
          </w:p>
        </w:tc>
      </w:tr>
      <w:tr>
        <w:tc>
          <w:tcPr>
            <w:tcW w:type="dxa" w:w="3312"/>
            <w:vAlign w:val="center"/>
            <w:shd w:fill="F1F6F0"/>
          </w:tcPr>
          <w:p>
            <w:pPr>
              <w:spacing w:after="60"/>
            </w:pPr>
            <w:r/>
            <w:r>
              <w:rPr>
                <w:rFonts w:ascii="Aptos" w:hAnsi="Aptos"/>
                <w:b w:val="0"/>
                <w:color w:val="222222"/>
                <w:sz w:val="18"/>
              </w:rPr>
              <w:t>4. Patient continuity</w:t>
            </w:r>
          </w:p>
        </w:tc>
        <w:tc>
          <w:tcPr>
            <w:tcW w:type="dxa" w:w="3312"/>
            <w:vAlign w:val="center"/>
            <w:shd w:fill="F1F6F0"/>
          </w:tcPr>
          <w:p>
            <w:pPr>
              <w:spacing w:after="60"/>
            </w:pPr>
            <w:r/>
            <w:r>
              <w:rPr>
                <w:rFonts w:ascii="Aptos" w:hAnsi="Aptos"/>
                <w:b w:val="0"/>
                <w:color w:val="222222"/>
                <w:sz w:val="18"/>
              </w:rPr>
              <w:t>Care Circle, vault, tasks, reminders, and follow-up</w:t>
            </w:r>
          </w:p>
        </w:tc>
        <w:tc>
          <w:tcPr>
            <w:tcW w:type="dxa" w:w="3312"/>
            <w:vAlign w:val="center"/>
            <w:shd w:fill="F1F6F0"/>
          </w:tcPr>
          <w:p>
            <w:pPr>
              <w:spacing w:after="60"/>
            </w:pPr>
            <w:r/>
            <w:r>
              <w:rPr>
                <w:rFonts w:ascii="Aptos" w:hAnsi="Aptos"/>
                <w:b w:val="0"/>
                <w:color w:val="222222"/>
                <w:sz w:val="18"/>
              </w:rPr>
              <w:t>The incident becomes a cardiology plan</w:t>
            </w:r>
          </w:p>
        </w:tc>
      </w:tr>
      <w:tr>
        <w:tc>
          <w:tcPr>
            <w:tcW w:type="dxa" w:w="3312"/>
            <w:vAlign w:val="center"/>
          </w:tcPr>
          <w:p>
            <w:pPr>
              <w:spacing w:after="60"/>
            </w:pPr>
            <w:r/>
            <w:r>
              <w:rPr>
                <w:rFonts w:ascii="Aptos" w:hAnsi="Aptos"/>
                <w:b w:val="0"/>
                <w:color w:val="222222"/>
                <w:sz w:val="18"/>
              </w:rPr>
              <w:t>5. AI prototype</w:t>
            </w:r>
          </w:p>
        </w:tc>
        <w:tc>
          <w:tcPr>
            <w:tcW w:type="dxa" w:w="3312"/>
            <w:vAlign w:val="center"/>
          </w:tcPr>
          <w:p>
            <w:pPr>
              <w:spacing w:after="60"/>
            </w:pPr>
            <w:r/>
            <w:r>
              <w:rPr>
                <w:rFonts w:ascii="Aptos" w:hAnsi="Aptos"/>
                <w:b w:val="0"/>
                <w:color w:val="222222"/>
                <w:sz w:val="18"/>
              </w:rPr>
              <w:t>Care Companion with safe responses and action previews</w:t>
            </w:r>
          </w:p>
        </w:tc>
        <w:tc>
          <w:tcPr>
            <w:tcW w:type="dxa" w:w="3312"/>
            <w:vAlign w:val="center"/>
          </w:tcPr>
          <w:p>
            <w:pPr>
              <w:spacing w:after="60"/>
            </w:pPr>
            <w:r/>
            <w:r>
              <w:rPr>
                <w:rFonts w:ascii="Aptos" w:hAnsi="Aptos"/>
                <w:b w:val="0"/>
                <w:color w:val="222222"/>
                <w:sz w:val="18"/>
              </w:rPr>
              <w:t>Assistant finds a doctor or starts emergency flow</w:t>
            </w:r>
          </w:p>
        </w:tc>
      </w:tr>
      <w:tr>
        <w:tc>
          <w:tcPr>
            <w:tcW w:type="dxa" w:w="3312"/>
            <w:vAlign w:val="center"/>
            <w:shd w:fill="F1F6F0"/>
          </w:tcPr>
          <w:p>
            <w:pPr>
              <w:spacing w:after="60"/>
            </w:pPr>
            <w:r/>
            <w:r>
              <w:rPr>
                <w:rFonts w:ascii="Aptos" w:hAnsi="Aptos"/>
                <w:b w:val="0"/>
                <w:color w:val="222222"/>
                <w:sz w:val="18"/>
              </w:rPr>
              <w:t>6. Review checkpoint</w:t>
            </w:r>
          </w:p>
        </w:tc>
        <w:tc>
          <w:tcPr>
            <w:tcW w:type="dxa" w:w="3312"/>
            <w:vAlign w:val="center"/>
            <w:shd w:fill="F1F6F0"/>
          </w:tcPr>
          <w:p>
            <w:pPr>
              <w:spacing w:after="60"/>
            </w:pPr>
            <w:r/>
            <w:r>
              <w:rPr>
                <w:rFonts w:ascii="Aptos" w:hAnsi="Aptos"/>
                <w:b w:val="0"/>
                <w:color w:val="222222"/>
                <w:sz w:val="18"/>
              </w:rPr>
              <w:t>All routes work from local repositories and testable state</w:t>
            </w:r>
          </w:p>
        </w:tc>
        <w:tc>
          <w:tcPr>
            <w:tcW w:type="dxa" w:w="3312"/>
            <w:vAlign w:val="center"/>
            <w:shd w:fill="F1F6F0"/>
          </w:tcPr>
          <w:p>
            <w:pPr>
              <w:spacing w:after="60"/>
            </w:pPr>
            <w:r/>
            <w:r>
              <w:rPr>
                <w:rFonts w:ascii="Aptos" w:hAnsi="Aptos"/>
                <w:b w:val="0"/>
                <w:color w:val="222222"/>
                <w:sz w:val="18"/>
              </w:rPr>
              <w:t>Reviewer can explore every persona without backend</w:t>
            </w:r>
          </w:p>
        </w:tc>
      </w:tr>
    </w:tbl>
    <w:p>
      <w:pPr>
        <w:spacing w:after="40"/>
      </w:pPr>
    </w:p>
    <w:p>
      <w:r>
        <w:t>Keep the existing Flutter green visual language. New screens should use shared models, providers, and repository interfaces so a future backend replaces dummy data without rewriting presentation code.</w:t>
      </w:r>
    </w:p>
    <w:p>
      <w:pPr>
        <w:pStyle w:val="Heading1"/>
        <w:keepNext/>
      </w:pPr>
      <w:r>
        <w:t>11 Backend-ready architecture</w:t>
      </w:r>
    </w:p>
    <w:p>
      <w:r>
        <w:t>The backend must support multi-tenancy, authentication, relational data, object storage, realtime events, notifications, and audit logging. The frontend can start with Supabase or an equivalent service, but its contracts should remain provider-agnostic.</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4968"/>
            <w:vAlign w:val="center"/>
            <w:shd w:fill="2F6B3B"/>
          </w:tcPr>
          <w:p>
            <w:pPr>
              <w:spacing w:after="60"/>
            </w:pPr>
            <w:r/>
            <w:r>
              <w:rPr>
                <w:rFonts w:ascii="Aptos" w:hAnsi="Aptos"/>
                <w:b/>
                <w:color w:val="FFFFFF"/>
                <w:sz w:val="18"/>
              </w:rPr>
              <w:t>Domain</w:t>
            </w:r>
          </w:p>
        </w:tc>
        <w:tc>
          <w:tcPr>
            <w:tcW w:type="dxa" w:w="4968"/>
            <w:vAlign w:val="center"/>
            <w:shd w:fill="2F6B3B"/>
          </w:tcPr>
          <w:p>
            <w:pPr>
              <w:spacing w:after="60"/>
            </w:pPr>
            <w:r/>
            <w:r>
              <w:rPr>
                <w:rFonts w:ascii="Aptos" w:hAnsi="Aptos"/>
                <w:b/>
                <w:color w:val="FFFFFF"/>
                <w:sz w:val="18"/>
              </w:rPr>
              <w:t>Entities</w:t>
            </w:r>
          </w:p>
        </w:tc>
      </w:tr>
      <w:tr>
        <w:tc>
          <w:tcPr>
            <w:tcW w:type="dxa" w:w="4968"/>
            <w:vAlign w:val="center"/>
          </w:tcPr>
          <w:p>
            <w:pPr>
              <w:spacing w:after="60"/>
            </w:pPr>
            <w:r/>
            <w:r>
              <w:rPr>
                <w:rFonts w:ascii="Aptos" w:hAnsi="Aptos"/>
                <w:b w:val="0"/>
                <w:color w:val="222222"/>
                <w:sz w:val="18"/>
              </w:rPr>
              <w:t>Identity and access</w:t>
            </w:r>
          </w:p>
        </w:tc>
        <w:tc>
          <w:tcPr>
            <w:tcW w:type="dxa" w:w="4968"/>
            <w:vAlign w:val="center"/>
          </w:tcPr>
          <w:p>
            <w:pPr>
              <w:spacing w:after="60"/>
            </w:pPr>
            <w:r/>
            <w:r>
              <w:rPr>
                <w:rFonts w:ascii="Aptos" w:hAnsi="Aptos"/>
                <w:b w:val="0"/>
                <w:color w:val="222222"/>
                <w:sz w:val="18"/>
              </w:rPr>
              <w:t>Person, organization, branch, membership, role, permission, policy, session</w:t>
            </w:r>
          </w:p>
        </w:tc>
      </w:tr>
      <w:tr>
        <w:tc>
          <w:tcPr>
            <w:tcW w:type="dxa" w:w="4968"/>
            <w:vAlign w:val="center"/>
            <w:shd w:fill="F1F6F0"/>
          </w:tcPr>
          <w:p>
            <w:pPr>
              <w:spacing w:after="60"/>
            </w:pPr>
            <w:r/>
            <w:r>
              <w:rPr>
                <w:rFonts w:ascii="Aptos" w:hAnsi="Aptos"/>
                <w:b w:val="0"/>
                <w:color w:val="222222"/>
                <w:sz w:val="18"/>
              </w:rPr>
              <w:t>Care</w:t>
            </w:r>
          </w:p>
        </w:tc>
        <w:tc>
          <w:tcPr>
            <w:tcW w:type="dxa" w:w="4968"/>
            <w:vAlign w:val="center"/>
            <w:shd w:fill="F1F6F0"/>
          </w:tcPr>
          <w:p>
            <w:pPr>
              <w:spacing w:after="60"/>
            </w:pPr>
            <w:r/>
            <w:r>
              <w:rPr>
                <w:rFonts w:ascii="Aptos" w:hAnsi="Aptos"/>
                <w:b w:val="0"/>
                <w:color w:val="222222"/>
                <w:sz w:val="18"/>
              </w:rPr>
              <w:t>Patient, care relationship, emergency card, consent, document, task, timeline event</w:t>
            </w:r>
          </w:p>
        </w:tc>
      </w:tr>
      <w:tr>
        <w:tc>
          <w:tcPr>
            <w:tcW w:type="dxa" w:w="4968"/>
            <w:vAlign w:val="center"/>
          </w:tcPr>
          <w:p>
            <w:pPr>
              <w:spacing w:after="60"/>
            </w:pPr>
            <w:r/>
            <w:r>
              <w:rPr>
                <w:rFonts w:ascii="Aptos" w:hAnsi="Aptos"/>
                <w:b w:val="0"/>
                <w:color w:val="222222"/>
                <w:sz w:val="18"/>
              </w:rPr>
              <w:t>Providers</w:t>
            </w:r>
          </w:p>
        </w:tc>
        <w:tc>
          <w:tcPr>
            <w:tcW w:type="dxa" w:w="4968"/>
            <w:vAlign w:val="center"/>
          </w:tcPr>
          <w:p>
            <w:pPr>
              <w:spacing w:after="60"/>
            </w:pPr>
            <w:r/>
            <w:r>
              <w:rPr>
                <w:rFonts w:ascii="Aptos" w:hAnsi="Aptos"/>
                <w:b w:val="0"/>
                <w:color w:val="222222"/>
                <w:sz w:val="18"/>
              </w:rPr>
              <w:t>Doctor, clinic, hospital, ambulance provider, vehicle, capability, service, schedule</w:t>
            </w:r>
          </w:p>
        </w:tc>
      </w:tr>
      <w:tr>
        <w:tc>
          <w:tcPr>
            <w:tcW w:type="dxa" w:w="4968"/>
            <w:vAlign w:val="center"/>
            <w:shd w:fill="F1F6F0"/>
          </w:tcPr>
          <w:p>
            <w:pPr>
              <w:spacing w:after="60"/>
            </w:pPr>
            <w:r/>
            <w:r>
              <w:rPr>
                <w:rFonts w:ascii="Aptos" w:hAnsi="Aptos"/>
                <w:b w:val="0"/>
                <w:color w:val="222222"/>
                <w:sz w:val="18"/>
              </w:rPr>
              <w:t>Operations</w:t>
            </w:r>
          </w:p>
        </w:tc>
        <w:tc>
          <w:tcPr>
            <w:tcW w:type="dxa" w:w="4968"/>
            <w:vAlign w:val="center"/>
            <w:shd w:fill="F1F6F0"/>
          </w:tcPr>
          <w:p>
            <w:pPr>
              <w:spacing w:after="60"/>
            </w:pPr>
            <w:r/>
            <w:r>
              <w:rPr>
                <w:rFonts w:ascii="Aptos" w:hAnsi="Aptos"/>
                <w:b w:val="0"/>
                <w:color w:val="222222"/>
                <w:sz w:val="18"/>
              </w:rPr>
              <w:t>Appointment, queue, encounter, handoff, emergency incident, notification</w:t>
            </w:r>
          </w:p>
        </w:tc>
      </w:tr>
      <w:tr>
        <w:tc>
          <w:tcPr>
            <w:tcW w:type="dxa" w:w="4968"/>
            <w:vAlign w:val="center"/>
          </w:tcPr>
          <w:p>
            <w:pPr>
              <w:spacing w:after="60"/>
            </w:pPr>
            <w:r/>
            <w:r>
              <w:rPr>
                <w:rFonts w:ascii="Aptos" w:hAnsi="Aptos"/>
                <w:b w:val="0"/>
                <w:color w:val="222222"/>
                <w:sz w:val="18"/>
              </w:rPr>
              <w:t>Finance</w:t>
            </w:r>
          </w:p>
        </w:tc>
        <w:tc>
          <w:tcPr>
            <w:tcW w:type="dxa" w:w="4968"/>
            <w:vAlign w:val="center"/>
          </w:tcPr>
          <w:p>
            <w:pPr>
              <w:spacing w:after="60"/>
            </w:pPr>
            <w:r/>
            <w:r>
              <w:rPr>
                <w:rFonts w:ascii="Aptos" w:hAnsi="Aptos"/>
                <w:b w:val="0"/>
                <w:color w:val="222222"/>
                <w:sz w:val="18"/>
              </w:rPr>
              <w:t>Invoice, line item, payment, refund, settlement, subscription, commission</w:t>
            </w:r>
          </w:p>
        </w:tc>
      </w:tr>
      <w:tr>
        <w:tc>
          <w:tcPr>
            <w:tcW w:type="dxa" w:w="4968"/>
            <w:vAlign w:val="center"/>
            <w:shd w:fill="F1F6F0"/>
          </w:tcPr>
          <w:p>
            <w:pPr>
              <w:spacing w:after="60"/>
            </w:pPr>
            <w:r/>
            <w:r>
              <w:rPr>
                <w:rFonts w:ascii="Aptos" w:hAnsi="Aptos"/>
                <w:b w:val="0"/>
                <w:color w:val="222222"/>
                <w:sz w:val="18"/>
              </w:rPr>
              <w:t>Trust</w:t>
            </w:r>
          </w:p>
        </w:tc>
        <w:tc>
          <w:tcPr>
            <w:tcW w:type="dxa" w:w="4968"/>
            <w:vAlign w:val="center"/>
            <w:shd w:fill="F1F6F0"/>
          </w:tcPr>
          <w:p>
            <w:pPr>
              <w:spacing w:after="60"/>
            </w:pPr>
            <w:r/>
            <w:r>
              <w:rPr>
                <w:rFonts w:ascii="Aptos" w:hAnsi="Aptos"/>
                <w:b w:val="0"/>
                <w:color w:val="222222"/>
                <w:sz w:val="18"/>
              </w:rPr>
              <w:t>Verification case, audit event, incident review, support case, SLA metric</w:t>
            </w:r>
          </w:p>
        </w:tc>
      </w:tr>
    </w:tbl>
    <w:p>
      <w:pPr>
        <w:spacing w:after="40"/>
      </w:pPr>
    </w:p>
    <w:p>
      <w:pPr>
        <w:pStyle w:val="Heading1"/>
        <w:keepNext/>
      </w:pPr>
      <w:r>
        <w:t>12 Metrics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4968"/>
            <w:vAlign w:val="center"/>
            <w:shd w:fill="2F6B3B"/>
          </w:tcPr>
          <w:p>
            <w:pPr>
              <w:spacing w:after="60"/>
            </w:pPr>
            <w:r/>
            <w:r>
              <w:rPr>
                <w:rFonts w:ascii="Aptos" w:hAnsi="Aptos"/>
                <w:b/>
                <w:color w:val="FFFFFF"/>
                <w:sz w:val="18"/>
              </w:rPr>
              <w:t>Area</w:t>
            </w:r>
          </w:p>
        </w:tc>
        <w:tc>
          <w:tcPr>
            <w:tcW w:type="dxa" w:w="4968"/>
            <w:vAlign w:val="center"/>
            <w:shd w:fill="2F6B3B"/>
          </w:tcPr>
          <w:p>
            <w:pPr>
              <w:spacing w:after="60"/>
            </w:pPr>
            <w:r/>
            <w:r>
              <w:rPr>
                <w:rFonts w:ascii="Aptos" w:hAnsi="Aptos"/>
                <w:b/>
                <w:color w:val="FFFFFF"/>
                <w:sz w:val="18"/>
              </w:rPr>
              <w:t>Metrics</w:t>
            </w:r>
          </w:p>
        </w:tc>
      </w:tr>
      <w:tr>
        <w:tc>
          <w:tcPr>
            <w:tcW w:type="dxa" w:w="4968"/>
            <w:vAlign w:val="center"/>
          </w:tcPr>
          <w:p>
            <w:pPr>
              <w:spacing w:after="60"/>
            </w:pPr>
            <w:r/>
            <w:r>
              <w:rPr>
                <w:rFonts w:ascii="Aptos" w:hAnsi="Aptos"/>
                <w:b w:val="0"/>
                <w:color w:val="222222"/>
                <w:sz w:val="18"/>
              </w:rPr>
              <w:t>Emergency</w:t>
            </w:r>
          </w:p>
        </w:tc>
        <w:tc>
          <w:tcPr>
            <w:tcW w:type="dxa" w:w="4968"/>
            <w:vAlign w:val="center"/>
          </w:tcPr>
          <w:p>
            <w:pPr>
              <w:spacing w:after="60"/>
            </w:pPr>
            <w:r/>
            <w:r>
              <w:rPr>
                <w:rFonts w:ascii="Aptos" w:hAnsi="Aptos"/>
                <w:b w:val="0"/>
                <w:color w:val="222222"/>
                <w:sz w:val="18"/>
              </w:rPr>
              <w:t>Request-to-accept, accept-to-arrival, fallback rate, hospital acknowledgement</w:t>
            </w:r>
          </w:p>
        </w:tc>
      </w:tr>
      <w:tr>
        <w:tc>
          <w:tcPr>
            <w:tcW w:type="dxa" w:w="4968"/>
            <w:vAlign w:val="center"/>
            <w:shd w:fill="F1F6F0"/>
          </w:tcPr>
          <w:p>
            <w:pPr>
              <w:spacing w:after="60"/>
            </w:pPr>
            <w:r/>
            <w:r>
              <w:rPr>
                <w:rFonts w:ascii="Aptos" w:hAnsi="Aptos"/>
                <w:b w:val="0"/>
                <w:color w:val="222222"/>
                <w:sz w:val="18"/>
              </w:rPr>
              <w:t>Patient</w:t>
            </w:r>
          </w:p>
        </w:tc>
        <w:tc>
          <w:tcPr>
            <w:tcW w:type="dxa" w:w="4968"/>
            <w:vAlign w:val="center"/>
            <w:shd w:fill="F1F6F0"/>
          </w:tcPr>
          <w:p>
            <w:pPr>
              <w:spacing w:after="60"/>
            </w:pPr>
            <w:r/>
            <w:r>
              <w:rPr>
                <w:rFonts w:ascii="Aptos" w:hAnsi="Aptos"/>
                <w:b w:val="0"/>
                <w:color w:val="222222"/>
                <w:sz w:val="18"/>
              </w:rPr>
              <w:t>Emergency-card completion, booking conversion, repeat family usage, no-show rate</w:t>
            </w:r>
          </w:p>
        </w:tc>
      </w:tr>
      <w:tr>
        <w:tc>
          <w:tcPr>
            <w:tcW w:type="dxa" w:w="4968"/>
            <w:vAlign w:val="center"/>
          </w:tcPr>
          <w:p>
            <w:pPr>
              <w:spacing w:after="60"/>
            </w:pPr>
            <w:r/>
            <w:r>
              <w:rPr>
                <w:rFonts w:ascii="Aptos" w:hAnsi="Aptos"/>
                <w:b w:val="0"/>
                <w:color w:val="222222"/>
                <w:sz w:val="18"/>
              </w:rPr>
              <w:t>Provider</w:t>
            </w:r>
          </w:p>
        </w:tc>
        <w:tc>
          <w:tcPr>
            <w:tcW w:type="dxa" w:w="4968"/>
            <w:vAlign w:val="center"/>
          </w:tcPr>
          <w:p>
            <w:pPr>
              <w:spacing w:after="60"/>
            </w:pPr>
            <w:r/>
            <w:r>
              <w:rPr>
                <w:rFonts w:ascii="Aptos" w:hAnsi="Aptos"/>
                <w:b w:val="0"/>
                <w:color w:val="222222"/>
                <w:sz w:val="18"/>
              </w:rPr>
              <w:t>Weekly active staff, wait time, slot utilization, billing completion, time saved</w:t>
            </w:r>
          </w:p>
        </w:tc>
      </w:tr>
      <w:tr>
        <w:tc>
          <w:tcPr>
            <w:tcW w:type="dxa" w:w="4968"/>
            <w:vAlign w:val="center"/>
            <w:shd w:fill="F1F6F0"/>
          </w:tcPr>
          <w:p>
            <w:pPr>
              <w:spacing w:after="60"/>
            </w:pPr>
            <w:r/>
            <w:r>
              <w:rPr>
                <w:rFonts w:ascii="Aptos" w:hAnsi="Aptos"/>
                <w:b w:val="0"/>
                <w:color w:val="222222"/>
                <w:sz w:val="18"/>
              </w:rPr>
              <w:t>Network</w:t>
            </w:r>
          </w:p>
        </w:tc>
        <w:tc>
          <w:tcPr>
            <w:tcW w:type="dxa" w:w="4968"/>
            <w:vAlign w:val="center"/>
            <w:shd w:fill="F1F6F0"/>
          </w:tcPr>
          <w:p>
            <w:pPr>
              <w:spacing w:after="60"/>
            </w:pPr>
            <w:r/>
            <w:r>
              <w:rPr>
                <w:rFonts w:ascii="Aptos" w:hAnsi="Aptos"/>
                <w:b w:val="0"/>
                <w:color w:val="222222"/>
                <w:sz w:val="18"/>
              </w:rPr>
              <w:t>Verified active providers, coverage by zone, successful handoffs, referrals</w:t>
            </w:r>
          </w:p>
        </w:tc>
      </w:tr>
      <w:tr>
        <w:tc>
          <w:tcPr>
            <w:tcW w:type="dxa" w:w="4968"/>
            <w:vAlign w:val="center"/>
          </w:tcPr>
          <w:p>
            <w:pPr>
              <w:spacing w:after="60"/>
            </w:pPr>
            <w:r/>
            <w:r>
              <w:rPr>
                <w:rFonts w:ascii="Aptos" w:hAnsi="Aptos"/>
                <w:b w:val="0"/>
                <w:color w:val="222222"/>
                <w:sz w:val="18"/>
              </w:rPr>
              <w:t>Business</w:t>
            </w:r>
          </w:p>
        </w:tc>
        <w:tc>
          <w:tcPr>
            <w:tcW w:type="dxa" w:w="4968"/>
            <w:vAlign w:val="center"/>
          </w:tcPr>
          <w:p>
            <w:pPr>
              <w:spacing w:after="60"/>
            </w:pPr>
            <w:r/>
            <w:r>
              <w:rPr>
                <w:rFonts w:ascii="Aptos" w:hAnsi="Aptos"/>
                <w:b w:val="0"/>
                <w:color w:val="222222"/>
                <w:sz w:val="18"/>
              </w:rPr>
              <w:t>Provider activation, subscription retention, revenue per organization, transaction margin</w:t>
            </w:r>
          </w:p>
        </w:tc>
      </w:tr>
      <w:tr>
        <w:tc>
          <w:tcPr>
            <w:tcW w:type="dxa" w:w="4968"/>
            <w:vAlign w:val="center"/>
            <w:shd w:fill="F1F6F0"/>
          </w:tcPr>
          <w:p>
            <w:pPr>
              <w:spacing w:after="60"/>
            </w:pPr>
            <w:r/>
            <w:r>
              <w:rPr>
                <w:rFonts w:ascii="Aptos" w:hAnsi="Aptos"/>
                <w:b w:val="0"/>
                <w:color w:val="222222"/>
                <w:sz w:val="18"/>
              </w:rPr>
              <w:t>Trust</w:t>
            </w:r>
          </w:p>
        </w:tc>
        <w:tc>
          <w:tcPr>
            <w:tcW w:type="dxa" w:w="4968"/>
            <w:vAlign w:val="center"/>
            <w:shd w:fill="F1F6F0"/>
          </w:tcPr>
          <w:p>
            <w:pPr>
              <w:spacing w:after="60"/>
            </w:pPr>
            <w:r/>
            <w:r>
              <w:rPr>
                <w:rFonts w:ascii="Aptos" w:hAnsi="Aptos"/>
                <w:b w:val="0"/>
                <w:color w:val="222222"/>
                <w:sz w:val="18"/>
              </w:rPr>
              <w:t>Unauthorized access, audit completion, support resolution, safety escalation</w:t>
            </w:r>
          </w:p>
        </w:tc>
      </w:tr>
    </w:tbl>
    <w:p>
      <w:pPr>
        <w:spacing w:after="40"/>
      </w:pPr>
    </w:p>
    <w:p>
      <w:pPr>
        <w:pStyle w:val="Heading1"/>
        <w:keepNext/>
      </w:pPr>
      <w:r>
        <w:t>13 Risks and non-goals</w:t>
      </w:r>
    </w:p>
    <w:p>
      <w:pPr>
        <w:pStyle w:val="ListBullet"/>
        <w:spacing w:after="60"/>
      </w:pPr>
      <w:r>
        <w:t>Do not promise diagnosis, guaranteed ambulance ETA, or a guaranteed hospital bed.</w:t>
      </w:r>
    </w:p>
    <w:p>
      <w:pPr>
        <w:pStyle w:val="ListBullet"/>
        <w:spacing w:after="60"/>
      </w:pPr>
      <w:r>
        <w:t>Do not launch a huge ERP surface before proving emergency and appointment workflows.</w:t>
      </w:r>
    </w:p>
    <w:p>
      <w:pPr>
        <w:pStyle w:val="ListBullet"/>
        <w:spacing w:after="60"/>
      </w:pPr>
      <w:r>
        <w:t>Do not make the frontend the only security layer; backend policies and database isolation are mandatory.</w:t>
      </w:r>
    </w:p>
    <w:p>
      <w:pPr>
        <w:pStyle w:val="ListBullet"/>
        <w:spacing w:after="60"/>
      </w:pPr>
      <w:r>
        <w:t>Do not allow unrestricted custom roles without scope, templates, and audit.</w:t>
      </w:r>
    </w:p>
    <w:p>
      <w:pPr>
        <w:pStyle w:val="ListBullet"/>
        <w:spacing w:after="60"/>
      </w:pPr>
      <w:r>
        <w:t>Do not treat ratings as the only quality signal; show readiness, verification, wait time, and limitations.</w:t>
      </w:r>
    </w:p>
    <w:p>
      <w:pPr>
        <w:pStyle w:val="ListBullet"/>
        <w:spacing w:after="60"/>
      </w:pPr>
      <w:r>
        <w:t>Do not add medicine delivery until emergency coordination and provider operations are reliable.</w:t>
      </w:r>
    </w:p>
    <w:p>
      <w:pPr>
        <w:pStyle w:val="Heading1"/>
        <w:keepNext/>
      </w:pPr>
      <w:r>
        <w:t>14 Build prompt for future implementation</w:t>
      </w:r>
    </w:p>
    <w:p>
      <w:r>
        <w:t>Build ApnaCare as a multi-tenant emergency-to-everyday healthcare platform. Preserve the existing Flutter visual language and use dummy repositories first. Implement a patient emergency flow, dispatcher workspace, ambulance status, hospital pre-arrival console, doctor day view, provider admin dashboard, billing snapshots, Care Circle records, and an auditable incident timeline. Model person identity separately from organizations, memberships, roles, permissions, scopes, policies, and emergency break-glass access. Provider owners receive full control of their tenant and can create custom roles from platform permission primitives. Keep every feature backend-ready behind interfaces and state providers. AI must be a safe tool-using Care Companion for navigation, bookings, document summaries, and reminders; it must not diagnose or prescribe. Provide review checkpoints after each meaningful feature batch and do not commit or push changes without explicit approval.</w:t>
      </w:r>
    </w:p>
    <w:p>
      <w:pPr>
        <w:pStyle w:val="Heading1"/>
        <w:keepNext/>
      </w:pPr>
      <w:r>
        <w:t>15 Immediate decision</w:t>
      </w:r>
    </w:p>
    <w:p>
      <w:r>
        <w:t>The next implementation checkpoint is the Emergency Care Room with the role-aware access foundation. It is small enough to finish with dummy data, large enough to demonstrate the company, and directly connected to patient, ambulance, hospital, doctor, billing, and admin surfaces.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ApnaCare Product Requirements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