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7202A"/>
          <w:sz w:val="44"/>
          <w:szCs w:val="44"/>
        </w:rPr>
        <w:t xml:space="preserve">samaajconnect — Product Requirements Document</w:t>
      </w:r>
    </w:p>
    <w:p>
      <w:pPr>
        <w:spacing w:after="80"/>
      </w:pPr>
      <w:r>
        <w:rPr>
          <w:i/>
          <w:iCs/>
          <w:color w:val="667085"/>
          <w:sz w:val="24"/>
          <w:szCs w:val="24"/>
        </w:rPr>
        <w:t xml:space="preserve">Multi-Tenant Jain Samaaj Community Platform</w:t>
      </w:r>
    </w:p>
    <w:p>
      <w:pPr>
        <w:spacing w:after="320"/>
      </w:pPr>
      <w:r>
        <w:rPr>
          <w:color w:val="667085"/>
          <w:sz w:val="20"/>
          <w:szCs w:val="20"/>
        </w:rPr>
        <w:t xml:space="preserve">Version 2.0 (Rewritten) · Supersedes: Jain Samaaj Multi-Tenant Platform PRD v1.0 · Fri Aug 28 2026</w:t>
      </w:r>
    </w:p>
    <w:tbl>
      <w:tblPr>
        <w:tblW w:type="pct" w:w="100%"/>
        <w:tblBorders>
          <w:top w:val="single" w:color="D9DEE7" w:sz="4"/>
          <w:left w:val="single" w:color="D9DEE7" w:sz="4"/>
          <w:bottom w:val="single" w:color="D9DEE7" w:sz="4"/>
          <w:right w:val="single" w:color="D9DEE7" w:sz="4"/>
          <w:insideH w:val="none"/>
          <w:insideV w:val="none"/>
        </w:tblBorders>
      </w:tblPr>
      <w:tblGrid>
        <w:gridCol w:w="100"/>
      </w:tblGrid>
      <w:tr>
        <w:tc>
          <w:tcPr>
            <w:tcW w:type="pct" w:w="100%"/>
            <w:shd w:fill="F4F2FE" w:val="clear"/>
            <w:tcMar>
              <w:top w:type="dxa" w:w="160"/>
              <w:left w:type="dxa" w:w="200"/>
              <w:bottom w:type="dxa" w:w="160"/>
              <w:right w:type="dxa" w:w="200"/>
            </w:tcMar>
          </w:tcPr>
          <w:p>
            <w:pPr>
              <w:spacing w:after="60"/>
            </w:pPr>
            <w:r>
              <w:rPr>
                <w:b/>
                <w:bCs/>
                <w:sz w:val="20"/>
                <w:szCs w:val="20"/>
              </w:rPr>
              <w:t xml:space="preserve">HOW TO READ THIS DOCUMENT</w:t>
            </w:r>
          </w:p>
          <w:p>
            <w:r>
              <w:rPr>
                <w:sz w:val="20"/>
                <w:szCs w:val="20"/>
              </w:rPr>
              <w:t xml:space="preserve">This revises and consolidates the original PRD for clarity, completeness, and internal consistency. Sections marked 💡 Suggested Enhancement are new recommendations, not part of the original requirement — treat them as proposals to accept, adjust, or reject, not as decided scope. Everything else restates and sharpens the original requirement.</w:t>
            </w:r>
          </w:p>
        </w:tc>
      </w:tr>
    </w:tbl>
    <w:p>
      <w:pPr>
        <w:spacing w:after="200"/>
      </w:pPr>
    </w:p>
    <w:p>
      <w:pPr>
        <w:pStyle w:val="Heading1"/>
        <w:spacing w:after="160" w:before="320"/>
      </w:pPr>
      <w:r>
        <w:t xml:space="preserve">1. Executive Summary</w:t>
      </w:r>
    </w:p>
    <w:p>
      <w:pPr>
        <w:spacing w:after="140"/>
      </w:pPr>
      <w:r>
        <w:rPr>
          <w:b w:val="false"/>
          <w:bCs w:val="false"/>
          <w:i w:val="false"/>
          <w:iCs w:val="false"/>
        </w:rPr>
        <w:t xml:space="preserve">samaajconnect is one shared platform serving multiple Jain Samaaj (community) organizations. A Super Admin manages tenants, master data, and platform governance. Each Samaaj operates as an isolated tenant identified by a unique subdomain. Members register with exactly one Samaaj and use that tenant context for authentication and all subsequent activity.</w:t>
      </w:r>
    </w:p>
    <w:p>
      <w:pPr>
        <w:pStyle w:val="Heading1"/>
        <w:spacing w:after="160" w:before="320"/>
      </w:pPr>
      <w:r>
        <w:t xml:space="preserve">2. Goals</w:t>
      </w:r>
    </w:p>
    <w:p>
      <w:pPr>
        <w:pStyle w:val="ListParagraph"/>
        <w:numPr>
          <w:ilvl w:val="0"/>
          <w:numId w:val="1"/>
        </w:numPr>
        <w:spacing w:after="60"/>
      </w:pPr>
      <w:r>
        <w:t xml:space="preserve">Provide one reusable platform for multiple Jain Samaaj organizations.</w:t>
      </w:r>
    </w:p>
    <w:p>
      <w:pPr>
        <w:pStyle w:val="ListParagraph"/>
        <w:numPr>
          <w:ilvl w:val="0"/>
          <w:numId w:val="1"/>
        </w:numPr>
        <w:spacing w:after="60"/>
      </w:pPr>
      <w:r>
        <w:t xml:space="preserve">Maintain strict tenant isolation for members, families, feeds, groups, events, issues, voting, and education data.</w:t>
      </w:r>
    </w:p>
    <w:p>
      <w:pPr>
        <w:pStyle w:val="ListParagraph"/>
        <w:numPr>
          <w:ilvl w:val="0"/>
          <w:numId w:val="1"/>
        </w:numPr>
        <w:spacing w:after="60"/>
      </w:pPr>
      <w:r>
        <w:t xml:space="preserve">Give members a single login experience that routes them to their selected Samaaj subdomain.</w:t>
      </w:r>
    </w:p>
    <w:p>
      <w:pPr>
        <w:pStyle w:val="ListParagraph"/>
        <w:numPr>
          <w:ilvl w:val="0"/>
          <w:numId w:val="1"/>
        </w:numPr>
        <w:spacing w:after="60"/>
      </w:pPr>
      <w:r>
        <w:t xml:space="preserve">Support family and child lifecycle management, including transition of adult children to independent member accounts while retaining family association.</w:t>
      </w:r>
    </w:p>
    <w:p>
      <w:pPr>
        <w:pStyle w:val="ListParagraph"/>
        <w:numPr>
          <w:ilvl w:val="0"/>
          <w:numId w:val="1"/>
        </w:numPr>
        <w:spacing w:after="60"/>
      </w:pPr>
      <w:r>
        <w:t xml:space="preserve">Digitize volunteer groups, events, social issues, celebrity voting, Jain Pathshala, and Boli/Auction workflows.</w:t>
      </w:r>
    </w:p>
    <w:p>
      <w:pPr>
        <w:pStyle w:val="ListParagraph"/>
        <w:numPr>
          <w:ilvl w:val="0"/>
          <w:numId w:val="1"/>
        </w:numPr>
        <w:spacing w:after="60"/>
      </w:pPr>
      <w:r>
        <w:t xml:space="preserve">Provide an extensible architecture so additional Samaaj modules can be added without redesigning tenancy.</w:t>
      </w:r>
    </w:p>
    <w:p>
      <w:pPr>
        <w:pStyle w:val="Heading1"/>
        <w:spacing w:after="160" w:before="320"/>
      </w:pPr>
      <w:r>
        <w:t xml:space="preserve">3. Scope Boundaries</w:t>
      </w:r>
    </w:p>
    <w:p>
      <w:pPr>
        <w:pStyle w:val="ListParagraph"/>
        <w:numPr>
          <w:ilvl w:val="0"/>
          <w:numId w:val="1"/>
        </w:numPr>
        <w:spacing w:after="60"/>
      </w:pPr>
      <w:r>
        <w:t xml:space="preserve">One member cannot belong to more than one Samaaj on the same platform account.</w:t>
      </w:r>
    </w:p>
    <w:p>
      <w:pPr>
        <w:pStyle w:val="ListParagraph"/>
        <w:numPr>
          <w:ilvl w:val="0"/>
          <w:numId w:val="1"/>
        </w:numPr>
        <w:spacing w:after="60"/>
      </w:pPr>
      <w:r>
        <w:t xml:space="preserve">Jain Pathshala master-record creation is restricted to Super Admin.</w:t>
      </w:r>
    </w:p>
    <w:p>
      <w:pPr>
        <w:pStyle w:val="ListParagraph"/>
        <w:numPr>
          <w:ilvl w:val="0"/>
          <w:numId w:val="1"/>
        </w:numPr>
        <w:spacing w:after="60"/>
      </w:pPr>
      <w:r>
        <w:t xml:space="preserve">Social Issues submitted by members require configured approval before publication.</w:t>
      </w:r>
    </w:p>
    <w:p>
      <w:pPr>
        <w:pStyle w:val="ListParagraph"/>
        <w:numPr>
          <w:ilvl w:val="0"/>
          <w:numId w:val="1"/>
        </w:numPr>
        <w:spacing w:after="60"/>
      </w:pPr>
      <w:r>
        <w:t xml:space="preserve">Celebrity voting is tenant-specific; results expose the top 10 winners.</w:t>
      </w:r>
    </w:p>
    <w:p>
      <w:pPr>
        <w:pStyle w:val="ListParagraph"/>
        <w:numPr>
          <w:ilvl w:val="0"/>
          <w:numId w:val="1"/>
        </w:numPr>
        <w:spacing w:after="60"/>
      </w:pPr>
      <w:r>
        <w:t xml:space="preserve">Boli/Auction results are not final until published by an authorized role.</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Boli/Auction is explicitly a bid-tracking and result-publication tool for MVP — it does not process payments. If the community expects online payment collection for winning bids, that is a distinct, later integration (e.g., a payment gateway) with its own compliance requirements, and should be scoped separately rather than assumed as part of this platform's MVP.</w:t>
            </w:r>
          </w:p>
        </w:tc>
      </w:tr>
    </w:tbl>
    <w:p>
      <w:pPr>
        <w:pStyle w:val="Heading1"/>
        <w:spacing w:after="160" w:before="320"/>
      </w:pPr>
      <w:r>
        <w:t xml:space="preserve">4. Tenant &amp; URL Architecture</w:t>
      </w:r>
    </w:p>
    <w:p>
      <w:pPr>
        <w:pStyle w:val="ListParagraph"/>
        <w:numPr>
          <w:ilvl w:val="0"/>
          <w:numId w:val="1"/>
        </w:numPr>
        <w:spacing w:after="60"/>
      </w:pPr>
      <w:r>
        <w:t xml:space="preserve">Platform/domain: app.samaajconnect.com</w:t>
      </w:r>
    </w:p>
    <w:p>
      <w:pPr>
        <w:pStyle w:val="ListParagraph"/>
        <w:numPr>
          <w:ilvl w:val="0"/>
          <w:numId w:val="1"/>
        </w:numPr>
        <w:spacing w:after="60"/>
      </w:pPr>
      <w:r>
        <w:t xml:space="preserve">Tenant domain: &lt;samaaj-slug&gt;.samaajconnect.com (example: mahavir-samaj.samaajconnect.com)</w:t>
      </w:r>
    </w:p>
    <w:p>
      <w:pPr>
        <w:pStyle w:val="ListParagraph"/>
        <w:numPr>
          <w:ilvl w:val="0"/>
          <w:numId w:val="1"/>
        </w:numPr>
        <w:spacing w:after="60"/>
      </w:pPr>
      <w:r>
        <w:t xml:space="preserve">Unified admin domain: admin.samaajconnect.com</w:t>
      </w:r>
    </w:p>
    <w:p>
      <w:pPr>
        <w:pStyle w:val="ListParagraph"/>
        <w:numPr>
          <w:ilvl w:val="0"/>
          <w:numId w:val="1"/>
        </w:numPr>
        <w:spacing w:after="60"/>
      </w:pPr>
      <w:r>
        <w:t xml:space="preserve">Tenant is resolved from the subdomain at request time.</w:t>
      </w:r>
    </w:p>
    <w:p>
      <w:pPr>
        <w:pStyle w:val="ListParagraph"/>
        <w:numPr>
          <w:ilvl w:val="0"/>
          <w:numId w:val="1"/>
        </w:numPr>
        <w:spacing w:after="60"/>
      </w:pPr>
      <w:r>
        <w:t xml:space="preserve">TenantId is stored on every tenant-owned record and enforced server-side; the subdomain must never be the only isolation mechanism.</w:t>
      </w:r>
    </w:p>
    <w:p>
      <w:pPr>
        <w:pStyle w:val="ListParagraph"/>
        <w:numPr>
          <w:ilvl w:val="0"/>
          <w:numId w:val="1"/>
        </w:numPr>
        <w:spacing w:after="60"/>
      </w:pPr>
      <w:r>
        <w:t xml:space="preserve">After login, the member's registered tenant determines the redirect target.</w:t>
      </w:r>
    </w:p>
    <w:p>
      <w:pPr>
        <w:pStyle w:val="ListParagraph"/>
        <w:numPr>
          <w:ilvl w:val="0"/>
          <w:numId w:val="1"/>
        </w:numPr>
        <w:spacing w:after="60"/>
      </w:pPr>
      <w:r>
        <w:t xml:space="preserve">A user attempting to access another tenant's protected data is denied unless an explicit, audited Super Admin context is used.</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Consider supporting an optional custom-domain mapping (CNAME) per tenant for larger Samaaj organizations that want to use their own domain (e.g., www.mahavirsamaj.org) rather than a samaajconnect.com subdomain. This is not required for MVP but is worth deciding now since it affects the SSL/certificate strategy (wildcard vs. per-domain) chosen at launch.</w:t>
            </w:r>
          </w:p>
        </w:tc>
      </w:tr>
    </w:tbl>
    <w:p>
      <w:pPr>
        <w:pStyle w:val="Heading1"/>
        <w:spacing w:after="160" w:before="320"/>
      </w:pPr>
      <w:r>
        <w:t xml:space="preserve">5. User Roles</w:t>
      </w:r>
    </w:p>
    <w:tbl>
      <w:tblPr>
        <w:tblW w:type="pct" w:w="100%"/>
        <w:tblBorders>
          <w:top w:val="single" w:color="D9DEE7" w:sz="2"/>
          <w:left w:val="single" w:color="D9DEE7" w:sz="2"/>
          <w:bottom w:val="single" w:color="D9DEE7" w:sz="2"/>
          <w:right w:val="single" w:color="D9DEE7" w:sz="2"/>
          <w:insideH w:val="single" w:color="D9DEE7" w:sz="2"/>
          <w:insideV w:val="single" w:color="D9DEE7" w:sz="2"/>
        </w:tblBorders>
      </w:tblPr>
      <w:tblGrid>
        <w:gridCol w:w="100"/>
        <w:gridCol w:w="100"/>
      </w:tblGrid>
      <w:tr>
        <w:trPr>
          <w:tblHeader/>
        </w:trPr>
        <w:tc>
          <w:tcPr>
            <w:tcW w:type="pct" w:w="28%"/>
            <w:shd w:fill="F1F2F6" w:val="clear"/>
            <w:tcMar>
              <w:top w:type="dxa" w:w="100"/>
              <w:left w:type="dxa" w:w="120"/>
              <w:bottom w:type="dxa" w:w="100"/>
              <w:right w:type="dxa" w:w="120"/>
            </w:tcMar>
          </w:tcPr>
          <w:p>
            <w:r>
              <w:rPr>
                <w:b/>
                <w:bCs/>
                <w:sz w:val="18"/>
                <w:szCs w:val="18"/>
              </w:rPr>
              <w:t xml:space="preserve">Role</w:t>
            </w:r>
          </w:p>
        </w:tc>
        <w:tc>
          <w:tcPr>
            <w:tcW w:type="pct" w:w="72%"/>
            <w:shd w:fill="F1F2F6" w:val="clear"/>
            <w:tcMar>
              <w:top w:type="dxa" w:w="100"/>
              <w:left w:type="dxa" w:w="120"/>
              <w:bottom w:type="dxa" w:w="100"/>
              <w:right w:type="dxa" w:w="120"/>
            </w:tcMar>
          </w:tcPr>
          <w:p>
            <w:r>
              <w:rPr>
                <w:b/>
                <w:bCs/>
                <w:sz w:val="18"/>
                <w:szCs w:val="18"/>
              </w:rPr>
              <w:t xml:space="preserve">Primary Permissions</w:t>
            </w:r>
          </w:p>
        </w:tc>
      </w:tr>
      <w:tr>
        <w:tc>
          <w:tcPr>
            <w:tcW w:type="pct" w:w="28%"/>
            <w:tcMar>
              <w:top w:type="dxa" w:w="90"/>
              <w:left w:type="dxa" w:w="120"/>
              <w:bottom w:type="dxa" w:w="90"/>
              <w:right w:type="dxa" w:w="120"/>
            </w:tcMar>
          </w:tcPr>
          <w:p>
            <w:r>
              <w:rPr>
                <w:sz w:val="18"/>
                <w:szCs w:val="18"/>
              </w:rPr>
              <w:t xml:space="preserve">Super Admin</w:t>
            </w:r>
          </w:p>
        </w:tc>
        <w:tc>
          <w:tcPr>
            <w:tcW w:type="pct" w:w="72%"/>
            <w:tcMar>
              <w:top w:type="dxa" w:w="90"/>
              <w:left w:type="dxa" w:w="120"/>
              <w:bottom w:type="dxa" w:w="90"/>
              <w:right w:type="dxa" w:w="120"/>
            </w:tcMar>
          </w:tcPr>
          <w:p>
            <w:r>
              <w:rPr>
                <w:sz w:val="18"/>
                <w:szCs w:val="18"/>
              </w:rPr>
              <w:t xml:space="preserve">Global platform administration; create/manage Samaaj tenants; manage Jain Pathshala master records; platform-wide configuration; audit and support.</w:t>
            </w:r>
          </w:p>
        </w:tc>
      </w:tr>
      <w:tr>
        <w:tc>
          <w:tcPr>
            <w:tcW w:type="pct" w:w="28%"/>
            <w:tcMar>
              <w:top w:type="dxa" w:w="90"/>
              <w:left w:type="dxa" w:w="120"/>
              <w:bottom w:type="dxa" w:w="90"/>
              <w:right w:type="dxa" w:w="120"/>
            </w:tcMar>
          </w:tcPr>
          <w:p>
            <w:r>
              <w:rPr>
                <w:sz w:val="18"/>
                <w:szCs w:val="18"/>
              </w:rPr>
              <w:t xml:space="preserve">Samaaj Admin</w:t>
            </w:r>
          </w:p>
        </w:tc>
        <w:tc>
          <w:tcPr>
            <w:tcW w:type="pct" w:w="72%"/>
            <w:tcMar>
              <w:top w:type="dxa" w:w="90"/>
              <w:left w:type="dxa" w:w="120"/>
              <w:bottom w:type="dxa" w:w="90"/>
              <w:right w:type="dxa" w:w="120"/>
            </w:tcMar>
          </w:tcPr>
          <w:p>
            <w:r>
              <w:rPr>
                <w:sz w:val="18"/>
                <w:szCs w:val="18"/>
              </w:rPr>
              <w:t xml:space="preserve">Tenant administration; member moderation; content approvals; volunteer/event governance; celebrity voting configuration; tenant reports.</w:t>
            </w:r>
          </w:p>
        </w:tc>
      </w:tr>
      <w:tr>
        <w:tc>
          <w:tcPr>
            <w:tcW w:type="pct" w:w="28%"/>
            <w:tcMar>
              <w:top w:type="dxa" w:w="90"/>
              <w:left w:type="dxa" w:w="120"/>
              <w:bottom w:type="dxa" w:w="90"/>
              <w:right w:type="dxa" w:w="120"/>
            </w:tcMar>
          </w:tcPr>
          <w:p>
            <w:r>
              <w:rPr>
                <w:sz w:val="18"/>
                <w:szCs w:val="18"/>
              </w:rPr>
              <w:t xml:space="preserve">Member</w:t>
            </w:r>
          </w:p>
        </w:tc>
        <w:tc>
          <w:tcPr>
            <w:tcW w:type="pct" w:w="72%"/>
            <w:tcMar>
              <w:top w:type="dxa" w:w="90"/>
              <w:left w:type="dxa" w:w="120"/>
              <w:bottom w:type="dxa" w:w="90"/>
              <w:right w:type="dxa" w:w="120"/>
            </w:tcMar>
          </w:tcPr>
          <w:p>
            <w:r>
              <w:rPr>
                <w:sz w:val="18"/>
                <w:szCs w:val="18"/>
              </w:rPr>
              <w:t xml:space="preserve">Profile, family, children, timeline posts, volunteer applications, events, social issues, celebrity nominations/voting, and other permitted tenant activities.</w:t>
            </w:r>
          </w:p>
        </w:tc>
      </w:tr>
      <w:tr>
        <w:tc>
          <w:tcPr>
            <w:tcW w:type="pct" w:w="28%"/>
            <w:tcMar>
              <w:top w:type="dxa" w:w="90"/>
              <w:left w:type="dxa" w:w="120"/>
              <w:bottom w:type="dxa" w:w="90"/>
              <w:right w:type="dxa" w:w="120"/>
            </w:tcMar>
          </w:tcPr>
          <w:p>
            <w:r>
              <w:rPr>
                <w:sz w:val="18"/>
                <w:szCs w:val="18"/>
              </w:rPr>
              <w:t xml:space="preserve">Family Head / Parent</w:t>
            </w:r>
          </w:p>
        </w:tc>
        <w:tc>
          <w:tcPr>
            <w:tcW w:type="pct" w:w="72%"/>
            <w:tcMar>
              <w:top w:type="dxa" w:w="90"/>
              <w:left w:type="dxa" w:w="120"/>
              <w:bottom w:type="dxa" w:w="90"/>
              <w:right w:type="dxa" w:w="120"/>
            </w:tcMar>
          </w:tcPr>
          <w:p>
            <w:r>
              <w:rPr>
                <w:sz w:val="18"/>
                <w:szCs w:val="18"/>
              </w:rPr>
              <w:t xml:space="preserve">Manage family relationship and child profiles; enroll children into Pathshala where eligible.</w:t>
            </w:r>
          </w:p>
        </w:tc>
      </w:tr>
      <w:tr>
        <w:tc>
          <w:tcPr>
            <w:tcW w:type="pct" w:w="28%"/>
            <w:tcMar>
              <w:top w:type="dxa" w:w="90"/>
              <w:left w:type="dxa" w:w="120"/>
              <w:bottom w:type="dxa" w:w="90"/>
              <w:right w:type="dxa" w:w="120"/>
            </w:tcMar>
          </w:tcPr>
          <w:p>
            <w:r>
              <w:rPr>
                <w:sz w:val="18"/>
                <w:szCs w:val="18"/>
              </w:rPr>
              <w:t xml:space="preserve">Child</w:t>
            </w:r>
          </w:p>
        </w:tc>
        <w:tc>
          <w:tcPr>
            <w:tcW w:type="pct" w:w="72%"/>
            <w:tcMar>
              <w:top w:type="dxa" w:w="90"/>
              <w:left w:type="dxa" w:w="120"/>
              <w:bottom w:type="dxa" w:w="90"/>
              <w:right w:type="dxa" w:w="120"/>
            </w:tcMar>
          </w:tcPr>
          <w:p>
            <w:r>
              <w:rPr>
                <w:sz w:val="18"/>
                <w:szCs w:val="18"/>
              </w:rPr>
              <w:t xml:space="preserve">Child profile under a family; after age 18, can initiate conversion to a main member account while retaining family relationship.</w:t>
            </w:r>
          </w:p>
        </w:tc>
      </w:tr>
      <w:tr>
        <w:tc>
          <w:tcPr>
            <w:tcW w:type="pct" w:w="28%"/>
            <w:tcMar>
              <w:top w:type="dxa" w:w="90"/>
              <w:left w:type="dxa" w:w="120"/>
              <w:bottom w:type="dxa" w:w="90"/>
              <w:right w:type="dxa" w:w="120"/>
            </w:tcMar>
          </w:tcPr>
          <w:p>
            <w:r>
              <w:rPr>
                <w:sz w:val="18"/>
                <w:szCs w:val="18"/>
              </w:rPr>
              <w:t xml:space="preserve">Volunteer Group President</w:t>
            </w:r>
          </w:p>
        </w:tc>
        <w:tc>
          <w:tcPr>
            <w:tcW w:type="pct" w:w="72%"/>
            <w:tcMar>
              <w:top w:type="dxa" w:w="90"/>
              <w:left w:type="dxa" w:w="120"/>
              <w:bottom w:type="dxa" w:w="90"/>
              <w:right w:type="dxa" w:w="120"/>
            </w:tcMar>
          </w:tcPr>
          <w:p>
            <w:r>
              <w:rPr>
                <w:sz w:val="18"/>
                <w:szCs w:val="18"/>
              </w:rPr>
              <w:t xml:space="preserve">Manage group membership applications, allot roles/positions, manage group events.</w:t>
            </w:r>
          </w:p>
        </w:tc>
      </w:tr>
      <w:tr>
        <w:tc>
          <w:tcPr>
            <w:tcW w:type="pct" w:w="28%"/>
            <w:tcMar>
              <w:top w:type="dxa" w:w="90"/>
              <w:left w:type="dxa" w:w="120"/>
              <w:bottom w:type="dxa" w:w="90"/>
              <w:right w:type="dxa" w:w="120"/>
            </w:tcMar>
          </w:tcPr>
          <w:p>
            <w:r>
              <w:rPr>
                <w:sz w:val="18"/>
                <w:szCs w:val="18"/>
              </w:rPr>
              <w:t xml:space="preserve">Pathshala Teacher</w:t>
            </w:r>
          </w:p>
        </w:tc>
        <w:tc>
          <w:tcPr>
            <w:tcW w:type="pct" w:w="72%"/>
            <w:tcMar>
              <w:top w:type="dxa" w:w="90"/>
              <w:left w:type="dxa" w:w="120"/>
              <w:bottom w:type="dxa" w:w="90"/>
              <w:right w:type="dxa" w:w="120"/>
            </w:tcMar>
          </w:tcPr>
          <w:p>
            <w:r>
              <w:rPr>
                <w:sz w:val="18"/>
                <w:szCs w:val="18"/>
              </w:rPr>
              <w:t xml:space="preserve">Manage assigned classes, schedules, attendance, exams, progress, and events within the assigned Pathshala.</w:t>
            </w:r>
          </w:p>
        </w:tc>
      </w:tr>
      <w:tr>
        <w:tc>
          <w:tcPr>
            <w:tcW w:type="pct" w:w="28%"/>
            <w:tcMar>
              <w:top w:type="dxa" w:w="90"/>
              <w:left w:type="dxa" w:w="120"/>
              <w:bottom w:type="dxa" w:w="90"/>
              <w:right w:type="dxa" w:w="120"/>
            </w:tcMar>
          </w:tcPr>
          <w:p>
            <w:r>
              <w:rPr>
                <w:sz w:val="18"/>
                <w:szCs w:val="18"/>
              </w:rPr>
              <w:t xml:space="preserve">Pathshala Student</w:t>
            </w:r>
          </w:p>
        </w:tc>
        <w:tc>
          <w:tcPr>
            <w:tcW w:type="pct" w:w="72%"/>
            <w:tcMar>
              <w:top w:type="dxa" w:w="90"/>
              <w:left w:type="dxa" w:w="120"/>
              <w:bottom w:type="dxa" w:w="90"/>
              <w:right w:type="dxa" w:w="120"/>
            </w:tcMar>
          </w:tcPr>
          <w:p>
            <w:r>
              <w:rPr>
                <w:sz w:val="18"/>
                <w:szCs w:val="18"/>
              </w:rPr>
              <w:t xml:space="preserve">View My Class, schedule, attendance, exams, progress, and events.</w:t>
            </w:r>
          </w:p>
        </w:tc>
      </w:tr>
      <w:tr>
        <w:tc>
          <w:tcPr>
            <w:tcW w:type="pct" w:w="28%"/>
            <w:tcMar>
              <w:top w:type="dxa" w:w="90"/>
              <w:left w:type="dxa" w:w="120"/>
              <w:bottom w:type="dxa" w:w="90"/>
              <w:right w:type="dxa" w:w="120"/>
            </w:tcMar>
          </w:tcPr>
          <w:p>
            <w:r>
              <w:rPr>
                <w:sz w:val="18"/>
                <w:szCs w:val="18"/>
              </w:rPr>
              <w:t xml:space="preserve">Auction/Boli Manager</w:t>
            </w:r>
          </w:p>
        </w:tc>
        <w:tc>
          <w:tcPr>
            <w:tcW w:type="pct" w:w="72%"/>
            <w:tcMar>
              <w:top w:type="dxa" w:w="90"/>
              <w:left w:type="dxa" w:w="120"/>
              <w:bottom w:type="dxa" w:w="90"/>
              <w:right w:type="dxa" w:w="120"/>
            </w:tcMar>
          </w:tcPr>
          <w:p>
            <w:r>
              <w:rPr>
                <w:sz w:val="18"/>
                <w:szCs w:val="18"/>
              </w:rPr>
              <w:t xml:space="preserve">Configure occasions, Boli types, manage bids and results, publish final results.</w:t>
            </w:r>
          </w:p>
        </w:tc>
      </w:tr>
    </w:tbl>
    <w:p>
      <w:r>
        <w:br w:type="page"/>
      </w:r>
    </w:p>
    <w:p>
      <w:pPr>
        <w:pStyle w:val="Heading1"/>
        <w:spacing w:after="160" w:before="320"/>
      </w:pPr>
      <w:r>
        <w:t xml:space="preserve">6. Core Modules &amp; Functional Requirements</w:t>
      </w:r>
    </w:p>
    <w:p>
      <w:pPr>
        <w:pStyle w:val="Heading2"/>
        <w:spacing w:after="120" w:before="260"/>
      </w:pPr>
      <w:r>
        <w:t xml:space="preserve">6.1 Register</w:t>
      </w:r>
    </w:p>
    <w:p>
      <w:pPr>
        <w:pStyle w:val="ListParagraph"/>
        <w:numPr>
          <w:ilvl w:val="0"/>
          <w:numId w:val="1"/>
        </w:numPr>
        <w:spacing w:after="60"/>
      </w:pPr>
      <w:r>
        <w:t xml:space="preserve">Member selects exactly one Samaaj during registration.</w:t>
      </w:r>
    </w:p>
    <w:p>
      <w:pPr>
        <w:pStyle w:val="ListParagraph"/>
        <w:numPr>
          <w:ilvl w:val="0"/>
          <w:numId w:val="1"/>
        </w:numPr>
        <w:spacing w:after="60"/>
      </w:pPr>
      <w:r>
        <w:t xml:space="preserve">Capture mobile/email, password, name, basic demographic/contact information, and consent.</w:t>
      </w:r>
    </w:p>
    <w:p>
      <w:pPr>
        <w:pStyle w:val="ListParagraph"/>
        <w:numPr>
          <w:ilvl w:val="0"/>
          <w:numId w:val="1"/>
        </w:numPr>
        <w:spacing w:after="60"/>
      </w:pPr>
      <w:r>
        <w:t xml:space="preserve">System validates unique account identity according to configured policy.</w:t>
      </w:r>
    </w:p>
    <w:p>
      <w:pPr>
        <w:pStyle w:val="ListParagraph"/>
        <w:numPr>
          <w:ilvl w:val="0"/>
          <w:numId w:val="1"/>
        </w:numPr>
        <w:spacing w:after="60"/>
      </w:pPr>
      <w:r>
        <w:t xml:space="preserve">Tenant is permanently associated with the member account unless an authorized migration process is introduced.</w:t>
      </w:r>
    </w:p>
    <w:p>
      <w:pPr>
        <w:pStyle w:val="ListParagraph"/>
        <w:numPr>
          <w:ilvl w:val="0"/>
          <w:numId w:val="1"/>
        </w:numPr>
        <w:spacing w:after="60"/>
      </w:pPr>
      <w:r>
        <w:t xml:space="preserve">On successful registration, redirect to the selected Samaaj subdomain.</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Offer OTP-based registration (mobile verification) as an alternative to password-only signup — this is common expectation in Indian consumer apps and reduces fake/duplicate accounts. Also recommend a lightweight duplicate-account check (name + mobile/DOB match within the same tenant) that flags — but does not auto-block — likely duplicates for Samaaj Admin review, since family members sharing a surname will legitimately produce near-matches.</w:t>
            </w:r>
          </w:p>
        </w:tc>
      </w:tr>
    </w:tbl>
    <w:p>
      <w:pPr>
        <w:pStyle w:val="Heading2"/>
        <w:spacing w:after="120" w:before="260"/>
      </w:pPr>
      <w:r>
        <w:t xml:space="preserve">6.2 Login &amp; Tenant Routing</w:t>
      </w:r>
    </w:p>
    <w:p>
      <w:pPr>
        <w:pStyle w:val="ListParagraph"/>
        <w:numPr>
          <w:ilvl w:val="0"/>
          <w:numId w:val="1"/>
        </w:numPr>
        <w:spacing w:after="60"/>
      </w:pPr>
      <w:r>
        <w:t xml:space="preserve">Member enters common login credentials.</w:t>
      </w:r>
    </w:p>
    <w:p>
      <w:pPr>
        <w:pStyle w:val="ListParagraph"/>
        <w:numPr>
          <w:ilvl w:val="0"/>
          <w:numId w:val="1"/>
        </w:numPr>
        <w:spacing w:after="60"/>
      </w:pPr>
      <w:r>
        <w:t xml:space="preserve">System identifies the member's tenant association and redirects to that tenant's subdomain.</w:t>
      </w:r>
    </w:p>
    <w:p>
      <w:pPr>
        <w:pStyle w:val="ListParagraph"/>
        <w:numPr>
          <w:ilvl w:val="0"/>
          <w:numId w:val="1"/>
        </w:numPr>
        <w:spacing w:after="60"/>
      </w:pPr>
      <w:r>
        <w:t xml:space="preserve">Session/token must carry tenant context and be validated server-side.</w:t>
      </w:r>
    </w:p>
    <w:p>
      <w:pPr>
        <w:pStyle w:val="ListParagraph"/>
        <w:numPr>
          <w:ilvl w:val="0"/>
          <w:numId w:val="1"/>
        </w:numPr>
        <w:spacing w:after="60"/>
      </w:pPr>
      <w:r>
        <w:t xml:space="preserve">Invalid/unknown tenant, disabled tenant, or unauthorized cross-tenant access must be blocked.</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Add an OTP login option alongside password login (both are shown as tabs in the updated wireframes). Specify a concrete lockout policy — e.g., account locked for 15 minutes after 5 failed attempts — rather than leaving 'brute-force protection' unspecified, since this is exactly the kind of NFR that gets skipped without a stated number.</w:t>
            </w:r>
          </w:p>
        </w:tc>
      </w:tr>
    </w:tbl>
    <w:p>
      <w:pPr>
        <w:pStyle w:val="Heading2"/>
        <w:spacing w:after="120" w:before="260"/>
      </w:pPr>
      <w:r>
        <w:t xml:space="preserve">6.3 Home</w:t>
      </w:r>
    </w:p>
    <w:p>
      <w:pPr>
        <w:pStyle w:val="ListParagraph"/>
        <w:numPr>
          <w:ilvl w:val="0"/>
          <w:numId w:val="1"/>
        </w:numPr>
        <w:spacing w:after="60"/>
      </w:pPr>
      <w:r>
        <w:t xml:space="preserve">Role-aware landing page with navigation cards, announcements, upcoming events, pending actions, and quick links.</w:t>
      </w:r>
    </w:p>
    <w:p>
      <w:pPr>
        <w:pStyle w:val="ListParagraph"/>
        <w:numPr>
          <w:ilvl w:val="0"/>
          <w:numId w:val="1"/>
        </w:numPr>
        <w:spacing w:after="60"/>
      </w:pPr>
      <w:r>
        <w:t xml:space="preserve">Navigation must expose only modules permitted to the current user.</w:t>
      </w:r>
    </w:p>
    <w:p>
      <w:pPr>
        <w:pStyle w:val="Heading2"/>
        <w:spacing w:after="120" w:before="260"/>
      </w:pPr>
      <w:r>
        <w:t xml:space="preserve">6.4 Profile</w:t>
      </w:r>
    </w:p>
    <w:p>
      <w:pPr>
        <w:pStyle w:val="ListParagraph"/>
        <w:numPr>
          <w:ilvl w:val="0"/>
          <w:numId w:val="1"/>
        </w:numPr>
        <w:spacing w:after="60"/>
      </w:pPr>
      <w:r>
        <w:t xml:space="preserve">View and edit personal profile.</w:t>
      </w:r>
    </w:p>
    <w:p>
      <w:pPr>
        <w:pStyle w:val="ListParagraph"/>
        <w:numPr>
          <w:ilvl w:val="0"/>
          <w:numId w:val="1"/>
        </w:numPr>
        <w:spacing w:after="60"/>
      </w:pPr>
      <w:r>
        <w:t xml:space="preserve">Profile fields are configurable by Super Admin/Samaaj Admin.</w:t>
      </w:r>
    </w:p>
    <w:p>
      <w:pPr>
        <w:pStyle w:val="ListParagraph"/>
        <w:numPr>
          <w:ilvl w:val="0"/>
          <w:numId w:val="1"/>
        </w:numPr>
        <w:spacing w:after="60"/>
      </w:pPr>
      <w:r>
        <w:t xml:space="preserve">Support profile photo, contact details, address, and basic member information.</w:t>
      </w:r>
    </w:p>
    <w:p>
      <w:pPr>
        <w:pStyle w:val="ListParagraph"/>
        <w:numPr>
          <w:ilvl w:val="0"/>
          <w:numId w:val="1"/>
        </w:numPr>
        <w:spacing w:after="60"/>
      </w:pPr>
      <w:r>
        <w:t xml:space="preserve">Audit important changes.</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Make privacy visibility configurable per field (Public / Samaaj-only / Private) rather than one directory-wide toggle — mobile number and address are more sensitive than profession or locality, and members are likely to want different visibility for each. Reflected in the updated wireframes as a per-field Privacy Settings panel.</w:t>
            </w:r>
          </w:p>
        </w:tc>
      </w:tr>
    </w:tbl>
    <w:p>
      <w:pPr>
        <w:pStyle w:val="Heading2"/>
        <w:spacing w:after="120" w:before="260"/>
      </w:pPr>
      <w:r>
        <w:t xml:space="preserve">6.5 Members</w:t>
      </w:r>
    </w:p>
    <w:p>
      <w:pPr>
        <w:pStyle w:val="ListParagraph"/>
        <w:numPr>
          <w:ilvl w:val="0"/>
          <w:numId w:val="1"/>
        </w:numPr>
        <w:spacing w:after="60"/>
      </w:pPr>
      <w:r>
        <w:t xml:space="preserve">Tenant-scoped member directory.</w:t>
      </w:r>
    </w:p>
    <w:p>
      <w:pPr>
        <w:pStyle w:val="ListParagraph"/>
        <w:numPr>
          <w:ilvl w:val="0"/>
          <w:numId w:val="1"/>
        </w:numPr>
        <w:spacing w:after="60"/>
      </w:pPr>
      <w:r>
        <w:t xml:space="preserve">Search/filter by name, locality, profession, and other approved fields.</w:t>
      </w:r>
    </w:p>
    <w:p>
      <w:pPr>
        <w:pStyle w:val="ListParagraph"/>
        <w:numPr>
          <w:ilvl w:val="0"/>
          <w:numId w:val="1"/>
        </w:numPr>
        <w:spacing w:after="60"/>
      </w:pPr>
      <w:r>
        <w:t xml:space="preserve">Member visibility must respect privacy settings.</w:t>
      </w:r>
    </w:p>
    <w:p>
      <w:pPr>
        <w:pStyle w:val="ListParagraph"/>
        <w:numPr>
          <w:ilvl w:val="0"/>
          <w:numId w:val="1"/>
        </w:numPr>
        <w:spacing w:after="60"/>
      </w:pPr>
      <w:r>
        <w:t xml:space="preserve">Open member profile subject to access rules.</w:t>
      </w:r>
    </w:p>
    <w:p>
      <w:pPr>
        <w:pStyle w:val="Heading2"/>
        <w:spacing w:after="120" w:before="260"/>
      </w:pPr>
      <w:r>
        <w:t xml:space="preserve">6.6 Family</w:t>
      </w:r>
    </w:p>
    <w:p>
      <w:pPr>
        <w:pStyle w:val="ListParagraph"/>
        <w:numPr>
          <w:ilvl w:val="0"/>
          <w:numId w:val="1"/>
        </w:numPr>
        <w:spacing w:after="60"/>
      </w:pPr>
      <w:r>
        <w:t xml:space="preserve">Create a family and designate a family head.</w:t>
      </w:r>
    </w:p>
    <w:p>
      <w:pPr>
        <w:pStyle w:val="ListParagraph"/>
        <w:numPr>
          <w:ilvl w:val="0"/>
          <w:numId w:val="1"/>
        </w:numPr>
        <w:spacing w:after="60"/>
      </w:pPr>
      <w:r>
        <w:t xml:space="preserve">Members can join an existing family through an invite/request workflow.</w:t>
      </w:r>
    </w:p>
    <w:p>
      <w:pPr>
        <w:pStyle w:val="ListParagraph"/>
        <w:numPr>
          <w:ilvl w:val="0"/>
          <w:numId w:val="1"/>
        </w:numPr>
        <w:spacing w:after="60"/>
      </w:pPr>
      <w:r>
        <w:t xml:space="preserve">Manage family relationships.</w:t>
      </w:r>
    </w:p>
    <w:p>
      <w:pPr>
        <w:pStyle w:val="ListParagraph"/>
        <w:numPr>
          <w:ilvl w:val="0"/>
          <w:numId w:val="1"/>
        </w:numPr>
        <w:spacing w:after="60"/>
      </w:pPr>
      <w:r>
        <w:t xml:space="preserve">Prevent duplicate/invalid family relationships through validation.</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Family-code join requests should expire (e.g., after 14 days) if the family head never responds, rather than sitting in the queue indefinitely. Also validate against circular or contradictory relationships server-side (e.g., a member cannot be their own family head, and cannot belong to two families simultaneously) — this is easy to skip in a first pass and hard to clean up in production data afterward.</w:t>
            </w:r>
          </w:p>
        </w:tc>
      </w:tr>
    </w:tbl>
    <w:p>
      <w:pPr>
        <w:pStyle w:val="Heading2"/>
        <w:spacing w:after="120" w:before="260"/>
      </w:pPr>
      <w:r>
        <w:t xml:space="preserve">6.7 Children</w:t>
      </w:r>
    </w:p>
    <w:p>
      <w:pPr>
        <w:pStyle w:val="ListParagraph"/>
        <w:numPr>
          <w:ilvl w:val="0"/>
          <w:numId w:val="1"/>
        </w:numPr>
        <w:spacing w:after="60"/>
      </w:pPr>
      <w:r>
        <w:t xml:space="preserve">Parent/family-authorized member creates a child profile.</w:t>
      </w:r>
    </w:p>
    <w:p>
      <w:pPr>
        <w:pStyle w:val="ListParagraph"/>
        <w:numPr>
          <w:ilvl w:val="0"/>
          <w:numId w:val="1"/>
        </w:numPr>
        <w:spacing w:after="60"/>
      </w:pPr>
      <w:r>
        <w:t xml:space="preserve">Child is linked to the family and parent relationship.</w:t>
      </w:r>
    </w:p>
    <w:p>
      <w:pPr>
        <w:pStyle w:val="ListParagraph"/>
        <w:numPr>
          <w:ilvl w:val="0"/>
          <w:numId w:val="1"/>
        </w:numPr>
        <w:spacing w:after="60"/>
      </w:pPr>
      <w:r>
        <w:t xml:space="preserve">Child profile has date of birth/age and status.</w:t>
      </w:r>
    </w:p>
    <w:p>
      <w:pPr>
        <w:pStyle w:val="ListParagraph"/>
        <w:numPr>
          <w:ilvl w:val="0"/>
          <w:numId w:val="1"/>
        </w:numPr>
        <w:spacing w:after="60"/>
      </w:pPr>
      <w:r>
        <w:t xml:space="preserve">When child age becomes &gt;18, show eligibility to convert/register as a main account.</w:t>
      </w:r>
    </w:p>
    <w:p>
      <w:pPr>
        <w:pStyle w:val="ListParagraph"/>
        <w:numPr>
          <w:ilvl w:val="0"/>
          <w:numId w:val="1"/>
        </w:numPr>
        <w:spacing w:after="60"/>
      </w:pPr>
      <w:r>
        <w:t xml:space="preserve">Conversion creates/activates a login identity and preserves family relationship and historical records.</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Decide explicitly whether adult-child conversion requires Samaaj Admin approval (as modeled in the updated admin wireframes — a review queue) or is self-service once the child confirms their own mobile/email. The original requirement doesn't state this either way; recommend requiring approval initially, since it's the safer default and can be relaxed to self-service later, whereas the reverse (tightening a self-service flow after members are used to it) is a harder UX change.</w:t>
            </w:r>
          </w:p>
        </w:tc>
      </w:tr>
    </w:tbl>
    <w:p>
      <w:pPr>
        <w:pStyle w:val="Heading2"/>
        <w:spacing w:after="120" w:before="260"/>
      </w:pPr>
      <w:r>
        <w:t xml:space="preserve">6.8 Timeline</w:t>
      </w:r>
    </w:p>
    <w:p>
      <w:pPr>
        <w:pStyle w:val="ListParagraph"/>
        <w:numPr>
          <w:ilvl w:val="0"/>
          <w:numId w:val="1"/>
        </w:numPr>
        <w:spacing w:after="60"/>
      </w:pPr>
      <w:r>
        <w:t xml:space="preserve">Tenant feed for Samaaj announcements and approved/public member posts.</w:t>
      </w:r>
    </w:p>
    <w:p>
      <w:pPr>
        <w:pStyle w:val="ListParagraph"/>
        <w:numPr>
          <w:ilvl w:val="0"/>
          <w:numId w:val="1"/>
        </w:numPr>
        <w:spacing w:after="60"/>
      </w:pPr>
      <w:r>
        <w:t xml:space="preserve">Member can create a post subject to moderation/configuration.</w:t>
      </w:r>
    </w:p>
    <w:p>
      <w:pPr>
        <w:pStyle w:val="ListParagraph"/>
        <w:numPr>
          <w:ilvl w:val="0"/>
          <w:numId w:val="1"/>
        </w:numPr>
        <w:spacing w:after="60"/>
      </w:pPr>
      <w:r>
        <w:t xml:space="preserve">Support text, image/media metadata, and reactions/comments if enabled.</w:t>
      </w:r>
    </w:p>
    <w:p>
      <w:pPr>
        <w:pStyle w:val="ListParagraph"/>
        <w:numPr>
          <w:ilvl w:val="0"/>
          <w:numId w:val="1"/>
        </w:numPr>
        <w:spacing w:after="60"/>
      </w:pPr>
      <w:r>
        <w:t xml:space="preserve">Admin moderation and report/hide capability.</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Add a per-member posting rate limit (e.g., a small number of posts per day) to reduce moderation-queue spam from a single account, and a 'Report' action visible to any member on any post (already reflected in the updated member wireframe) so problem content can be flagged before a moderator happens to notice it.</w:t>
            </w:r>
          </w:p>
        </w:tc>
      </w:tr>
    </w:tbl>
    <w:p>
      <w:pPr>
        <w:pStyle w:val="Heading2"/>
        <w:spacing w:after="120" w:before="260"/>
      </w:pPr>
      <w:r>
        <w:t xml:space="preserve">6.9 Volunteer Groups</w:t>
      </w:r>
    </w:p>
    <w:p>
      <w:pPr>
        <w:pStyle w:val="ListParagraph"/>
        <w:numPr>
          <w:ilvl w:val="0"/>
          <w:numId w:val="1"/>
        </w:numPr>
        <w:spacing w:after="60"/>
      </w:pPr>
      <w:r>
        <w:t xml:space="preserve">List tenant volunteer groups with description, president, focus area, and active/inactive status.</w:t>
      </w:r>
    </w:p>
    <w:p>
      <w:pPr>
        <w:pStyle w:val="ListParagraph"/>
        <w:numPr>
          <w:ilvl w:val="0"/>
          <w:numId w:val="1"/>
        </w:numPr>
        <w:spacing w:after="60"/>
      </w:pPr>
      <w:r>
        <w:t xml:space="preserve">Member can view group details and apply to join.</w:t>
      </w:r>
    </w:p>
    <w:p>
      <w:pPr>
        <w:pStyle w:val="ListParagraph"/>
        <w:numPr>
          <w:ilvl w:val="0"/>
          <w:numId w:val="1"/>
        </w:numPr>
        <w:spacing w:after="60"/>
      </w:pPr>
      <w:r>
        <w:t xml:space="preserve">Group President accepts/rejects applications and assigns role/position.</w:t>
      </w:r>
    </w:p>
    <w:p>
      <w:pPr>
        <w:pStyle w:val="ListParagraph"/>
        <w:numPr>
          <w:ilvl w:val="0"/>
          <w:numId w:val="1"/>
        </w:numPr>
        <w:spacing w:after="60"/>
      </w:pPr>
      <w:r>
        <w:t xml:space="preserve">Member can see their group memberships and roles.</w:t>
      </w:r>
    </w:p>
    <w:p>
      <w:pPr>
        <w:pStyle w:val="Heading2"/>
        <w:spacing w:after="120" w:before="260"/>
      </w:pPr>
      <w:r>
        <w:t xml:space="preserve">6.10 Events</w:t>
      </w:r>
    </w:p>
    <w:p>
      <w:pPr>
        <w:pStyle w:val="ListParagraph"/>
        <w:numPr>
          <w:ilvl w:val="0"/>
          <w:numId w:val="1"/>
        </w:numPr>
        <w:spacing w:after="60"/>
      </w:pPr>
      <w:r>
        <w:t xml:space="preserve">List upcoming/past tenant events.</w:t>
      </w:r>
    </w:p>
    <w:p>
      <w:pPr>
        <w:pStyle w:val="ListParagraph"/>
        <w:numPr>
          <w:ilvl w:val="0"/>
          <w:numId w:val="1"/>
        </w:numPr>
        <w:spacing w:after="60"/>
      </w:pPr>
      <w:r>
        <w:t xml:space="preserve">Events may be created by authorized volunteer group users or Samaaj Admin.</w:t>
      </w:r>
    </w:p>
    <w:p>
      <w:pPr>
        <w:pStyle w:val="ListParagraph"/>
        <w:numPr>
          <w:ilvl w:val="0"/>
          <w:numId w:val="1"/>
        </w:numPr>
        <w:spacing w:after="60"/>
      </w:pPr>
      <w:r>
        <w:t xml:space="preserve">Event contains title, date/time, venue/location, organizer, description, and optional registration.</w:t>
      </w:r>
    </w:p>
    <w:p>
      <w:pPr>
        <w:pStyle w:val="ListParagraph"/>
        <w:numPr>
          <w:ilvl w:val="0"/>
          <w:numId w:val="1"/>
        </w:numPr>
        <w:spacing w:after="60"/>
      </w:pPr>
      <w:r>
        <w:t xml:space="preserve">Members can register/RSVP where enabled.</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Add an explicit capacity + waitlist model: once an event's registration count reaches capacity, further RSVPs move to a waitlist rather than being rejected outright, and are auto-promoted if a registered member cancels. Reflected in the updated wireframes' event detail screen.</w:t>
            </w:r>
          </w:p>
        </w:tc>
      </w:tr>
    </w:tbl>
    <w:p>
      <w:pPr>
        <w:pStyle w:val="Heading2"/>
        <w:spacing w:after="120" w:before="260"/>
      </w:pPr>
      <w:r>
        <w:t xml:space="preserve">6.11 Social Issues</w:t>
      </w:r>
    </w:p>
    <w:p>
      <w:pPr>
        <w:pStyle w:val="ListParagraph"/>
        <w:numPr>
          <w:ilvl w:val="0"/>
          <w:numId w:val="1"/>
        </w:numPr>
        <w:spacing w:after="60"/>
      </w:pPr>
      <w:r>
        <w:t xml:space="preserve">Members can submit a social issue with title, description, category, locality, and evidence/attachments.</w:t>
      </w:r>
    </w:p>
    <w:p>
      <w:pPr>
        <w:pStyle w:val="ListParagraph"/>
        <w:numPr>
          <w:ilvl w:val="0"/>
          <w:numId w:val="1"/>
        </w:numPr>
        <w:spacing w:after="60"/>
      </w:pPr>
      <w:r>
        <w:t xml:space="preserve">Submission enters an approval workflow.</w:t>
      </w:r>
    </w:p>
    <w:p>
      <w:pPr>
        <w:pStyle w:val="ListParagraph"/>
        <w:numPr>
          <w:ilvl w:val="0"/>
          <w:numId w:val="1"/>
        </w:numPr>
        <w:spacing w:after="60"/>
      </w:pPr>
      <w:r>
        <w:t xml:space="preserve">Only valid, approved issues become published/visible.</w:t>
      </w:r>
    </w:p>
    <w:p>
      <w:pPr>
        <w:pStyle w:val="ListParagraph"/>
        <w:numPr>
          <w:ilvl w:val="0"/>
          <w:numId w:val="1"/>
        </w:numPr>
        <w:spacing w:after="60"/>
      </w:pPr>
      <w:r>
        <w:t xml:space="preserve">Authorized approvers can approve, reject, request changes, and close issues.</w:t>
      </w:r>
    </w:p>
    <w:p>
      <w:pPr>
        <w:pStyle w:val="ListParagraph"/>
        <w:numPr>
          <w:ilvl w:val="0"/>
          <w:numId w:val="1"/>
        </w:numPr>
        <w:spacing w:after="60"/>
      </w:pPr>
      <w:r>
        <w:t xml:space="preserve">Maintain status history and audit trail.</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Set an explicit review SLA (e.g., 5 business days) with an escalation/reminder to the Samaaj Admin dashboard if a submission sits in the queue past that window — without one, an unstated approval backlog is a likely source of member complaints post-launch.</w:t>
            </w:r>
          </w:p>
        </w:tc>
      </w:tr>
    </w:tbl>
    <w:p>
      <w:pPr>
        <w:pStyle w:val="Heading2"/>
        <w:spacing w:after="120" w:before="260"/>
      </w:pPr>
      <w:r>
        <w:t xml:space="preserve">6.12 Celebrities of Samaaj</w:t>
      </w:r>
    </w:p>
    <w:p>
      <w:pPr>
        <w:pStyle w:val="ListParagraph"/>
        <w:numPr>
          <w:ilvl w:val="0"/>
          <w:numId w:val="1"/>
        </w:numPr>
        <w:spacing w:after="60"/>
      </w:pPr>
      <w:r>
        <w:t xml:space="preserve">Admin configures voting period, eligibility, nomination rules, and top-N setting (default 10).</w:t>
      </w:r>
    </w:p>
    <w:p>
      <w:pPr>
        <w:pStyle w:val="ListParagraph"/>
        <w:numPr>
          <w:ilvl w:val="0"/>
          <w:numId w:val="1"/>
        </w:numPr>
        <w:spacing w:after="60"/>
      </w:pPr>
      <w:r>
        <w:t xml:space="preserve">Eligible members can nominate/vote according to configured rules.</w:t>
      </w:r>
    </w:p>
    <w:p>
      <w:pPr>
        <w:pStyle w:val="ListParagraph"/>
        <w:numPr>
          <w:ilvl w:val="0"/>
          <w:numId w:val="1"/>
        </w:numPr>
        <w:spacing w:after="60"/>
      </w:pPr>
      <w:r>
        <w:t xml:space="preserve">Prevent duplicate voting through server-side controls.</w:t>
      </w:r>
    </w:p>
    <w:p>
      <w:pPr>
        <w:pStyle w:val="ListParagraph"/>
        <w:numPr>
          <w:ilvl w:val="0"/>
          <w:numId w:val="1"/>
        </w:numPr>
        <w:spacing w:after="60"/>
      </w:pPr>
      <w:r>
        <w:t xml:space="preserve">Show live/hidden vote totals according to configuration.</w:t>
      </w:r>
    </w:p>
    <w:p>
      <w:pPr>
        <w:pStyle w:val="ListParagraph"/>
        <w:numPr>
          <w:ilvl w:val="0"/>
          <w:numId w:val="1"/>
        </w:numPr>
        <w:spacing w:after="60"/>
      </w:pPr>
      <w:r>
        <w:t xml:space="preserve">After voting closes and validation completes, declare Top 10 winners and publish results.</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Duplicate-vote prevention needs a specific mechanism, not just a stated rule: enforce a unique database constraint on (campaign, voter) plus a short-lived distributed lock during the vote-cast request, since a campaign's final hours are exactly when concurrent double-submits are most likely. Also consider a minimum tenure rule (e.g., member for 90+ days) as a configurable eligibility option, to deter vote manipulation via freshly created accounts.</w:t>
            </w:r>
          </w:p>
        </w:tc>
      </w:tr>
    </w:tbl>
    <w:p>
      <w:pPr>
        <w:pStyle w:val="Heading2"/>
        <w:spacing w:after="120" w:before="260"/>
      </w:pPr>
      <w:r>
        <w:t xml:space="preserve">6.13 Jain Pathshala</w:t>
      </w:r>
    </w:p>
    <w:p>
      <w:pPr>
        <w:pStyle w:val="ListParagraph"/>
        <w:numPr>
          <w:ilvl w:val="0"/>
          <w:numId w:val="1"/>
        </w:numPr>
        <w:spacing w:after="60"/>
      </w:pPr>
      <w:r>
        <w:t xml:space="preserve">Super Admin creates and manages Pathshala records.</w:t>
      </w:r>
    </w:p>
    <w:p>
      <w:pPr>
        <w:pStyle w:val="ListParagraph"/>
        <w:numPr>
          <w:ilvl w:val="0"/>
          <w:numId w:val="1"/>
        </w:numPr>
        <w:spacing w:after="60"/>
      </w:pPr>
      <w:r>
        <w:t xml:space="preserve">Parents can view available Pathshalas and enroll eligible children in one Pathshala.</w:t>
      </w:r>
    </w:p>
    <w:p>
      <w:pPr>
        <w:pStyle w:val="ListParagraph"/>
        <w:numPr>
          <w:ilvl w:val="0"/>
          <w:numId w:val="1"/>
        </w:numPr>
        <w:spacing w:after="60"/>
      </w:pPr>
      <w:r>
        <w:t xml:space="preserve">Pathshala supports Teachers, Students, Classes, Class Schedules, Exams, and Events.</w:t>
      </w:r>
    </w:p>
    <w:p>
      <w:pPr>
        <w:pStyle w:val="ListParagraph"/>
        <w:numPr>
          <w:ilvl w:val="0"/>
          <w:numId w:val="1"/>
        </w:numPr>
        <w:spacing w:after="60"/>
      </w:pPr>
      <w:r>
        <w:t xml:space="preserve">Teacher functions: assigned classes, schedules, attendance, exams, progress, and events.</w:t>
      </w:r>
    </w:p>
    <w:p>
      <w:pPr>
        <w:pStyle w:val="ListParagraph"/>
        <w:numPr>
          <w:ilvl w:val="0"/>
          <w:numId w:val="1"/>
        </w:numPr>
        <w:spacing w:after="60"/>
      </w:pPr>
      <w:r>
        <w:t xml:space="preserve">Student functions: My Class, My Class Schedule, My Attendance, My Exams, My Progress, and My Events.</w:t>
      </w:r>
    </w:p>
    <w:p>
      <w:pPr>
        <w:pStyle w:val="ListParagraph"/>
        <w:numPr>
          <w:ilvl w:val="0"/>
          <w:numId w:val="1"/>
        </w:numPr>
        <w:spacing w:after="60"/>
      </w:pPr>
      <w:r>
        <w:t xml:space="preserve">Enrollment must maintain child/family linkage and tenant context.</w:t>
      </w:r>
    </w:p>
    <w:p>
      <w:pPr>
        <w:pStyle w:val="ListParagraph"/>
        <w:numPr>
          <w:ilvl w:val="0"/>
          <w:numId w:val="1"/>
        </w:numPr>
        <w:spacing w:after="60"/>
      </w:pPr>
      <w:r>
        <w:t xml:space="preserve">Pathshala data must support academic year/session and historical records.</w:t>
      </w:r>
    </w:p>
    <w:p>
      <w:pPr>
        <w:pStyle w:val="Heading2"/>
        <w:spacing w:after="120" w:before="260"/>
      </w:pPr>
      <w:r>
        <w:t xml:space="preserve">6.14 Auctions / Boli</w:t>
      </w:r>
    </w:p>
    <w:p>
      <w:pPr>
        <w:pStyle w:val="ListParagraph"/>
        <w:numPr>
          <w:ilvl w:val="0"/>
          <w:numId w:val="1"/>
        </w:numPr>
        <w:spacing w:after="60"/>
      </w:pPr>
      <w:r>
        <w:t xml:space="preserve">Create/manage Occasion.</w:t>
      </w:r>
    </w:p>
    <w:p>
      <w:pPr>
        <w:pStyle w:val="ListParagraph"/>
        <w:numPr>
          <w:ilvl w:val="0"/>
          <w:numId w:val="1"/>
        </w:numPr>
        <w:spacing w:after="60"/>
      </w:pPr>
      <w:r>
        <w:t xml:space="preserve">Create/manage Boli Types.</w:t>
      </w:r>
    </w:p>
    <w:p>
      <w:pPr>
        <w:pStyle w:val="ListParagraph"/>
        <w:numPr>
          <w:ilvl w:val="0"/>
          <w:numId w:val="1"/>
        </w:numPr>
        <w:spacing w:after="60"/>
      </w:pPr>
      <w:r>
        <w:t xml:space="preserve">Open Boli for bidding with defined start/end time and eligibility.</w:t>
      </w:r>
    </w:p>
    <w:p>
      <w:pPr>
        <w:pStyle w:val="ListParagraph"/>
        <w:numPr>
          <w:ilvl w:val="0"/>
          <w:numId w:val="1"/>
        </w:numPr>
        <w:spacing w:after="60"/>
      </w:pPr>
      <w:r>
        <w:t xml:space="preserve">Members can submit bids subject to validation and configured rules.</w:t>
      </w:r>
    </w:p>
    <w:p>
      <w:pPr>
        <w:pStyle w:val="ListParagraph"/>
        <w:numPr>
          <w:ilvl w:val="0"/>
          <w:numId w:val="1"/>
        </w:numPr>
        <w:spacing w:after="60"/>
      </w:pPr>
      <w:r>
        <w:t xml:space="preserve">Maintain bid history and winner calculation.</w:t>
      </w:r>
    </w:p>
    <w:p>
      <w:pPr>
        <w:pStyle w:val="ListParagraph"/>
        <w:numPr>
          <w:ilvl w:val="0"/>
          <w:numId w:val="1"/>
        </w:numPr>
        <w:spacing w:after="60"/>
      </w:pPr>
      <w:r>
        <w:t xml:space="preserve">Record Results and allow an authorized manager to Publish Results.</w:t>
      </w:r>
    </w:p>
    <w:p>
      <w:pPr>
        <w:pStyle w:val="ListParagraph"/>
        <w:numPr>
          <w:ilvl w:val="0"/>
          <w:numId w:val="1"/>
        </w:numPr>
        <w:spacing w:after="60"/>
      </w:pPr>
      <w:r>
        <w:t xml:space="preserve">Published results become read-only unless an authorized correction workflow is used.</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Two additions worth deciding on explicitly before build: (1) a minimum bid-increment rule, so a bid of ₹1 over the current high doesn't need to be manually rejected case by case, and (2) anti-sniping — auto-extending a Boli's close time by a short window (e.g., 2 minutes) if a bid lands in the final moments, which is standard practice for live auctions and prevents disputes about a bid that arrived 'after' close.</w:t>
            </w:r>
          </w:p>
        </w:tc>
      </w:tr>
    </w:tbl>
    <w:p>
      <w:r>
        <w:br w:type="page"/>
      </w:r>
    </w:p>
    <w:p>
      <w:pPr>
        <w:pStyle w:val="Heading1"/>
        <w:spacing w:after="160" w:before="320"/>
      </w:pPr>
      <w:r>
        <w:t xml:space="preserve">7. Cross-Cutting Requirements</w:t>
      </w:r>
    </w:p>
    <w:p>
      <w:pPr>
        <w:pStyle w:val="ListParagraph"/>
        <w:numPr>
          <w:ilvl w:val="0"/>
          <w:numId w:val="1"/>
        </w:numPr>
        <w:spacing w:after="60"/>
      </w:pPr>
      <w:r>
        <w:t xml:space="preserve">Tenant isolation: every tenant-owned query must be scoped by TenantId at the service/repository layer.</w:t>
      </w:r>
    </w:p>
    <w:p>
      <w:pPr>
        <w:pStyle w:val="ListParagraph"/>
        <w:numPr>
          <w:ilvl w:val="0"/>
          <w:numId w:val="1"/>
        </w:numPr>
        <w:spacing w:after="60"/>
      </w:pPr>
      <w:r>
        <w:t xml:space="preserve">Authorization: role + permission checks; UI hiding is not a security control.</w:t>
      </w:r>
    </w:p>
    <w:p>
      <w:pPr>
        <w:pStyle w:val="ListParagraph"/>
        <w:numPr>
          <w:ilvl w:val="0"/>
          <w:numId w:val="1"/>
        </w:numPr>
        <w:spacing w:after="60"/>
      </w:pPr>
      <w:r>
        <w:t xml:space="preserve">Audit: record actor, timestamp, tenant, action, and before/after state for critical changes.</w:t>
      </w:r>
    </w:p>
    <w:p>
      <w:pPr>
        <w:pStyle w:val="ListParagraph"/>
        <w:numPr>
          <w:ilvl w:val="0"/>
          <w:numId w:val="1"/>
        </w:numPr>
        <w:spacing w:after="60"/>
      </w:pPr>
      <w:r>
        <w:t xml:space="preserve">Notifications: in-app notifications for approvals, group applications, event registration, Pathshala, and Boli milestones; email/SMS/WhatsApp as adapters.</w:t>
      </w:r>
    </w:p>
    <w:p>
      <w:pPr>
        <w:pStyle w:val="ListParagraph"/>
        <w:numPr>
          <w:ilvl w:val="0"/>
          <w:numId w:val="1"/>
        </w:numPr>
        <w:spacing w:after="60"/>
      </w:pPr>
      <w:r>
        <w:t xml:space="preserve">Search: tenant-scoped by default.</w:t>
      </w:r>
    </w:p>
    <w:p>
      <w:pPr>
        <w:pStyle w:val="ListParagraph"/>
        <w:numPr>
          <w:ilvl w:val="0"/>
          <w:numId w:val="1"/>
        </w:numPr>
        <w:spacing w:after="60"/>
      </w:pPr>
      <w:r>
        <w:t xml:space="preserve">File handling: virus/malware scanning, size/type restrictions, access-controlled storage.</w:t>
      </w:r>
    </w:p>
    <w:p>
      <w:pPr>
        <w:pStyle w:val="ListParagraph"/>
        <w:numPr>
          <w:ilvl w:val="0"/>
          <w:numId w:val="1"/>
        </w:numPr>
        <w:spacing w:after="60"/>
      </w:pPr>
      <w:r>
        <w:t xml:space="preserve">Accessibility: responsive UI, keyboard navigation, readable contrast, meaningful labels.</w:t>
      </w:r>
    </w:p>
    <w:p>
      <w:pPr>
        <w:pStyle w:val="ListParagraph"/>
        <w:numPr>
          <w:ilvl w:val="0"/>
          <w:numId w:val="1"/>
        </w:numPr>
        <w:spacing w:after="60"/>
      </w:pPr>
      <w:r>
        <w:t xml:space="preserve">Localization: design for Hindi/English and future Indian-language expansion.</w:t>
      </w:r>
    </w:p>
    <w:p>
      <w:pPr>
        <w:pStyle w:val="ListParagraph"/>
        <w:numPr>
          <w:ilvl w:val="0"/>
          <w:numId w:val="1"/>
        </w:numPr>
        <w:spacing w:after="60"/>
      </w:pPr>
      <w:r>
        <w:t xml:space="preserve">Time: store timestamps consistently; display tenant/member-local time where configured.</w:t>
      </w:r>
    </w:p>
    <w:p>
      <w:pPr>
        <w:pStyle w:val="ListParagraph"/>
        <w:numPr>
          <w:ilvl w:val="0"/>
          <w:numId w:val="1"/>
        </w:numPr>
        <w:spacing w:after="60"/>
      </w:pPr>
      <w:r>
        <w:t xml:space="preserve">Privacy: configurable member directory visibility and consent for public posts/profile fields.</w:t>
      </w:r>
    </w:p>
    <w:p>
      <w:pPr>
        <w:pStyle w:val="ListParagraph"/>
        <w:numPr>
          <w:ilvl w:val="0"/>
          <w:numId w:val="1"/>
        </w:numPr>
        <w:spacing w:after="60"/>
      </w:pPr>
      <w:r>
        <w:t xml:space="preserve">Soft delete/status history for business records where historical reporting is needed.</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The original requirement states these qualitatively; recommend pinning down measurable targets before development starts, since NFRs without numbers tend not to get tested: API p95 response time under 300ms for read endpoints; page load under 2 seconds on a typical mobile connection; WCAG 2.1 AA as the explicit accessibility standard (rather than 'accessible'); daily automated backups with a 24-hour RPO and 4-hour RTO target; and rate limiting specifics for login/OTP/voting endpoints (see the System Architecture document for where these get implemented). Given this platform holds personal data of Indian residents, it's also worth having someone confirm how the requirements here map to India's Digital Personal Data Protection Act, 2023, particularly around consent records and data-export/erasure requests — that's a legal-compliance question this document can flag but not answer.</w:t>
            </w:r>
          </w:p>
        </w:tc>
      </w:tr>
    </w:tbl>
    <w:p>
      <w:pPr>
        <w:pStyle w:val="Heading1"/>
        <w:spacing w:after="160" w:before="320"/>
      </w:pPr>
      <w:r>
        <w:t xml:space="preserve">8. Key Data Entities</w:t>
      </w:r>
    </w:p>
    <w:p>
      <w:pPr>
        <w:spacing w:after="140"/>
      </w:pPr>
      <w:r>
        <w:rPr>
          <w:b w:val="false"/>
          <w:bCs w:val="false"/>
          <w:i w:val="false"/>
          <w:iCs w:val="false"/>
        </w:rPr>
        <w:t xml:space="preserve">Full entity definitions with fields are in the companion developer documentation (DATA-MODEL.md). Summary list:</w:t>
      </w:r>
    </w:p>
    <w:p>
      <w:pPr>
        <w:pStyle w:val="ListParagraph"/>
        <w:numPr>
          <w:ilvl w:val="0"/>
          <w:numId w:val="1"/>
        </w:numPr>
        <w:spacing w:after="60"/>
      </w:pPr>
      <w:r>
        <w:t xml:space="preserve">Tenant / Samaaj, User / Member, Role / Permission, Profile</w:t>
      </w:r>
    </w:p>
    <w:p>
      <w:pPr>
        <w:pStyle w:val="ListParagraph"/>
        <w:numPr>
          <w:ilvl w:val="0"/>
          <w:numId w:val="1"/>
        </w:numPr>
        <w:spacing w:after="60"/>
      </w:pPr>
      <w:r>
        <w:t xml:space="preserve">Family, Family Member, Child Profile</w:t>
      </w:r>
    </w:p>
    <w:p>
      <w:pPr>
        <w:pStyle w:val="ListParagraph"/>
        <w:numPr>
          <w:ilvl w:val="0"/>
          <w:numId w:val="1"/>
        </w:numPr>
        <w:spacing w:after="60"/>
      </w:pPr>
      <w:r>
        <w:t xml:space="preserve">Timeline Post, Comment/Reaction</w:t>
      </w:r>
    </w:p>
    <w:p>
      <w:pPr>
        <w:pStyle w:val="ListParagraph"/>
        <w:numPr>
          <w:ilvl w:val="0"/>
          <w:numId w:val="1"/>
        </w:numPr>
        <w:spacing w:after="60"/>
      </w:pPr>
      <w:r>
        <w:t xml:space="preserve">Volunteer Group, Group Membership/Application</w:t>
      </w:r>
    </w:p>
    <w:p>
      <w:pPr>
        <w:pStyle w:val="ListParagraph"/>
        <w:numPr>
          <w:ilvl w:val="0"/>
          <w:numId w:val="1"/>
        </w:numPr>
        <w:spacing w:after="60"/>
      </w:pPr>
      <w:r>
        <w:t xml:space="preserve">Event, Event Registration</w:t>
      </w:r>
    </w:p>
    <w:p>
      <w:pPr>
        <w:pStyle w:val="ListParagraph"/>
        <w:numPr>
          <w:ilvl w:val="0"/>
          <w:numId w:val="1"/>
        </w:numPr>
        <w:spacing w:after="60"/>
      </w:pPr>
      <w:r>
        <w:t xml:space="preserve">Social Issue, Issue Approval</w:t>
      </w:r>
    </w:p>
    <w:p>
      <w:pPr>
        <w:pStyle w:val="ListParagraph"/>
        <w:numPr>
          <w:ilvl w:val="0"/>
          <w:numId w:val="1"/>
        </w:numPr>
        <w:spacing w:after="60"/>
      </w:pPr>
      <w:r>
        <w:t xml:space="preserve">Celebrity Campaign, Nomination, Vote, Celebrity Result</w:t>
      </w:r>
    </w:p>
    <w:p>
      <w:pPr>
        <w:pStyle w:val="ListParagraph"/>
        <w:numPr>
          <w:ilvl w:val="0"/>
          <w:numId w:val="1"/>
        </w:numPr>
        <w:spacing w:after="60"/>
      </w:pPr>
      <w:r>
        <w:t xml:space="preserve">Pathshala, Teacher, Student Enrollment, Class, Class Schedule, Attendance, Exam, Exam Result, Progress Record, Pathshala Event</w:t>
      </w:r>
    </w:p>
    <w:p>
      <w:pPr>
        <w:pStyle w:val="ListParagraph"/>
        <w:numPr>
          <w:ilvl w:val="0"/>
          <w:numId w:val="1"/>
        </w:numPr>
        <w:spacing w:after="60"/>
      </w:pPr>
      <w:r>
        <w:t xml:space="preserve">Boli Occasion, Boli Type, Boli, Bid, Boli Result</w:t>
      </w:r>
    </w:p>
    <w:p>
      <w:pPr>
        <w:pStyle w:val="ListParagraph"/>
        <w:numPr>
          <w:ilvl w:val="0"/>
          <w:numId w:val="1"/>
        </w:numPr>
        <w:spacing w:after="60"/>
      </w:pPr>
      <w:r>
        <w:t xml:space="preserve">Audit Log, Notification</w:t>
      </w:r>
    </w:p>
    <w:p>
      <w:pPr>
        <w:pStyle w:val="Heading1"/>
        <w:spacing w:after="160" w:before="320"/>
      </w:pPr>
      <w:r>
        <w:t xml:space="preserve">9. Primary User Journeys</w:t>
      </w:r>
    </w:p>
    <w:tbl>
      <w:tblPr>
        <w:tblW w:type="pct" w:w="100%"/>
        <w:tblBorders>
          <w:top w:val="single" w:color="D9DEE7" w:sz="2"/>
          <w:left w:val="single" w:color="D9DEE7" w:sz="2"/>
          <w:bottom w:val="single" w:color="D9DEE7" w:sz="2"/>
          <w:right w:val="single" w:color="D9DEE7" w:sz="2"/>
          <w:insideH w:val="single" w:color="D9DEE7" w:sz="2"/>
          <w:insideV w:val="single" w:color="D9DEE7" w:sz="2"/>
        </w:tblBorders>
      </w:tblPr>
      <w:tblGrid>
        <w:gridCol w:w="100"/>
        <w:gridCol w:w="100"/>
      </w:tblGrid>
      <w:tr>
        <w:trPr>
          <w:tblHeader/>
        </w:trPr>
        <w:tc>
          <w:tcPr>
            <w:tcW w:type="pct" w:w="22%"/>
            <w:shd w:fill="F1F2F6" w:val="clear"/>
            <w:tcMar>
              <w:top w:type="dxa" w:w="100"/>
              <w:left w:type="dxa" w:w="120"/>
              <w:bottom w:type="dxa" w:w="100"/>
              <w:right w:type="dxa" w:w="120"/>
            </w:tcMar>
          </w:tcPr>
          <w:p>
            <w:r>
              <w:rPr>
                <w:b/>
                <w:bCs/>
                <w:sz w:val="18"/>
                <w:szCs w:val="18"/>
              </w:rPr>
              <w:t xml:space="preserve">Journey</w:t>
            </w:r>
          </w:p>
        </w:tc>
        <w:tc>
          <w:tcPr>
            <w:tcW w:type="pct" w:w="78%"/>
            <w:shd w:fill="F1F2F6" w:val="clear"/>
            <w:tcMar>
              <w:top w:type="dxa" w:w="100"/>
              <w:left w:type="dxa" w:w="120"/>
              <w:bottom w:type="dxa" w:w="100"/>
              <w:right w:type="dxa" w:w="120"/>
            </w:tcMar>
          </w:tcPr>
          <w:p>
            <w:r>
              <w:rPr>
                <w:b/>
                <w:bCs/>
                <w:sz w:val="18"/>
                <w:szCs w:val="18"/>
              </w:rPr>
              <w:t xml:space="preserve">Flow</w:t>
            </w:r>
          </w:p>
        </w:tc>
      </w:tr>
      <w:tr>
        <w:tc>
          <w:tcPr>
            <w:tcW w:type="pct" w:w="22%"/>
            <w:tcMar>
              <w:top w:type="dxa" w:w="90"/>
              <w:left w:type="dxa" w:w="120"/>
              <w:bottom w:type="dxa" w:w="90"/>
              <w:right w:type="dxa" w:w="120"/>
            </w:tcMar>
          </w:tcPr>
          <w:p>
            <w:r>
              <w:rPr>
                <w:sz w:val="18"/>
                <w:szCs w:val="18"/>
              </w:rPr>
              <w:t xml:space="preserve">Registration</w:t>
            </w:r>
          </w:p>
        </w:tc>
        <w:tc>
          <w:tcPr>
            <w:tcW w:type="pct" w:w="78%"/>
            <w:tcMar>
              <w:top w:type="dxa" w:w="90"/>
              <w:left w:type="dxa" w:w="120"/>
              <w:bottom w:type="dxa" w:w="90"/>
              <w:right w:type="dxa" w:w="120"/>
            </w:tcMar>
          </w:tcPr>
          <w:p>
            <w:r>
              <w:rPr>
                <w:sz w:val="18"/>
                <w:szCs w:val="18"/>
              </w:rPr>
              <w:t xml:space="preserve">Register → Select Samaaj → Verify identity → Create profile → Redirect to &lt;tenant&gt;.samaajconnect.com → Home</w:t>
            </w:r>
          </w:p>
        </w:tc>
      </w:tr>
      <w:tr>
        <w:tc>
          <w:tcPr>
            <w:tcW w:type="pct" w:w="22%"/>
            <w:tcMar>
              <w:top w:type="dxa" w:w="90"/>
              <w:left w:type="dxa" w:w="120"/>
              <w:bottom w:type="dxa" w:w="90"/>
              <w:right w:type="dxa" w:w="120"/>
            </w:tcMar>
          </w:tcPr>
          <w:p>
            <w:r>
              <w:rPr>
                <w:sz w:val="18"/>
                <w:szCs w:val="18"/>
              </w:rPr>
              <w:t xml:space="preserve">Login</w:t>
            </w:r>
          </w:p>
        </w:tc>
        <w:tc>
          <w:tcPr>
            <w:tcW w:type="pct" w:w="78%"/>
            <w:tcMar>
              <w:top w:type="dxa" w:w="90"/>
              <w:left w:type="dxa" w:w="120"/>
              <w:bottom w:type="dxa" w:w="90"/>
              <w:right w:type="dxa" w:w="120"/>
            </w:tcMar>
          </w:tcPr>
          <w:p>
            <w:r>
              <w:rPr>
                <w:sz w:val="18"/>
                <w:szCs w:val="18"/>
              </w:rPr>
              <w:t xml:space="preserve">Common Login → Resolve registered tenant → Validate credentials → Create tenant-scoped session → Redirect to tenant subdomain</w:t>
            </w:r>
          </w:p>
        </w:tc>
      </w:tr>
      <w:tr>
        <w:tc>
          <w:tcPr>
            <w:tcW w:type="pct" w:w="22%"/>
            <w:tcMar>
              <w:top w:type="dxa" w:w="90"/>
              <w:left w:type="dxa" w:w="120"/>
              <w:bottom w:type="dxa" w:w="90"/>
              <w:right w:type="dxa" w:w="120"/>
            </w:tcMar>
          </w:tcPr>
          <w:p>
            <w:r>
              <w:rPr>
                <w:sz w:val="18"/>
                <w:szCs w:val="18"/>
              </w:rPr>
              <w:t xml:space="preserve">Family</w:t>
            </w:r>
          </w:p>
        </w:tc>
        <w:tc>
          <w:tcPr>
            <w:tcW w:type="pct" w:w="78%"/>
            <w:tcMar>
              <w:top w:type="dxa" w:w="90"/>
              <w:left w:type="dxa" w:w="120"/>
              <w:bottom w:type="dxa" w:w="90"/>
              <w:right w:type="dxa" w:w="120"/>
            </w:tcMar>
          </w:tcPr>
          <w:p>
            <w:r>
              <w:rPr>
                <w:sz w:val="18"/>
                <w:szCs w:val="18"/>
              </w:rPr>
              <w:t xml:space="preserve">Member → Family → Create Family / Join Family → Add members → Manage relationships</w:t>
            </w:r>
          </w:p>
        </w:tc>
      </w:tr>
      <w:tr>
        <w:tc>
          <w:tcPr>
            <w:tcW w:type="pct" w:w="22%"/>
            <w:tcMar>
              <w:top w:type="dxa" w:w="90"/>
              <w:left w:type="dxa" w:w="120"/>
              <w:bottom w:type="dxa" w:w="90"/>
              <w:right w:type="dxa" w:w="120"/>
            </w:tcMar>
          </w:tcPr>
          <w:p>
            <w:r>
              <w:rPr>
                <w:sz w:val="18"/>
                <w:szCs w:val="18"/>
              </w:rPr>
              <w:t xml:space="preserve">Adult Child</w:t>
            </w:r>
          </w:p>
        </w:tc>
        <w:tc>
          <w:tcPr>
            <w:tcW w:type="pct" w:w="78%"/>
            <w:tcMar>
              <w:top w:type="dxa" w:w="90"/>
              <w:left w:type="dxa" w:w="120"/>
              <w:bottom w:type="dxa" w:w="90"/>
              <w:right w:type="dxa" w:w="120"/>
            </w:tcMar>
          </w:tcPr>
          <w:p>
            <w:r>
              <w:rPr>
                <w:sz w:val="18"/>
                <w:szCs w:val="18"/>
              </w:rPr>
              <w:t xml:space="preserve">Parent creates child → Child remains a family profile → Age &gt;18 trigger → Child completes account registration → Main member login → Family relationship retained</w:t>
            </w:r>
          </w:p>
        </w:tc>
      </w:tr>
      <w:tr>
        <w:tc>
          <w:tcPr>
            <w:tcW w:type="pct" w:w="22%"/>
            <w:tcMar>
              <w:top w:type="dxa" w:w="90"/>
              <w:left w:type="dxa" w:w="120"/>
              <w:bottom w:type="dxa" w:w="90"/>
              <w:right w:type="dxa" w:w="120"/>
            </w:tcMar>
          </w:tcPr>
          <w:p>
            <w:r>
              <w:rPr>
                <w:sz w:val="18"/>
                <w:szCs w:val="18"/>
              </w:rPr>
              <w:t xml:space="preserve">Volunteer</w:t>
            </w:r>
          </w:p>
        </w:tc>
        <w:tc>
          <w:tcPr>
            <w:tcW w:type="pct" w:w="78%"/>
            <w:tcMar>
              <w:top w:type="dxa" w:w="90"/>
              <w:left w:type="dxa" w:w="120"/>
              <w:bottom w:type="dxa" w:w="90"/>
              <w:right w:type="dxa" w:w="120"/>
            </w:tcMar>
          </w:tcPr>
          <w:p>
            <w:r>
              <w:rPr>
                <w:sz w:val="18"/>
                <w:szCs w:val="18"/>
              </w:rPr>
              <w:t xml:space="preserve">Volunteer Groups → Group Details → Apply → President reviews → Accept/Reject → If accepted, assign role/position</w:t>
            </w:r>
          </w:p>
        </w:tc>
      </w:tr>
      <w:tr>
        <w:tc>
          <w:tcPr>
            <w:tcW w:type="pct" w:w="22%"/>
            <w:tcMar>
              <w:top w:type="dxa" w:w="90"/>
              <w:left w:type="dxa" w:w="120"/>
              <w:bottom w:type="dxa" w:w="90"/>
              <w:right w:type="dxa" w:w="120"/>
            </w:tcMar>
          </w:tcPr>
          <w:p>
            <w:r>
              <w:rPr>
                <w:sz w:val="18"/>
                <w:szCs w:val="18"/>
              </w:rPr>
              <w:t xml:space="preserve">Social Issue</w:t>
            </w:r>
          </w:p>
        </w:tc>
        <w:tc>
          <w:tcPr>
            <w:tcW w:type="pct" w:w="78%"/>
            <w:tcMar>
              <w:top w:type="dxa" w:w="90"/>
              <w:left w:type="dxa" w:w="120"/>
              <w:bottom w:type="dxa" w:w="90"/>
              <w:right w:type="dxa" w:w="120"/>
            </w:tcMar>
          </w:tcPr>
          <w:p>
            <w:r>
              <w:rPr>
                <w:sz w:val="18"/>
                <w:szCs w:val="18"/>
              </w:rPr>
              <w:t xml:space="preserve">Create Issue → Draft → Submit → Approval Queue → Approve/Reject/Changes → Publish if approved</w:t>
            </w:r>
          </w:p>
        </w:tc>
      </w:tr>
      <w:tr>
        <w:tc>
          <w:tcPr>
            <w:tcW w:type="pct" w:w="22%"/>
            <w:tcMar>
              <w:top w:type="dxa" w:w="90"/>
              <w:left w:type="dxa" w:w="120"/>
              <w:bottom w:type="dxa" w:w="90"/>
              <w:right w:type="dxa" w:w="120"/>
            </w:tcMar>
          </w:tcPr>
          <w:p>
            <w:r>
              <w:rPr>
                <w:sz w:val="18"/>
                <w:szCs w:val="18"/>
              </w:rPr>
              <w:t xml:space="preserve">Celebrity</w:t>
            </w:r>
          </w:p>
        </w:tc>
        <w:tc>
          <w:tcPr>
            <w:tcW w:type="pct" w:w="78%"/>
            <w:tcMar>
              <w:top w:type="dxa" w:w="90"/>
              <w:left w:type="dxa" w:w="120"/>
              <w:bottom w:type="dxa" w:w="90"/>
              <w:right w:type="dxa" w:w="120"/>
            </w:tcMar>
          </w:tcPr>
          <w:p>
            <w:r>
              <w:rPr>
                <w:sz w:val="18"/>
                <w:szCs w:val="18"/>
              </w:rPr>
              <w:t xml:space="preserve">Campaign opens → Eligible member votes → Vote validation → Campaign closes → Admin validates → Top 10 published</w:t>
            </w:r>
          </w:p>
        </w:tc>
      </w:tr>
      <w:tr>
        <w:tc>
          <w:tcPr>
            <w:tcW w:type="pct" w:w="22%"/>
            <w:tcMar>
              <w:top w:type="dxa" w:w="90"/>
              <w:left w:type="dxa" w:w="120"/>
              <w:bottom w:type="dxa" w:w="90"/>
              <w:right w:type="dxa" w:w="120"/>
            </w:tcMar>
          </w:tcPr>
          <w:p>
            <w:r>
              <w:rPr>
                <w:sz w:val="18"/>
                <w:szCs w:val="18"/>
              </w:rPr>
              <w:t xml:space="preserve">Pathshala</w:t>
            </w:r>
          </w:p>
        </w:tc>
        <w:tc>
          <w:tcPr>
            <w:tcW w:type="pct" w:w="78%"/>
            <w:tcMar>
              <w:top w:type="dxa" w:w="90"/>
              <w:left w:type="dxa" w:w="120"/>
              <w:bottom w:type="dxa" w:w="90"/>
              <w:right w:type="dxa" w:w="120"/>
            </w:tcMar>
          </w:tcPr>
          <w:p>
            <w:r>
              <w:rPr>
                <w:sz w:val="18"/>
                <w:szCs w:val="18"/>
              </w:rPr>
              <w:t xml:space="preserve">Parent → Pathshala → Select Pathshala → Enroll child → Student/Teacher workflows → Attendance/Exams/Progress</w:t>
            </w:r>
          </w:p>
        </w:tc>
      </w:tr>
      <w:tr>
        <w:tc>
          <w:tcPr>
            <w:tcW w:type="pct" w:w="22%"/>
            <w:tcMar>
              <w:top w:type="dxa" w:w="90"/>
              <w:left w:type="dxa" w:w="120"/>
              <w:bottom w:type="dxa" w:w="90"/>
              <w:right w:type="dxa" w:w="120"/>
            </w:tcMar>
          </w:tcPr>
          <w:p>
            <w:r>
              <w:rPr>
                <w:sz w:val="18"/>
                <w:szCs w:val="18"/>
              </w:rPr>
              <w:t xml:space="preserve">Boli</w:t>
            </w:r>
          </w:p>
        </w:tc>
        <w:tc>
          <w:tcPr>
            <w:tcW w:type="pct" w:w="78%"/>
            <w:tcMar>
              <w:top w:type="dxa" w:w="90"/>
              <w:left w:type="dxa" w:w="120"/>
              <w:bottom w:type="dxa" w:w="90"/>
              <w:right w:type="dxa" w:w="120"/>
            </w:tcMar>
          </w:tcPr>
          <w:p>
            <w:r>
              <w:rPr>
                <w:sz w:val="18"/>
                <w:szCs w:val="18"/>
              </w:rPr>
              <w:t xml:space="preserve">Occasion → Boli Type → Open Boli → Member bids → Close → Calculate result → Manager publishes</w:t>
            </w:r>
          </w:p>
        </w:tc>
      </w:tr>
    </w:tbl>
    <w:p>
      <w:pPr>
        <w:pStyle w:val="Heading1"/>
        <w:spacing w:after="160" w:before="320"/>
      </w:pPr>
      <w:r>
        <w:t xml:space="preserve">10. Recommended Release Plan</w:t>
      </w:r>
    </w:p>
    <w:p>
      <w:pPr>
        <w:pStyle w:val="ListParagraph"/>
        <w:numPr>
          <w:ilvl w:val="0"/>
          <w:numId w:val="1"/>
        </w:numPr>
        <w:spacing w:after="60"/>
      </w:pPr>
      <w:r>
        <w:t xml:space="preserve">Phase 1: Tenant foundation, Super Admin, Register/Login, Profile, Home, Members, Family, Children. Audit &amp; Notification is stood up in this phase too, not deferred — see the System Architecture document for why.</w:t>
      </w:r>
    </w:p>
    <w:p>
      <w:pPr>
        <w:pStyle w:val="ListParagraph"/>
        <w:numPr>
          <w:ilvl w:val="0"/>
          <w:numId w:val="1"/>
        </w:numPr>
        <w:spacing w:after="60"/>
      </w:pPr>
      <w:r>
        <w:t xml:space="preserve">Phase 2: Timeline, Volunteer Groups, Events, and Social Issues approval workflow.</w:t>
      </w:r>
    </w:p>
    <w:p>
      <w:pPr>
        <w:pStyle w:val="ListParagraph"/>
        <w:numPr>
          <w:ilvl w:val="0"/>
          <w:numId w:val="1"/>
        </w:numPr>
        <w:spacing w:after="60"/>
      </w:pPr>
      <w:r>
        <w:t xml:space="preserve">Phase 3: Celebrity voting and results.</w:t>
      </w:r>
    </w:p>
    <w:p>
      <w:pPr>
        <w:pStyle w:val="ListParagraph"/>
        <w:numPr>
          <w:ilvl w:val="0"/>
          <w:numId w:val="1"/>
        </w:numPr>
        <w:spacing w:after="60"/>
      </w:pPr>
      <w:r>
        <w:t xml:space="preserve">Phase 4: Jain Pathshala with parent/student/teacher workflows.</w:t>
      </w:r>
    </w:p>
    <w:p>
      <w:pPr>
        <w:pStyle w:val="ListParagraph"/>
        <w:numPr>
          <w:ilvl w:val="0"/>
          <w:numId w:val="1"/>
        </w:numPr>
        <w:spacing w:after="60"/>
      </w:pPr>
      <w:r>
        <w:t xml:space="preserve">Phase 5: Auctions/Boli and advanced notifications/reporting.</w:t>
      </w:r>
    </w:p>
    <w:p>
      <w:pPr>
        <w:pStyle w:val="ListParagraph"/>
        <w:numPr>
          <w:ilvl w:val="0"/>
          <w:numId w:val="1"/>
        </w:numPr>
        <w:spacing w:after="60"/>
      </w:pPr>
      <w:r>
        <w:t xml:space="preserve">Hardening: security testing, tenant-isolation tests, accessibility, audit, backups, monitoring, and performance.</w:t>
      </w:r>
    </w:p>
    <w:p>
      <w:pPr>
        <w:spacing w:after="140"/>
      </w:pPr>
      <w:r>
        <w:rPr>
          <w:b w:val="false"/>
          <w:bCs w:val="false"/>
          <w:i w:val="false"/>
          <w:iCs w:val="false"/>
        </w:rPr>
        <w:t xml:space="preserve">Full phase-to-service mapping is in the companion ROADMAP.md.</w:t>
      </w:r>
    </w:p>
    <w:p>
      <w:pPr>
        <w:pStyle w:val="Heading1"/>
        <w:spacing w:after="160" w:before="320"/>
      </w:pPr>
      <w:r>
        <w:t xml:space="preserve">11. Acceptance Criteria — Platform Foundation</w:t>
      </w:r>
    </w:p>
    <w:p>
      <w:pPr>
        <w:pStyle w:val="ListParagraph"/>
        <w:numPr>
          <w:ilvl w:val="0"/>
          <w:numId w:val="1"/>
        </w:numPr>
        <w:spacing w:after="60"/>
      </w:pPr>
      <w:r>
        <w:t xml:space="preserve">Given a member registered to Samaaj A, successful login redirects to the Samaaj A subdomain.</w:t>
      </w:r>
    </w:p>
    <w:p>
      <w:pPr>
        <w:pStyle w:val="ListParagraph"/>
        <w:numPr>
          <w:ilvl w:val="0"/>
          <w:numId w:val="1"/>
        </w:numPr>
        <w:spacing w:after="60"/>
      </w:pPr>
      <w:r>
        <w:t xml:space="preserve">Given a member registered to Samaaj A, they cannot query or mutate Samaaj B member/family/content records.</w:t>
      </w:r>
    </w:p>
    <w:p>
      <w:pPr>
        <w:pStyle w:val="ListParagraph"/>
        <w:numPr>
          <w:ilvl w:val="0"/>
          <w:numId w:val="1"/>
        </w:numPr>
        <w:spacing w:after="60"/>
      </w:pPr>
      <w:r>
        <w:t xml:space="preserve">Super Admin can create, activate, deactivate, and configure tenants.</w:t>
      </w:r>
    </w:p>
    <w:p>
      <w:pPr>
        <w:pStyle w:val="ListParagraph"/>
        <w:numPr>
          <w:ilvl w:val="0"/>
          <w:numId w:val="1"/>
        </w:numPr>
        <w:spacing w:after="60"/>
      </w:pPr>
      <w:r>
        <w:t xml:space="preserve">Member directory returns only records belonging to the current tenant.</w:t>
      </w:r>
    </w:p>
    <w:p>
      <w:pPr>
        <w:pStyle w:val="ListParagraph"/>
        <w:numPr>
          <w:ilvl w:val="0"/>
          <w:numId w:val="1"/>
        </w:numPr>
        <w:spacing w:after="60"/>
      </w:pPr>
      <w:r>
        <w:t xml:space="preserve">Family and child records cannot be attached across tenants.</w:t>
      </w:r>
    </w:p>
    <w:p>
      <w:pPr>
        <w:pStyle w:val="ListParagraph"/>
        <w:numPr>
          <w:ilvl w:val="0"/>
          <w:numId w:val="1"/>
        </w:numPr>
        <w:spacing w:after="60"/>
      </w:pPr>
      <w:r>
        <w:t xml:space="preserve">An adult-child conversion preserves family relationship and historical child records.</w:t>
      </w:r>
    </w:p>
    <w:p>
      <w:pPr>
        <w:pStyle w:val="ListParagraph"/>
        <w:numPr>
          <w:ilvl w:val="0"/>
          <w:numId w:val="1"/>
        </w:numPr>
        <w:spacing w:after="60"/>
      </w:pPr>
      <w:r>
        <w:t xml:space="preserve">Only authorized roles can approve social issues, assign volunteer roles, publish Boli results, and manage Pathshala master data.</w:t>
      </w:r>
    </w:p>
    <w:p>
      <w:pPr>
        <w:pStyle w:val="ListParagraph"/>
        <w:numPr>
          <w:ilvl w:val="0"/>
          <w:numId w:val="1"/>
        </w:numPr>
        <w:spacing w:after="60"/>
      </w:pPr>
      <w:r>
        <w:t xml:space="preserve">Celebrity voting rejects duplicate/ineligible votes and publishes exactly the configured Top 10 when sufficient eligible winners exist.</w:t>
      </w:r>
    </w:p>
    <w:p>
      <w:pPr>
        <w:pStyle w:val="ListParagraph"/>
        <w:numPr>
          <w:ilvl w:val="0"/>
          <w:numId w:val="1"/>
        </w:numPr>
        <w:spacing w:after="60"/>
      </w:pPr>
      <w:r>
        <w:t xml:space="preserve">Celebrity voting rejects a concurrent double-vote attempt from the same member under load (not just under single-request testing).</w:t>
      </w:r>
    </w:p>
    <w:p>
      <w:pPr>
        <w:pStyle w:val="ListParagraph"/>
        <w:numPr>
          <w:ilvl w:val="0"/>
          <w:numId w:val="1"/>
        </w:numPr>
        <w:spacing w:after="60"/>
      </w:pPr>
      <w:r>
        <w:t xml:space="preserve">A published Boli result cannot be modified through the standard API; only through the distinct correction workflow, and that correction is itself audited.</w:t>
      </w:r>
    </w:p>
    <w:p>
      <w:pPr>
        <w:pStyle w:val="Heading1"/>
        <w:spacing w:after="160" w:before="320"/>
      </w:pPr>
      <w:r>
        <w:t xml:space="preserve">12. Wireframe Coverage</w:t>
      </w:r>
    </w:p>
    <w:p>
      <w:pPr>
        <w:spacing w:after="140"/>
      </w:pPr>
      <w:r>
        <w:rPr>
          <w:b w:val="false"/>
          <w:bCs w:val="false"/>
          <w:i w:val="false"/>
          <w:iCs w:val="false"/>
        </w:rPr>
        <w:t xml:space="preserve">Updated clickable HTML prototypes (in the companion wireframes package) cover: Login (password + OTP), Forgot Password, Register, Home, Profile (with privacy settings), Members (with filters), Member Detail, Family, Children, Timeline, Volunteer Groups (with group detail), Events (with capacity/waitlist detail), Social Issues (with submission tracker), Celebrity Voting (with results archive), Jain Pathshala, My Class, Attendance, Exams, Progress, My Events, Auctions/Boli (with bid detail), and Notifications. See member-portal-wireframes.html and the corresponding mobile file. These remain intentionally low-fidelity and interaction-focused; visual design, API contracts, and final validation rules are refined during UX/UI and technical design.</w:t>
      </w:r>
    </w:p>
    <w:p>
      <w:pPr>
        <w:pStyle w:val="Heading1"/>
        <w:spacing w:after="160" w:before="320"/>
      </w:pPr>
      <w:r>
        <w:t xml:space="preserve">Appendix A — Suggested Enhancements Summary</w:t>
      </w:r>
    </w:p>
    <w:p>
      <w:pPr>
        <w:spacing w:after="140"/>
      </w:pPr>
      <w:r>
        <w:rPr>
          <w:b w:val="false"/>
          <w:bCs w:val="false"/>
          <w:i w:val="false"/>
          <w:iCs w:val="false"/>
        </w:rPr>
        <w:t xml:space="preserve">All suggestions from this document, collected for quick review:</w:t>
      </w:r>
    </w:p>
    <w:p>
      <w:pPr>
        <w:pStyle w:val="ListParagraph"/>
        <w:numPr>
          <w:ilvl w:val="0"/>
          <w:numId w:val="1"/>
        </w:numPr>
        <w:spacing w:after="60"/>
      </w:pPr>
      <w:r>
        <w:t xml:space="preserve">OTP-based registration/login option alongside password.</w:t>
      </w:r>
    </w:p>
    <w:p>
      <w:pPr>
        <w:pStyle w:val="ListParagraph"/>
        <w:numPr>
          <w:ilvl w:val="0"/>
          <w:numId w:val="1"/>
        </w:numPr>
        <w:spacing w:after="60"/>
      </w:pPr>
      <w:r>
        <w:t xml:space="preserve">Lightweight duplicate-account detection at registration (flag, don't auto-block).</w:t>
      </w:r>
    </w:p>
    <w:p>
      <w:pPr>
        <w:pStyle w:val="ListParagraph"/>
        <w:numPr>
          <w:ilvl w:val="0"/>
          <w:numId w:val="1"/>
        </w:numPr>
        <w:spacing w:after="60"/>
      </w:pPr>
      <w:r>
        <w:t xml:space="preserve">Concrete login lockout policy (e.g., 5 attempts / 15 minutes).</w:t>
      </w:r>
    </w:p>
    <w:p>
      <w:pPr>
        <w:pStyle w:val="ListParagraph"/>
        <w:numPr>
          <w:ilvl w:val="0"/>
          <w:numId w:val="1"/>
        </w:numPr>
        <w:spacing w:after="60"/>
      </w:pPr>
      <w:r>
        <w:t xml:space="preserve">Per-field profile privacy settings, not a single directory toggle.</w:t>
      </w:r>
    </w:p>
    <w:p>
      <w:pPr>
        <w:pStyle w:val="ListParagraph"/>
        <w:numPr>
          <w:ilvl w:val="0"/>
          <w:numId w:val="1"/>
        </w:numPr>
        <w:spacing w:after="60"/>
      </w:pPr>
      <w:r>
        <w:t xml:space="preserve">Family join-request expiry and server-side circular-relationship validation.</w:t>
      </w:r>
    </w:p>
    <w:p>
      <w:pPr>
        <w:pStyle w:val="ListParagraph"/>
        <w:numPr>
          <w:ilvl w:val="0"/>
          <w:numId w:val="1"/>
        </w:numPr>
        <w:spacing w:after="60"/>
      </w:pPr>
      <w:r>
        <w:t xml:space="preserve">Explicit decision: adult-child conversion requires admin approval (recommended) vs. self-service.</w:t>
      </w:r>
    </w:p>
    <w:p>
      <w:pPr>
        <w:pStyle w:val="ListParagraph"/>
        <w:numPr>
          <w:ilvl w:val="0"/>
          <w:numId w:val="1"/>
        </w:numPr>
        <w:spacing w:after="60"/>
      </w:pPr>
      <w:r>
        <w:t xml:space="preserve">Timeline posting rate limit and member-facing Report action.</w:t>
      </w:r>
    </w:p>
    <w:p>
      <w:pPr>
        <w:pStyle w:val="ListParagraph"/>
        <w:numPr>
          <w:ilvl w:val="0"/>
          <w:numId w:val="1"/>
        </w:numPr>
        <w:spacing w:after="60"/>
      </w:pPr>
      <w:r>
        <w:t xml:space="preserve">Event capacity + waitlist with auto-promotion.</w:t>
      </w:r>
    </w:p>
    <w:p>
      <w:pPr>
        <w:pStyle w:val="ListParagraph"/>
        <w:numPr>
          <w:ilvl w:val="0"/>
          <w:numId w:val="1"/>
        </w:numPr>
        <w:spacing w:after="60"/>
      </w:pPr>
      <w:r>
        <w:t xml:space="preserve">Social issue review SLA with escalation.</w:t>
      </w:r>
    </w:p>
    <w:p>
      <w:pPr>
        <w:pStyle w:val="ListParagraph"/>
        <w:numPr>
          <w:ilvl w:val="0"/>
          <w:numId w:val="1"/>
        </w:numPr>
        <w:spacing w:after="60"/>
      </w:pPr>
      <w:r>
        <w:t xml:space="preserve">Celebrity voting: DB-level unique constraint + distributed lock for duplicate-vote prevention; optional minimum-tenure eligibility rule.</w:t>
      </w:r>
    </w:p>
    <w:p>
      <w:pPr>
        <w:pStyle w:val="ListParagraph"/>
        <w:numPr>
          <w:ilvl w:val="0"/>
          <w:numId w:val="1"/>
        </w:numPr>
        <w:spacing w:after="60"/>
      </w:pPr>
      <w:r>
        <w:t xml:space="preserve">Boli: minimum bid increment and anti-sniping auto-extend.</w:t>
      </w:r>
    </w:p>
    <w:p>
      <w:pPr>
        <w:pStyle w:val="ListParagraph"/>
        <w:numPr>
          <w:ilvl w:val="0"/>
          <w:numId w:val="1"/>
        </w:numPr>
        <w:spacing w:after="60"/>
      </w:pPr>
      <w:r>
        <w:t xml:space="preserve">Measurable NFR targets for performance, backup/DR, and accessibility (WCAG 2.1 AA).</w:t>
      </w:r>
    </w:p>
    <w:p>
      <w:pPr>
        <w:pStyle w:val="ListParagraph"/>
        <w:numPr>
          <w:ilvl w:val="0"/>
          <w:numId w:val="1"/>
        </w:numPr>
        <w:spacing w:after="60"/>
      </w:pPr>
      <w:r>
        <w:t xml:space="preserve">A compliance check against India's DPDP Act, 2023 for consent and data-export/erasure handling.</w:t>
      </w:r>
    </w:p>
    <w:p>
      <w:pPr>
        <w:pStyle w:val="ListParagraph"/>
        <w:numPr>
          <w:ilvl w:val="0"/>
          <w:numId w:val="1"/>
        </w:numPr>
        <w:spacing w:after="60"/>
      </w:pPr>
      <w:r>
        <w:t xml:space="preserve">Optional custom-domain (CNAME) support per tenant, decided before the SSL strategy is finalized.</w:t>
      </w:r>
    </w:p>
    <w:p>
      <w:pPr>
        <w:pStyle w:val="ListParagraph"/>
        <w:numPr>
          <w:ilvl w:val="0"/>
          <w:numId w:val="1"/>
        </w:numPr>
        <w:spacing w:after="60"/>
      </w:pPr>
      <w:r>
        <w:t xml:space="preserve">Boli payment collection flagged explicitly as out of MVP scope, pending a separate integration decision.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6B4EFF"/>
      <w:sz w:val="30"/>
      <w:szCs w:val="30"/>
    </w:rPr>
  </w:style>
  <w:style w:type="paragraph" w:styleId="Heading2">
    <w:name w:val="Heading 2"/>
    <w:basedOn w:val="Normal"/>
    <w:next w:val="Normal"/>
    <w:qFormat/>
    <w:pPr>
      <w:spacing w:after="120" w:before="260"/>
    </w:pPr>
    <w:rPr>
      <w:b/>
      <w:bCs/>
      <w:color w:val="2D3440"/>
      <w:sz w:val="25"/>
      <w:szCs w:val="25"/>
    </w:rPr>
  </w:style>
  <w:style w:type="paragraph" w:styleId="Heading3">
    <w:name w:val="Heading 3"/>
    <w:basedOn w:val="Normal"/>
    <w:next w:val="Normal"/>
    <w:qFormat/>
    <w:pPr>
      <w:spacing w:after="100" w:before="200"/>
    </w:pPr>
    <w:rPr>
      <w:b/>
      <w:bCs/>
      <w:color w:val="2D34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2026-08-28T02:09:53.894Z</dcterms:created>
  <dcterms:modified xsi:type="dcterms:W3CDTF">2026-08-28T02:09:53.894Z</dcterms:modified>
</cp:coreProperties>
</file>

<file path=docProps/custom.xml><?xml version="1.0" encoding="utf-8"?>
<Properties xmlns="http://schemas.openxmlformats.org/officeDocument/2006/custom-properties" xmlns:vt="http://schemas.openxmlformats.org/officeDocument/2006/docPropsVTypes"/>
</file>