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7202A"/>
          <w:sz w:val="44"/>
          <w:szCs w:val="44"/>
        </w:rPr>
        <w:t xml:space="preserve">samaajconnect — System Architecture &amp; Technical Design</w:t>
      </w:r>
    </w:p>
    <w:p>
      <w:pPr>
        <w:spacing w:after="80"/>
      </w:pPr>
      <w:r>
        <w:rPr>
          <w:i/>
          <w:iCs/>
          <w:color w:val="667085"/>
          <w:sz w:val="24"/>
          <w:szCs w:val="24"/>
        </w:rPr>
        <w:t xml:space="preserve">Angular (v18+) · .NET 8/9 Microservices · YARP Gateway · Kafka Event Bus (Outbox pattern)</w:t>
      </w:r>
    </w:p>
    <w:p>
      <w:pPr>
        <w:spacing w:after="320"/>
      </w:pPr>
      <w:r>
        <w:rPr>
          <w:color w:val="667085"/>
          <w:sz w:val="20"/>
          <w:szCs w:val="20"/>
        </w:rPr>
        <w:t xml:space="preserve">Version 2.0 (Rewritten) · Supersedes: Jain Samaaj System Architecture Design v1.0 · Fri Aug 28 2026</w:t>
      </w:r>
    </w:p>
    <w:tbl>
      <w:tblPr>
        <w:tblW w:type="pct" w:w="100%"/>
        <w:tblBorders>
          <w:top w:val="single" w:color="D9DEE7" w:sz="4"/>
          <w:left w:val="single" w:color="D9DEE7" w:sz="4"/>
          <w:bottom w:val="single" w:color="D9DEE7" w:sz="4"/>
          <w:right w:val="single" w:color="D9DEE7" w:sz="4"/>
          <w:insideH w:val="none"/>
          <w:insideV w:val="none"/>
        </w:tblBorders>
      </w:tblPr>
      <w:tblGrid>
        <w:gridCol w:w="100"/>
      </w:tblGrid>
      <w:tr>
        <w:tc>
          <w:tcPr>
            <w:tcW w:type="pct" w:w="100%"/>
            <w:shd w:fill="F4F2FE" w:val="clear"/>
            <w:tcMar>
              <w:top w:type="dxa" w:w="160"/>
              <w:left w:type="dxa" w:w="200"/>
              <w:bottom w:type="dxa" w:w="160"/>
              <w:right w:type="dxa" w:w="200"/>
            </w:tcMar>
          </w:tcPr>
          <w:p>
            <w:pPr>
              <w:spacing w:after="60"/>
            </w:pPr>
            <w:r>
              <w:rPr>
                <w:b/>
                <w:bCs/>
                <w:sz w:val="20"/>
                <w:szCs w:val="20"/>
              </w:rPr>
              <w:t xml:space="preserve">HOW TO READ THIS DOCUMENT</w:t>
            </w:r>
          </w:p>
          <w:p>
            <w:r>
              <w:rPr>
                <w:sz w:val="20"/>
                <w:szCs w:val="20"/>
              </w:rPr>
              <w:t xml:space="preserve">This revises the original architecture document and — importantly — aligns it with the conventions your platform's own new-microservice scaffolding tool already documents (Clean Architecture, CQRS/MediatR, five pipeline behaviors, Outbox-to-Kafka eventing). Where the original document and that existing tooling disagreed, this document follows the tooling, since that reflects what actually gets built. Those corrections are called out explicitly, not silently changed. Sections marked 💡 Suggested Enhancement are new recommendations.</w:t>
            </w:r>
          </w:p>
        </w:tc>
      </w:tr>
    </w:tbl>
    <w:p>
      <w:pPr>
        <w:spacing w:after="200"/>
      </w:pPr>
    </w:p>
    <w:p>
      <w:pPr>
        <w:pStyle w:val="Heading1"/>
        <w:spacing w:after="160" w:before="320"/>
      </w:pPr>
      <w:r>
        <w:t xml:space="preserve">1. High-Level Architecture Overview</w:t>
      </w:r>
    </w:p>
    <w:p>
      <w:pPr>
        <w:spacing w:after="140"/>
      </w:pPr>
      <w:r>
        <w:rPr>
          <w:b w:val="false"/>
          <w:bCs w:val="false"/>
          <w:i w:val="false"/>
          <w:iCs w:val="false"/>
        </w:rPr>
        <w:t xml:space="preserve">samaajconnect is architected as an enterprise-grade, multi-tenant system providing total data isolation across distinct Samaaj organizations, with platform-wide administration via a Unified Admin Panel. The system uses dynamic subdomain routing, Angular on the client, .NET microservices on the backend, and asynchronous event-driven communication between services.</w:t>
      </w:r>
    </w:p>
    <w:tbl>
      <w:tblPr>
        <w:tblW w:type="pct" w:w="100%"/>
        <w:tblBorders>
          <w:top w:val="single" w:color="D9DEE7" w:sz="4"/>
          <w:left w:val="single" w:color="D9DEE7" w:sz="4"/>
          <w:bottom w:val="single" w:color="D9DEE7" w:sz="4"/>
          <w:right w:val="single" w:color="D9DEE7" w:sz="4"/>
          <w:insideH w:val="none"/>
          <w:insideV w:val="none"/>
        </w:tblBorders>
      </w:tblPr>
      <w:tblGrid>
        <w:gridCol w:w="100"/>
      </w:tblGrid>
      <w:tr>
        <w:tc>
          <w:tcPr>
            <w:tcW w:type="pct" w:w="100%"/>
            <w:shd w:fill="F4F2FE" w:val="clear"/>
            <w:tcMar>
              <w:top w:type="dxa" w:w="160"/>
              <w:left w:type="dxa" w:w="200"/>
              <w:bottom w:type="dxa" w:w="160"/>
              <w:right w:type="dxa" w:w="200"/>
            </w:tcMar>
          </w:tcPr>
          <w:p>
            <w:pPr>
              <w:spacing w:after="60"/>
            </w:pPr>
            <w:r>
              <w:rPr>
                <w:b/>
                <w:bCs/>
                <w:sz w:val="20"/>
                <w:szCs w:val="20"/>
              </w:rPr>
              <w:t xml:space="preserve">ARCHITECTURE SUMMARY</w:t>
            </w:r>
          </w:p>
          <w:p>
            <w:r>
              <w:rPr>
                <w:sz w:val="20"/>
                <w:szCs w:val="20"/>
              </w:rPr>
              <w:t xml:space="preserve">Client Request (*.samaajconnect.com / admin.samaajconnect.com) → DNS / CDN → YARP API Gateway (tenant resolution &amp; auth validation) → .NET 8/9 microservices (tenant-isolated via EF Core global query filters, one Postgres database per service) ↔ Kafka event bus (via the Outbox pattern) ↔ Audit &amp; Notification service consuming every domain event.</w:t>
            </w:r>
          </w:p>
        </w:tc>
      </w:tr>
    </w:tbl>
    <w:p>
      <w:pPr>
        <w:pStyle w:val="Heading1"/>
        <w:spacing w:after="160" w:before="320"/>
      </w:pPr>
      <w:r>
        <w:t xml:space="preserve">2. Dynamic Subdomain &amp; Multi-Tenant Architecture</w:t>
      </w:r>
    </w:p>
    <w:p>
      <w:pPr>
        <w:pStyle w:val="Heading2"/>
        <w:spacing w:after="120" w:before="260"/>
      </w:pPr>
      <w:r>
        <w:t xml:space="preserve">2.1 Subdomain &amp; Route Resolution</w:t>
      </w:r>
    </w:p>
    <w:p>
      <w:pPr>
        <w:pStyle w:val="ListParagraph"/>
        <w:numPr>
          <w:ilvl w:val="0"/>
          <w:numId w:val="1"/>
        </w:numPr>
        <w:spacing w:after="60"/>
      </w:pPr>
      <w:r>
        <w:t xml:space="preserve">Public Portal (*.samaajconnect.com): a single deployed Angular application configured with wildcard SSL. Tenants are resolved dynamically at request time (e.g., mahavir-samaj.samaajconnect.com).</w:t>
      </w:r>
    </w:p>
    <w:p>
      <w:pPr>
        <w:pStyle w:val="ListParagraph"/>
        <w:numPr>
          <w:ilvl w:val="0"/>
          <w:numId w:val="1"/>
        </w:numPr>
        <w:spacing w:after="60"/>
      </w:pPr>
      <w:r>
        <w:t xml:space="preserve">Unified Admin Portal (admin.samaajconnect.com): a dedicated admin application allowing Super Admins platform-wide management and Samaaj Admins tenant-scoped operational control.</w:t>
      </w:r>
    </w:p>
    <w:p>
      <w:pPr>
        <w:pStyle w:val="ListParagraph"/>
        <w:numPr>
          <w:ilvl w:val="0"/>
          <w:numId w:val="1"/>
        </w:numPr>
        <w:spacing w:after="60"/>
      </w:pPr>
      <w:r>
        <w:t xml:space="preserve">API Gateway Tenant Extraction: YARP intercepts incoming requests, extracts the subdomain slug, validates it against a Redis cache, and injects a verified X-Tenant-Id header into downstream microservice requests.</w:t>
      </w:r>
    </w:p>
    <w:p>
      <w:pPr>
        <w:pStyle w:val="ListParagraph"/>
        <w:numPr>
          <w:ilvl w:val="0"/>
          <w:numId w:val="1"/>
        </w:numPr>
        <w:spacing w:after="60"/>
      </w:pPr>
      <w:r>
        <w:t xml:space="preserve">Super Admin Context Switching: Super Admins operating in admin.samaajconnect.com can switch tenant views dynamically via an X-Tenant-Override-Id header, fully audited server-side on every request that carries it — not only logged once at session start.</w:t>
      </w:r>
    </w:p>
    <w:p>
      <w:pPr>
        <w:pStyle w:val="Heading2"/>
        <w:spacing w:after="120" w:before="260"/>
      </w:pPr>
      <w:r>
        <w:t xml:space="preserve">2.2 Server-Side Tenant Isolation Strategy</w:t>
      </w:r>
    </w:p>
    <w:p>
      <w:pPr>
        <w:spacing w:after="140"/>
      </w:pPr>
      <w:r>
        <w:rPr>
          <w:b w:val="false"/>
          <w:bCs w:val="false"/>
          <w:i w:val="false"/>
          <w:iCs w:val="false"/>
        </w:rPr>
        <w:t xml:space="preserve">Tenant isolation is enforced at the database and application layer using a discriminator-column (shared database) pattern within each service, managed through EF Core global query filters.</w:t>
      </w:r>
    </w:p>
    <w:tbl>
      <w:tblPr>
        <w:tblW w:type="pct" w:w="100%"/>
        <w:tblBorders>
          <w:top w:val="single" w:color="D9DEE7" w:sz="4"/>
          <w:left w:val="single" w:color="D9DEE7" w:sz="4"/>
          <w:bottom w:val="single" w:color="D9DEE7" w:sz="4"/>
          <w:right w:val="single" w:color="D9DEE7" w:sz="4"/>
          <w:insideH w:val="none"/>
          <w:insideV w:val="none"/>
        </w:tblBorders>
      </w:tblPr>
      <w:tblGrid>
        <w:gridCol w:w="100"/>
      </w:tblGrid>
      <w:tr>
        <w:tc>
          <w:tcPr>
            <w:tcW w:type="pct" w:w="100%"/>
            <w:shd w:fill="F4F2FE" w:val="clear"/>
            <w:tcMar>
              <w:top w:type="dxa" w:w="160"/>
              <w:left w:type="dxa" w:w="200"/>
              <w:bottom w:type="dxa" w:w="160"/>
              <w:right w:type="dxa" w:w="200"/>
            </w:tcMar>
          </w:tcPr>
          <w:p>
            <w:pPr>
              <w:spacing w:after="60"/>
            </w:pPr>
            <w:r>
              <w:rPr>
                <w:b/>
                <w:bCs/>
                <w:sz w:val="20"/>
                <w:szCs w:val="20"/>
              </w:rPr>
              <w:t xml:space="preserve">SECURITY GUARANTEE</w:t>
            </w:r>
          </w:p>
          <w:p>
            <w:r>
              <w:rPr>
                <w:sz w:val="20"/>
                <w:szCs w:val="20"/>
              </w:rPr>
              <w:t xml:space="preserve">Every tenant-owned entity implements an ITenantScopedEntity contract (Guid TenantId). The DbContext automatically applies query filters (HasQueryFilter) on all read operations. Every write/update action additionally verifies entity ownership against the request's TenantId context, preventing Insecure Direct Object Reference (IDOR) vulnerabilities.</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This is a different axis from service decomposition (§5) and the two are easy to conflate when writing code review checklists — worth stating explicitly in onboarding material: tenant isolation is shared-database-with-discriminator-column WITHIN a service; service decomposition is database-per-service ACROSS services. A single Samaaj's data lives across all ten service databases simultaneously, not in one consolidated tenant database.</w:t>
            </w:r>
          </w:p>
        </w:tc>
      </w:tr>
    </w:tbl>
    <w:p>
      <w:pPr>
        <w:pStyle w:val="Heading1"/>
        <w:spacing w:after="160" w:before="320"/>
      </w:pPr>
      <w:r>
        <w:t xml:space="preserve">3. Technology Stack Specification</w:t>
      </w:r>
    </w:p>
    <w:tbl>
      <w:tblPr>
        <w:tblW w:type="pct" w:w="100%"/>
        <w:tblBorders>
          <w:top w:val="single" w:color="D9DEE7" w:sz="2"/>
          <w:left w:val="single" w:color="D9DEE7" w:sz="2"/>
          <w:bottom w:val="single" w:color="D9DEE7" w:sz="2"/>
          <w:right w:val="single" w:color="D9DEE7" w:sz="2"/>
          <w:insideH w:val="single" w:color="D9DEE7" w:sz="2"/>
          <w:insideV w:val="single" w:color="D9DEE7" w:sz="2"/>
        </w:tblBorders>
      </w:tblPr>
      <w:tblGrid>
        <w:gridCol w:w="100"/>
        <w:gridCol w:w="100"/>
        <w:gridCol w:w="100"/>
      </w:tblGrid>
      <w:tr>
        <w:trPr>
          <w:tblHeader/>
        </w:trPr>
        <w:tc>
          <w:tcPr>
            <w:tcW w:type="pct" w:w="26%"/>
            <w:shd w:fill="F1F2F6" w:val="clear"/>
            <w:tcMar>
              <w:top w:type="dxa" w:w="100"/>
              <w:left w:type="dxa" w:w="120"/>
              <w:bottom w:type="dxa" w:w="100"/>
              <w:right w:type="dxa" w:w="120"/>
            </w:tcMar>
          </w:tcPr>
          <w:p>
            <w:r>
              <w:rPr>
                <w:b/>
                <w:bCs/>
                <w:sz w:val="18"/>
                <w:szCs w:val="18"/>
              </w:rPr>
              <w:t xml:space="preserve">Layer / Component</w:t>
            </w:r>
          </w:p>
        </w:tc>
        <w:tc>
          <w:tcPr>
            <w:tcW w:type="pct" w:w="28%"/>
            <w:shd w:fill="F1F2F6" w:val="clear"/>
            <w:tcMar>
              <w:top w:type="dxa" w:w="100"/>
              <w:left w:type="dxa" w:w="120"/>
              <w:bottom w:type="dxa" w:w="100"/>
              <w:right w:type="dxa" w:w="120"/>
            </w:tcMar>
          </w:tcPr>
          <w:p>
            <w:r>
              <w:rPr>
                <w:b/>
                <w:bCs/>
                <w:sz w:val="18"/>
                <w:szCs w:val="18"/>
              </w:rPr>
              <w:t xml:space="preserve">Technology</w:t>
            </w:r>
          </w:p>
        </w:tc>
        <w:tc>
          <w:tcPr>
            <w:tcW w:type="pct" w:w="46%"/>
            <w:shd w:fill="F1F2F6" w:val="clear"/>
            <w:tcMar>
              <w:top w:type="dxa" w:w="100"/>
              <w:left w:type="dxa" w:w="120"/>
              <w:bottom w:type="dxa" w:w="100"/>
              <w:right w:type="dxa" w:w="120"/>
            </w:tcMar>
          </w:tcPr>
          <w:p>
            <w:r>
              <w:rPr>
                <w:b/>
                <w:bCs/>
                <w:sz w:val="18"/>
                <w:szCs w:val="18"/>
              </w:rPr>
              <w:t xml:space="preserve">Purpose</w:t>
            </w:r>
          </w:p>
        </w:tc>
      </w:tr>
      <w:tr>
        <w:tc>
          <w:tcPr>
            <w:tcW w:type="pct" w:w="26%"/>
            <w:tcMar>
              <w:top w:type="dxa" w:w="90"/>
              <w:left w:type="dxa" w:w="120"/>
              <w:bottom w:type="dxa" w:w="90"/>
              <w:right w:type="dxa" w:w="120"/>
            </w:tcMar>
          </w:tcPr>
          <w:p>
            <w:r>
              <w:rPr>
                <w:sz w:val="18"/>
                <w:szCs w:val="18"/>
              </w:rPr>
              <w:t xml:space="preserve">Frontend Framework</w:t>
            </w:r>
          </w:p>
        </w:tc>
        <w:tc>
          <w:tcPr>
            <w:tcW w:type="pct" w:w="28%"/>
            <w:tcMar>
              <w:top w:type="dxa" w:w="90"/>
              <w:left w:type="dxa" w:w="120"/>
              <w:bottom w:type="dxa" w:w="90"/>
              <w:right w:type="dxa" w:w="120"/>
            </w:tcMar>
          </w:tcPr>
          <w:p>
            <w:r>
              <w:rPr>
                <w:sz w:val="18"/>
                <w:szCs w:val="18"/>
              </w:rPr>
              <w:t xml:space="preserve">Angular v18+</w:t>
            </w:r>
          </w:p>
        </w:tc>
        <w:tc>
          <w:tcPr>
            <w:tcW w:type="pct" w:w="46%"/>
            <w:tcMar>
              <w:top w:type="dxa" w:w="90"/>
              <w:left w:type="dxa" w:w="120"/>
              <w:bottom w:type="dxa" w:w="90"/>
              <w:right w:type="dxa" w:w="120"/>
            </w:tcMar>
          </w:tcPr>
          <w:p>
            <w:r>
              <w:rPr>
                <w:sz w:val="18"/>
                <w:szCs w:val="18"/>
              </w:rPr>
              <w:t xml:space="preserve">Standalone components, Signals, Reactive Forms, SSR for the member portal.</w:t>
            </w:r>
          </w:p>
        </w:tc>
      </w:tr>
      <w:tr>
        <w:tc>
          <w:tcPr>
            <w:tcW w:type="pct" w:w="26%"/>
            <w:tcMar>
              <w:top w:type="dxa" w:w="90"/>
              <w:left w:type="dxa" w:w="120"/>
              <w:bottom w:type="dxa" w:w="90"/>
              <w:right w:type="dxa" w:w="120"/>
            </w:tcMar>
          </w:tcPr>
          <w:p>
            <w:r>
              <w:rPr>
                <w:sz w:val="18"/>
                <w:szCs w:val="18"/>
              </w:rPr>
              <w:t xml:space="preserve">State Management</w:t>
            </w:r>
          </w:p>
        </w:tc>
        <w:tc>
          <w:tcPr>
            <w:tcW w:type="pct" w:w="28%"/>
            <w:tcMar>
              <w:top w:type="dxa" w:w="90"/>
              <w:left w:type="dxa" w:w="120"/>
              <w:bottom w:type="dxa" w:w="90"/>
              <w:right w:type="dxa" w:w="120"/>
            </w:tcMar>
          </w:tcPr>
          <w:p>
            <w:r>
              <w:rPr>
                <w:sz w:val="18"/>
                <w:szCs w:val="18"/>
              </w:rPr>
              <w:t xml:space="preserve">Signal Store / NgRx</w:t>
            </w:r>
          </w:p>
        </w:tc>
        <w:tc>
          <w:tcPr>
            <w:tcW w:type="pct" w:w="46%"/>
            <w:tcMar>
              <w:top w:type="dxa" w:w="90"/>
              <w:left w:type="dxa" w:w="120"/>
              <w:bottom w:type="dxa" w:w="90"/>
              <w:right w:type="dxa" w:w="120"/>
            </w:tcMar>
          </w:tcPr>
          <w:p>
            <w:r>
              <w:rPr>
                <w:sz w:val="18"/>
                <w:szCs w:val="18"/>
              </w:rPr>
              <w:t xml:space="preserve">Predictable local and global state, synchronized with Signals.</w:t>
            </w:r>
          </w:p>
        </w:tc>
      </w:tr>
      <w:tr>
        <w:tc>
          <w:tcPr>
            <w:tcW w:type="pct" w:w="26%"/>
            <w:tcMar>
              <w:top w:type="dxa" w:w="90"/>
              <w:left w:type="dxa" w:w="120"/>
              <w:bottom w:type="dxa" w:w="90"/>
              <w:right w:type="dxa" w:w="120"/>
            </w:tcMar>
          </w:tcPr>
          <w:p>
            <w:r>
              <w:rPr>
                <w:sz w:val="18"/>
                <w:szCs w:val="18"/>
              </w:rPr>
              <w:t xml:space="preserve">API Gateway</w:t>
            </w:r>
          </w:p>
        </w:tc>
        <w:tc>
          <w:tcPr>
            <w:tcW w:type="pct" w:w="28%"/>
            <w:tcMar>
              <w:top w:type="dxa" w:w="90"/>
              <w:left w:type="dxa" w:w="120"/>
              <w:bottom w:type="dxa" w:w="90"/>
              <w:right w:type="dxa" w:w="120"/>
            </w:tcMar>
          </w:tcPr>
          <w:p>
            <w:r>
              <w:rPr>
                <w:sz w:val="18"/>
                <w:szCs w:val="18"/>
              </w:rPr>
              <w:t xml:space="preserve">YARP (.NET 8/9)</w:t>
            </w:r>
          </w:p>
        </w:tc>
        <w:tc>
          <w:tcPr>
            <w:tcW w:type="pct" w:w="46%"/>
            <w:tcMar>
              <w:top w:type="dxa" w:w="90"/>
              <w:left w:type="dxa" w:w="120"/>
              <w:bottom w:type="dxa" w:w="90"/>
              <w:right w:type="dxa" w:w="120"/>
            </w:tcMar>
          </w:tcPr>
          <w:p>
            <w:r>
              <w:rPr>
                <w:sz w:val="18"/>
                <w:szCs w:val="18"/>
              </w:rPr>
              <w:t xml:space="preserve">Host-based dynamic tenant routing, rate limiting, JWT validation, module feature-flag gate.</w:t>
            </w:r>
          </w:p>
        </w:tc>
      </w:tr>
      <w:tr>
        <w:tc>
          <w:tcPr>
            <w:tcW w:type="pct" w:w="26%"/>
            <w:tcMar>
              <w:top w:type="dxa" w:w="90"/>
              <w:left w:type="dxa" w:w="120"/>
              <w:bottom w:type="dxa" w:w="90"/>
              <w:right w:type="dxa" w:w="120"/>
            </w:tcMar>
          </w:tcPr>
          <w:p>
            <w:r>
              <w:rPr>
                <w:sz w:val="18"/>
                <w:szCs w:val="18"/>
              </w:rPr>
              <w:t xml:space="preserve">Backend Microservices</w:t>
            </w:r>
          </w:p>
        </w:tc>
        <w:tc>
          <w:tcPr>
            <w:tcW w:type="pct" w:w="28%"/>
            <w:tcMar>
              <w:top w:type="dxa" w:w="90"/>
              <w:left w:type="dxa" w:w="120"/>
              <w:bottom w:type="dxa" w:w="90"/>
              <w:right w:type="dxa" w:w="120"/>
            </w:tcMar>
          </w:tcPr>
          <w:p>
            <w:r>
              <w:rPr>
                <w:sz w:val="18"/>
                <w:szCs w:val="18"/>
              </w:rPr>
              <w:t xml:space="preserve">.NET 8/9 Minimal API</w:t>
            </w:r>
          </w:p>
        </w:tc>
        <w:tc>
          <w:tcPr>
            <w:tcW w:type="pct" w:w="46%"/>
            <w:tcMar>
              <w:top w:type="dxa" w:w="90"/>
              <w:left w:type="dxa" w:w="120"/>
              <w:bottom w:type="dxa" w:w="90"/>
              <w:right w:type="dxa" w:w="120"/>
            </w:tcMar>
          </w:tcPr>
          <w:p>
            <w:r>
              <w:rPr>
                <w:sz w:val="18"/>
                <w:szCs w:val="18"/>
              </w:rPr>
              <w:t xml:space="preserve">Clean Architecture services implementing CQRS via MediatR.</w:t>
            </w:r>
          </w:p>
        </w:tc>
      </w:tr>
      <w:tr>
        <w:tc>
          <w:tcPr>
            <w:tcW w:type="pct" w:w="26%"/>
            <w:tcMar>
              <w:top w:type="dxa" w:w="90"/>
              <w:left w:type="dxa" w:w="120"/>
              <w:bottom w:type="dxa" w:w="90"/>
              <w:right w:type="dxa" w:w="120"/>
            </w:tcMar>
          </w:tcPr>
          <w:p>
            <w:r>
              <w:rPr>
                <w:sz w:val="18"/>
                <w:szCs w:val="18"/>
              </w:rPr>
              <w:t xml:space="preserve">Message Bus / Events</w:t>
            </w:r>
          </w:p>
        </w:tc>
        <w:tc>
          <w:tcPr>
            <w:tcW w:type="pct" w:w="28%"/>
            <w:tcMar>
              <w:top w:type="dxa" w:w="90"/>
              <w:left w:type="dxa" w:w="120"/>
              <w:bottom w:type="dxa" w:w="90"/>
              <w:right w:type="dxa" w:w="120"/>
            </w:tcMar>
          </w:tcPr>
          <w:p>
            <w:r>
              <w:rPr>
                <w:sz w:val="18"/>
                <w:szCs w:val="18"/>
              </w:rPr>
              <w:t xml:space="preserve">Kafka (via Outbox pattern)</w:t>
            </w:r>
          </w:p>
        </w:tc>
        <w:tc>
          <w:tcPr>
            <w:tcW w:type="pct" w:w="46%"/>
            <w:tcMar>
              <w:top w:type="dxa" w:w="90"/>
              <w:left w:type="dxa" w:w="120"/>
              <w:bottom w:type="dxa" w:w="90"/>
              <w:right w:type="dxa" w:w="120"/>
            </w:tcMar>
          </w:tcPr>
          <w:p>
            <w:r>
              <w:rPr>
                <w:sz w:val="18"/>
                <w:szCs w:val="18"/>
              </w:rPr>
              <w:t xml:space="preserve">Distributed eventing for async tasks &amp; domain events — see §4 for the correction to the original MassTransit/RabbitMQ framing.</w:t>
            </w:r>
          </w:p>
        </w:tc>
      </w:tr>
      <w:tr>
        <w:tc>
          <w:tcPr>
            <w:tcW w:type="pct" w:w="26%"/>
            <w:tcMar>
              <w:top w:type="dxa" w:w="90"/>
              <w:left w:type="dxa" w:w="120"/>
              <w:bottom w:type="dxa" w:w="90"/>
              <w:right w:type="dxa" w:w="120"/>
            </w:tcMar>
          </w:tcPr>
          <w:p>
            <w:r>
              <w:rPr>
                <w:sz w:val="18"/>
                <w:szCs w:val="18"/>
              </w:rPr>
              <w:t xml:space="preserve">Data &amp; Caching</w:t>
            </w:r>
          </w:p>
        </w:tc>
        <w:tc>
          <w:tcPr>
            <w:tcW w:type="pct" w:w="28%"/>
            <w:tcMar>
              <w:top w:type="dxa" w:w="90"/>
              <w:left w:type="dxa" w:w="120"/>
              <w:bottom w:type="dxa" w:w="90"/>
              <w:right w:type="dxa" w:w="120"/>
            </w:tcMar>
          </w:tcPr>
          <w:p>
            <w:r>
              <w:rPr>
                <w:sz w:val="18"/>
                <w:szCs w:val="18"/>
              </w:rPr>
              <w:t xml:space="preserve">PostgreSQL / Redis</w:t>
            </w:r>
          </w:p>
        </w:tc>
        <w:tc>
          <w:tcPr>
            <w:tcW w:type="pct" w:w="46%"/>
            <w:tcMar>
              <w:top w:type="dxa" w:w="90"/>
              <w:left w:type="dxa" w:w="120"/>
              <w:bottom w:type="dxa" w:w="90"/>
              <w:right w:type="dxa" w:w="120"/>
            </w:tcMar>
          </w:tcPr>
          <w:p>
            <w:r>
              <w:rPr>
                <w:sz w:val="18"/>
                <w:szCs w:val="18"/>
              </w:rPr>
              <w:t xml:space="preserve">One Postgres logical database per service; Redis for voting locks &amp; session/tenant cache.</w:t>
            </w:r>
          </w:p>
        </w:tc>
      </w:tr>
    </w:tbl>
    <w:p>
      <w:pPr>
        <w:pStyle w:val="Heading1"/>
        <w:spacing w:after="160" w:before="320"/>
      </w:pPr>
      <w:r>
        <w:t xml:space="preserve">4. Eventing: Outbox → Kafka</w:t>
      </w:r>
    </w:p>
    <w:p>
      <w:pPr>
        <w:spacing w:after="140"/>
      </w:pPr>
      <w:r>
        <w:rPr>
          <w:b w:val="false"/>
          <w:bCs w:val="false"/>
          <w:i w:val="false"/>
          <w:iCs w:val="false"/>
        </w:rPr>
        <w:t xml:space="preserve">A service that changes state writes its domain event to an OutboxMessages table in the same transaction as the state change. A background OutboxDispatcher polls unsent rows, publishes them to Kafka, and marks them sent — guaranteeing the event fires if and only if the transaction committed, without a distributed transaction.</w:t>
      </w:r>
    </w:p>
    <w:tbl>
      <w:tblPr>
        <w:tblW w:type="pct" w:w="100%"/>
        <w:tblBorders>
          <w:top w:val="single" w:color="D9DEE7" w:sz="4"/>
          <w:left w:val="single" w:color="D9DEE7" w:sz="4"/>
          <w:bottom w:val="single" w:color="D9DEE7" w:sz="4"/>
          <w:right w:val="single" w:color="D9DEE7" w:sz="4"/>
          <w:insideH w:val="none"/>
          <w:insideV w:val="none"/>
        </w:tblBorders>
      </w:tblPr>
      <w:tblGrid>
        <w:gridCol w:w="100"/>
      </w:tblGrid>
      <w:tr>
        <w:tc>
          <w:tcPr>
            <w:tcW w:type="pct" w:w="100%"/>
            <w:shd w:fill="F4F2FE" w:val="clear"/>
            <w:tcMar>
              <w:top w:type="dxa" w:w="160"/>
              <w:left w:type="dxa" w:w="200"/>
              <w:bottom w:type="dxa" w:w="160"/>
              <w:right w:type="dxa" w:w="200"/>
            </w:tcMar>
          </w:tcPr>
          <w:p>
            <w:pPr>
              <w:spacing w:after="60"/>
            </w:pPr>
            <w:r>
              <w:rPr>
                <w:b/>
                <w:bCs/>
                <w:sz w:val="20"/>
                <w:szCs w:val="20"/>
              </w:rPr>
              <w:t xml:space="preserve">CORRECTION TO THE ORIGINAL ARCHITECTURE DOCUMENT</w:t>
            </w:r>
          </w:p>
          <w:p>
            <w:r>
              <w:rPr>
                <w:sz w:val="20"/>
                <w:szCs w:val="20"/>
              </w:rPr>
              <w:t xml:space="preserve">The original System Architecture Design named RabbitMQ/Kafka via MassTransit as the event bus abstraction. Your platform's existing new-microservice scaffolding tool generates a native OutboxDispatcher + KafkaProducer with no MassTransit dependency. This document follows that existing, working convention as the source of truth, since it's what the scaffolding tool actually produces. If MassTransit is genuinely still intended going forward, that decision should be made once and reflected consistently in both the scaffolding tool and this document — the risk otherwise is two engineers each following whichever one they happened to read first.</w:t>
            </w:r>
          </w:p>
        </w:tc>
      </w:tr>
    </w:tbl>
    <w:p>
      <w:pPr>
        <w:pStyle w:val="Heading1"/>
        <w:spacing w:after="160" w:before="320"/>
      </w:pPr>
      <w:r>
        <w:t xml:space="preserve">5. Microservices Ecosystem &amp; Domain Boundaries</w:t>
      </w:r>
    </w:p>
    <w:p>
      <w:pPr>
        <w:spacing w:after="140"/>
      </w:pPr>
      <w:r>
        <w:rPr>
          <w:b w:val="false"/>
          <w:bCs w:val="false"/>
          <w:i w:val="false"/>
          <w:iCs w:val="false"/>
        </w:rPr>
        <w:t xml:space="preserve">The system is decomposed into ten bounded-context services (nine business-domain services plus one cross-cutting Audit &amp; Notification service), communicating synchronously via REST for queries and asynchronously via Kafka for domain events. Full detail — entities, commands, queries, events, and endpoints — is in the companion SERVICES.md and API-CONTRACTS.md.</w:t>
      </w:r>
    </w:p>
    <w:tbl>
      <w:tblPr>
        <w:tblW w:type="pct" w:w="100%"/>
        <w:tblBorders>
          <w:top w:val="single" w:color="D9DEE7" w:sz="2"/>
          <w:left w:val="single" w:color="D9DEE7" w:sz="2"/>
          <w:bottom w:val="single" w:color="D9DEE7" w:sz="2"/>
          <w:right w:val="single" w:color="D9DEE7" w:sz="2"/>
          <w:insideH w:val="single" w:color="D9DEE7" w:sz="2"/>
          <w:insideV w:val="single" w:color="D9DEE7" w:sz="2"/>
        </w:tblBorders>
      </w:tblPr>
      <w:tblGrid>
        <w:gridCol w:w="100"/>
        <w:gridCol w:w="100"/>
      </w:tblGrid>
      <w:tr>
        <w:trPr>
          <w:tblHeader/>
        </w:trPr>
        <w:tc>
          <w:tcPr>
            <w:tcW w:type="pct" w:w="30%"/>
            <w:shd w:fill="F1F2F6" w:val="clear"/>
            <w:tcMar>
              <w:top w:type="dxa" w:w="100"/>
              <w:left w:type="dxa" w:w="120"/>
              <w:bottom w:type="dxa" w:w="100"/>
              <w:right w:type="dxa" w:w="120"/>
            </w:tcMar>
          </w:tcPr>
          <w:p>
            <w:r>
              <w:rPr>
                <w:b/>
                <w:bCs/>
                <w:sz w:val="18"/>
                <w:szCs w:val="18"/>
              </w:rPr>
              <w:t xml:space="preserve">Service</w:t>
            </w:r>
          </w:p>
        </w:tc>
        <w:tc>
          <w:tcPr>
            <w:tcW w:type="pct" w:w="70%"/>
            <w:shd w:fill="F1F2F6" w:val="clear"/>
            <w:tcMar>
              <w:top w:type="dxa" w:w="100"/>
              <w:left w:type="dxa" w:w="120"/>
              <w:bottom w:type="dxa" w:w="100"/>
              <w:right w:type="dxa" w:w="120"/>
            </w:tcMar>
          </w:tcPr>
          <w:p>
            <w:r>
              <w:rPr>
                <w:b/>
                <w:bCs/>
                <w:sz w:val="18"/>
                <w:szCs w:val="18"/>
              </w:rPr>
              <w:t xml:space="preserve">Responsibility</w:t>
            </w:r>
          </w:p>
        </w:tc>
      </w:tr>
      <w:tr>
        <w:tc>
          <w:tcPr>
            <w:tcW w:type="pct" w:w="30%"/>
            <w:tcMar>
              <w:top w:type="dxa" w:w="90"/>
              <w:left w:type="dxa" w:w="120"/>
              <w:bottom w:type="dxa" w:w="90"/>
              <w:right w:type="dxa" w:w="120"/>
            </w:tcMar>
          </w:tcPr>
          <w:p>
            <w:r>
              <w:rPr>
                <w:sz w:val="18"/>
                <w:szCs w:val="18"/>
              </w:rPr>
              <w:t xml:space="preserve">Identity &amp; Tenant</w:t>
            </w:r>
          </w:p>
        </w:tc>
        <w:tc>
          <w:tcPr>
            <w:tcW w:type="pct" w:w="70%"/>
            <w:tcMar>
              <w:top w:type="dxa" w:w="90"/>
              <w:left w:type="dxa" w:w="120"/>
              <w:bottom w:type="dxa" w:w="90"/>
              <w:right w:type="dxa" w:w="120"/>
            </w:tcMar>
          </w:tcPr>
          <w:p>
            <w:r>
              <w:rPr>
                <w:sz w:val="18"/>
                <w:szCs w:val="18"/>
              </w:rPr>
              <w:t xml:space="preserve">Tenant onboarding, subdomain resolution, JWT issuance, roles/permissions, member registration and login.</w:t>
            </w:r>
          </w:p>
        </w:tc>
      </w:tr>
      <w:tr>
        <w:tc>
          <w:tcPr>
            <w:tcW w:type="pct" w:w="30%"/>
            <w:tcMar>
              <w:top w:type="dxa" w:w="90"/>
              <w:left w:type="dxa" w:w="120"/>
              <w:bottom w:type="dxa" w:w="90"/>
              <w:right w:type="dxa" w:w="120"/>
            </w:tcMar>
          </w:tcPr>
          <w:p>
            <w:r>
              <w:rPr>
                <w:sz w:val="18"/>
                <w:szCs w:val="18"/>
              </w:rPr>
              <w:t xml:space="preserve">Member &amp; Family</w:t>
            </w:r>
          </w:p>
        </w:tc>
        <w:tc>
          <w:tcPr>
            <w:tcW w:type="pct" w:w="70%"/>
            <w:tcMar>
              <w:top w:type="dxa" w:w="90"/>
              <w:left w:type="dxa" w:w="120"/>
              <w:bottom w:type="dxa" w:w="90"/>
              <w:right w:type="dxa" w:w="120"/>
            </w:tcMar>
          </w:tcPr>
          <w:p>
            <w:r>
              <w:rPr>
                <w:sz w:val="18"/>
                <w:szCs w:val="18"/>
              </w:rPr>
              <w:t xml:space="preserve">Member profiles, tenant directory, family groupings, child profiles, adult-child (&gt;18) account conversion.</w:t>
            </w:r>
          </w:p>
        </w:tc>
      </w:tr>
      <w:tr>
        <w:tc>
          <w:tcPr>
            <w:tcW w:type="pct" w:w="30%"/>
            <w:tcMar>
              <w:top w:type="dxa" w:w="90"/>
              <w:left w:type="dxa" w:w="120"/>
              <w:bottom w:type="dxa" w:w="90"/>
              <w:right w:type="dxa" w:w="120"/>
            </w:tcMar>
          </w:tcPr>
          <w:p>
            <w:r>
              <w:rPr>
                <w:sz w:val="18"/>
                <w:szCs w:val="18"/>
              </w:rPr>
              <w:t xml:space="preserve">Timeline</w:t>
            </w:r>
          </w:p>
        </w:tc>
        <w:tc>
          <w:tcPr>
            <w:tcW w:type="pct" w:w="70%"/>
            <w:tcMar>
              <w:top w:type="dxa" w:w="90"/>
              <w:left w:type="dxa" w:w="120"/>
              <w:bottom w:type="dxa" w:w="90"/>
              <w:right w:type="dxa" w:w="120"/>
            </w:tcMar>
          </w:tcPr>
          <w:p>
            <w:r>
              <w:rPr>
                <w:sz w:val="18"/>
                <w:szCs w:val="18"/>
              </w:rPr>
              <w:t xml:space="preserve">Member posts, moderation queue, announcements.</w:t>
            </w:r>
          </w:p>
        </w:tc>
      </w:tr>
      <w:tr>
        <w:tc>
          <w:tcPr>
            <w:tcW w:type="pct" w:w="30%"/>
            <w:tcMar>
              <w:top w:type="dxa" w:w="90"/>
              <w:left w:type="dxa" w:w="120"/>
              <w:bottom w:type="dxa" w:w="90"/>
              <w:right w:type="dxa" w:w="120"/>
            </w:tcMar>
          </w:tcPr>
          <w:p>
            <w:r>
              <w:rPr>
                <w:sz w:val="18"/>
                <w:szCs w:val="18"/>
              </w:rPr>
              <w:t xml:space="preserve">Volunteer Groups</w:t>
            </w:r>
          </w:p>
        </w:tc>
        <w:tc>
          <w:tcPr>
            <w:tcW w:type="pct" w:w="70%"/>
            <w:tcMar>
              <w:top w:type="dxa" w:w="90"/>
              <w:left w:type="dxa" w:w="120"/>
              <w:bottom w:type="dxa" w:w="90"/>
              <w:right w:type="dxa" w:w="120"/>
            </w:tcMar>
          </w:tcPr>
          <w:p>
            <w:r>
              <w:rPr>
                <w:sz w:val="18"/>
                <w:szCs w:val="18"/>
              </w:rPr>
              <w:t xml:space="preserve">Groups, membership applications, role/position assignment.</w:t>
            </w:r>
          </w:p>
        </w:tc>
      </w:tr>
      <w:tr>
        <w:tc>
          <w:tcPr>
            <w:tcW w:type="pct" w:w="30%"/>
            <w:tcMar>
              <w:top w:type="dxa" w:w="90"/>
              <w:left w:type="dxa" w:w="120"/>
              <w:bottom w:type="dxa" w:w="90"/>
              <w:right w:type="dxa" w:w="120"/>
            </w:tcMar>
          </w:tcPr>
          <w:p>
            <w:r>
              <w:rPr>
                <w:sz w:val="18"/>
                <w:szCs w:val="18"/>
              </w:rPr>
              <w:t xml:space="preserve">Events</w:t>
            </w:r>
          </w:p>
        </w:tc>
        <w:tc>
          <w:tcPr>
            <w:tcW w:type="pct" w:w="70%"/>
            <w:tcMar>
              <w:top w:type="dxa" w:w="90"/>
              <w:left w:type="dxa" w:w="120"/>
              <w:bottom w:type="dxa" w:w="90"/>
              <w:right w:type="dxa" w:w="120"/>
            </w:tcMar>
          </w:tcPr>
          <w:p>
            <w:r>
              <w:rPr>
                <w:sz w:val="18"/>
                <w:szCs w:val="18"/>
              </w:rPr>
              <w:t xml:space="preserve">Event creation/publication, RSVP/registration, capacity and waitlist.</w:t>
            </w:r>
          </w:p>
        </w:tc>
      </w:tr>
      <w:tr>
        <w:tc>
          <w:tcPr>
            <w:tcW w:type="pct" w:w="30%"/>
            <w:tcMar>
              <w:top w:type="dxa" w:w="90"/>
              <w:left w:type="dxa" w:w="120"/>
              <w:bottom w:type="dxa" w:w="90"/>
              <w:right w:type="dxa" w:w="120"/>
            </w:tcMar>
          </w:tcPr>
          <w:p>
            <w:r>
              <w:rPr>
                <w:sz w:val="18"/>
                <w:szCs w:val="18"/>
              </w:rPr>
              <w:t xml:space="preserve">Social Issues</w:t>
            </w:r>
          </w:p>
        </w:tc>
        <w:tc>
          <w:tcPr>
            <w:tcW w:type="pct" w:w="70%"/>
            <w:tcMar>
              <w:top w:type="dxa" w:w="90"/>
              <w:left w:type="dxa" w:w="120"/>
              <w:bottom w:type="dxa" w:w="90"/>
              <w:right w:type="dxa" w:w="120"/>
            </w:tcMar>
          </w:tcPr>
          <w:p>
            <w:r>
              <w:rPr>
                <w:sz w:val="18"/>
                <w:szCs w:val="18"/>
              </w:rPr>
              <w:t xml:space="preserve">Submission, approval workflow, publication, status history.</w:t>
            </w:r>
          </w:p>
        </w:tc>
      </w:tr>
      <w:tr>
        <w:tc>
          <w:tcPr>
            <w:tcW w:type="pct" w:w="30%"/>
            <w:tcMar>
              <w:top w:type="dxa" w:w="90"/>
              <w:left w:type="dxa" w:w="120"/>
              <w:bottom w:type="dxa" w:w="90"/>
              <w:right w:type="dxa" w:w="120"/>
            </w:tcMar>
          </w:tcPr>
          <w:p>
            <w:r>
              <w:rPr>
                <w:sz w:val="18"/>
                <w:szCs w:val="18"/>
              </w:rPr>
              <w:t xml:space="preserve">Celebrity Voting</w:t>
            </w:r>
          </w:p>
        </w:tc>
        <w:tc>
          <w:tcPr>
            <w:tcW w:type="pct" w:w="70%"/>
            <w:tcMar>
              <w:top w:type="dxa" w:w="90"/>
              <w:left w:type="dxa" w:w="120"/>
              <w:bottom w:type="dxa" w:w="90"/>
              <w:right w:type="dxa" w:w="120"/>
            </w:tcMar>
          </w:tcPr>
          <w:p>
            <w:r>
              <w:rPr>
                <w:sz w:val="18"/>
                <w:szCs w:val="18"/>
              </w:rPr>
              <w:t xml:space="preserve">Campaign configuration, duplicate-safe voting, Top 10 tallying and publication.</w:t>
            </w:r>
          </w:p>
        </w:tc>
      </w:tr>
      <w:tr>
        <w:tc>
          <w:tcPr>
            <w:tcW w:type="pct" w:w="30%"/>
            <w:tcMar>
              <w:top w:type="dxa" w:w="90"/>
              <w:left w:type="dxa" w:w="120"/>
              <w:bottom w:type="dxa" w:w="90"/>
              <w:right w:type="dxa" w:w="120"/>
            </w:tcMar>
          </w:tcPr>
          <w:p>
            <w:r>
              <w:rPr>
                <w:sz w:val="18"/>
                <w:szCs w:val="18"/>
              </w:rPr>
              <w:t xml:space="preserve">Jain Pathshala</w:t>
            </w:r>
          </w:p>
        </w:tc>
        <w:tc>
          <w:tcPr>
            <w:tcW w:type="pct" w:w="70%"/>
            <w:tcMar>
              <w:top w:type="dxa" w:w="90"/>
              <w:left w:type="dxa" w:w="120"/>
              <w:bottom w:type="dxa" w:w="90"/>
              <w:right w:type="dxa" w:w="120"/>
            </w:tcMar>
          </w:tcPr>
          <w:p>
            <w:r>
              <w:rPr>
                <w:sz w:val="18"/>
                <w:szCs w:val="18"/>
              </w:rPr>
              <w:t xml:space="preserve">Super Admin master registry, enrollment, teacher/student assignments, schedules, attendance, exams, progress.</w:t>
            </w:r>
          </w:p>
        </w:tc>
      </w:tr>
      <w:tr>
        <w:tc>
          <w:tcPr>
            <w:tcW w:type="pct" w:w="30%"/>
            <w:tcMar>
              <w:top w:type="dxa" w:w="90"/>
              <w:left w:type="dxa" w:w="120"/>
              <w:bottom w:type="dxa" w:w="90"/>
              <w:right w:type="dxa" w:w="120"/>
            </w:tcMar>
          </w:tcPr>
          <w:p>
            <w:r>
              <w:rPr>
                <w:sz w:val="18"/>
                <w:szCs w:val="18"/>
              </w:rPr>
              <w:t xml:space="preserve">Auctions / Boli</w:t>
            </w:r>
          </w:p>
        </w:tc>
        <w:tc>
          <w:tcPr>
            <w:tcW w:type="pct" w:w="70%"/>
            <w:tcMar>
              <w:top w:type="dxa" w:w="90"/>
              <w:left w:type="dxa" w:w="120"/>
              <w:bottom w:type="dxa" w:w="90"/>
              <w:right w:type="dxa" w:w="120"/>
            </w:tcMar>
          </w:tcPr>
          <w:p>
            <w:r>
              <w:rPr>
                <w:sz w:val="18"/>
                <w:szCs w:val="18"/>
              </w:rPr>
              <w:t xml:space="preserve">Occasion and Boli management, bid validation, winner determination, published (locked) results.</w:t>
            </w:r>
          </w:p>
        </w:tc>
      </w:tr>
      <w:tr>
        <w:tc>
          <w:tcPr>
            <w:tcW w:type="pct" w:w="30%"/>
            <w:tcMar>
              <w:top w:type="dxa" w:w="90"/>
              <w:left w:type="dxa" w:w="120"/>
              <w:bottom w:type="dxa" w:w="90"/>
              <w:right w:type="dxa" w:w="120"/>
            </w:tcMar>
          </w:tcPr>
          <w:p>
            <w:r>
              <w:rPr>
                <w:sz w:val="18"/>
                <w:szCs w:val="18"/>
              </w:rPr>
              <w:t xml:space="preserve">Audit &amp; Notification (cross-cutting)</w:t>
            </w:r>
          </w:p>
        </w:tc>
        <w:tc>
          <w:tcPr>
            <w:tcW w:type="pct" w:w="70%"/>
            <w:tcMar>
              <w:top w:type="dxa" w:w="90"/>
              <w:left w:type="dxa" w:w="120"/>
              <w:bottom w:type="dxa" w:w="90"/>
              <w:right w:type="dxa" w:w="120"/>
            </w:tcMar>
          </w:tcPr>
          <w:p>
            <w:r>
              <w:rPr>
                <w:sz w:val="18"/>
                <w:szCs w:val="18"/>
              </w:rPr>
              <w:t xml:space="preserve">Consumes every domain event across all services; writes the immutable audit trail; sends in-app/email/SMS notifications.</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Scaffold Audit &amp; Notification in Phase 1, not last. Every other service needs an Outbox consumer to publish audit events to from day one — retrofitting audit logging after five services already exist in production is materially more expensive than building it alongside the first service. This is reflected in the updated release roadmap (§7).</w:t>
            </w:r>
          </w:p>
        </w:tc>
      </w:tr>
    </w:tbl>
    <w:p>
      <w:pPr>
        <w:pStyle w:val="Heading1"/>
        <w:spacing w:after="160" w:before="320"/>
      </w:pPr>
      <w:r>
        <w:t xml:space="preserve">6. Security, Authorization &amp; Audit Logging</w:t>
      </w:r>
    </w:p>
    <w:p>
      <w:pPr>
        <w:pStyle w:val="Heading2"/>
        <w:spacing w:after="120" w:before="260"/>
      </w:pPr>
      <w:r>
        <w:t xml:space="preserve">6.1 JWT Token Architecture</w:t>
      </w:r>
    </w:p>
    <w:p>
      <w:pPr>
        <w:spacing w:after="140"/>
      </w:pPr>
      <w:r>
        <w:rPr>
          <w:b w:val="false"/>
          <w:bCs w:val="false"/>
          <w:i w:val="false"/>
          <w:iCs w:val="false"/>
        </w:rPr>
        <w:t xml:space="preserve">Upon login, the Identity &amp; Tenant service issues a signed JWT containing tenant context and permissions.</w:t>
      </w:r>
    </w:p>
    <w:tbl>
      <w:tblPr>
        <w:tblW w:type="pct" w:w="100%"/>
        <w:tblBorders>
          <w:top w:val="single" w:color="D9DEE7" w:sz="4"/>
          <w:left w:val="single" w:color="D9DEE7" w:sz="4"/>
          <w:bottom w:val="single" w:color="D9DEE7" w:sz="4"/>
          <w:right w:val="single" w:color="D9DEE7" w:sz="4"/>
          <w:insideH w:val="none"/>
          <w:insideV w:val="none"/>
        </w:tblBorders>
      </w:tblPr>
      <w:tblGrid>
        <w:gridCol w:w="100"/>
      </w:tblGrid>
      <w:tr>
        <w:tc>
          <w:tcPr>
            <w:tcW w:type="pct" w:w="100%"/>
            <w:shd w:fill="F4F2FE" w:val="clear"/>
            <w:tcMar>
              <w:top w:type="dxa" w:w="160"/>
              <w:left w:type="dxa" w:w="200"/>
              <w:bottom w:type="dxa" w:w="160"/>
              <w:right w:type="dxa" w:w="200"/>
            </w:tcMar>
          </w:tcPr>
          <w:p>
            <w:pPr>
              <w:spacing w:after="60"/>
            </w:pPr>
            <w:r>
              <w:rPr>
                <w:b/>
                <w:bCs/>
                <w:sz w:val="20"/>
                <w:szCs w:val="20"/>
              </w:rPr>
              <w:t xml:space="preserve">JWT CLAIMS SCHEMA</w:t>
            </w:r>
          </w:p>
          <w:p>
            <w:r>
              <w:rPr>
                <w:sz w:val="20"/>
                <w:szCs w:val="20"/>
              </w:rPr>
              <w:t xml:space="preserve">Subject (UserId), TenantId, SamaajSlug, Roles [e.g., Member, PathshalaTeacher, SamaajAdmin], Permissions [e.g., Pathshala.Attendance.Write, SocialIssues.Approve].</w:t>
            </w:r>
          </w:p>
        </w:tc>
      </w:tr>
    </w:tbl>
    <w:p>
      <w:pPr>
        <w:pStyle w:val="Heading2"/>
        <w:spacing w:after="120" w:before="260"/>
      </w:pPr>
      <w:r>
        <w:t xml:space="preserve">6.2 Multi-Level Authorization Controls</w:t>
      </w:r>
    </w:p>
    <w:p>
      <w:pPr>
        <w:pStyle w:val="ListParagraph"/>
        <w:numPr>
          <w:ilvl w:val="0"/>
          <w:numId w:val="1"/>
        </w:numPr>
        <w:spacing w:after="60"/>
      </w:pPr>
      <w:r>
        <w:t xml:space="preserve">Policy-Based Authorization: endpoints are decorated with explicit .NET policies (e.g., [Authorize(Policy = "TenantScopeRequired")]).</w:t>
      </w:r>
    </w:p>
    <w:p>
      <w:pPr>
        <w:pStyle w:val="ListParagraph"/>
        <w:numPr>
          <w:ilvl w:val="0"/>
          <w:numId w:val="1"/>
        </w:numPr>
        <w:spacing w:after="60"/>
      </w:pPr>
      <w:r>
        <w:t xml:space="preserve">IDOR Protection: queries automatically append TenantId to database conditions to prevent cross-tenant record tampering; write handlers additionally re-validate ownership rather than trusting the query filter alone.</w:t>
      </w:r>
    </w:p>
    <w:p>
      <w:pPr>
        <w:pStyle w:val="ListParagraph"/>
        <w:numPr>
          <w:ilvl w:val="0"/>
          <w:numId w:val="1"/>
        </w:numPr>
        <w:spacing w:after="60"/>
      </w:pPr>
      <w:r>
        <w:t xml:space="preserve">CQRS Pipeline: every command/query runs through five ordered pipeline behaviors — Logging, TenantAuthorization, Validation, Transaction (commands only), and UnhandledException — with TenantAuthorization running before Validation so an unauthorized caller never learns anything about validation rules for data they can't access.</w:t>
      </w:r>
    </w:p>
    <w:p>
      <w:pPr>
        <w:pStyle w:val="Heading2"/>
        <w:spacing w:after="120" w:before="260"/>
      </w:pPr>
      <w:r>
        <w:t xml:space="preserve">6.3 Audit Logging Framework</w:t>
      </w:r>
    </w:p>
    <w:p>
      <w:pPr>
        <w:spacing w:after="140"/>
      </w:pPr>
      <w:r>
        <w:rPr>
          <w:b w:val="false"/>
          <w:bCs w:val="false"/>
          <w:i w:val="false"/>
          <w:iCs w:val="false"/>
        </w:rPr>
        <w:t xml:space="preserve">Critical administrative and member operations publish an AuditEvent to the event bus. The Audit &amp; Notification service records: timestamp, actor ID, actor role, tenant ID, action performed, entity name, entity ID, IP address, and before/after state JSON snapshots. Audit rows are immutable — no update or delete path exists for them.</w:t>
      </w:r>
    </w:p>
    <w:p>
      <w:r>
        <w:br w:type="page"/>
      </w:r>
    </w:p>
    <w:p>
      <w:pPr>
        <w:pStyle w:val="Heading1"/>
        <w:spacing w:after="160" w:before="320"/>
      </w:pPr>
      <w:r>
        <w:t xml:space="preserve">7. Implementation &amp; Release Roadmap</w:t>
      </w:r>
    </w:p>
    <w:p>
      <w:pPr>
        <w:pStyle w:val="ListParagraph"/>
        <w:numPr>
          <w:ilvl w:val="0"/>
          <w:numId w:val="1"/>
        </w:numPr>
        <w:spacing w:after="60"/>
      </w:pPr>
      <w:r>
        <w:t xml:space="preserve">Phase 1 — Core Platform Foundation: Identity &amp; Tenant service, Audit &amp; Notification service (moved up from the original plan — see §5), Super Admin panel, member registration/login, dynamic subdomain router, Profile, Family &amp; Children management.</w:t>
      </w:r>
    </w:p>
    <w:p>
      <w:pPr>
        <w:pStyle w:val="ListParagraph"/>
        <w:numPr>
          <w:ilvl w:val="0"/>
          <w:numId w:val="1"/>
        </w:numPr>
        <w:spacing w:after="60"/>
      </w:pPr>
      <w:r>
        <w:t xml:space="preserve">Phase 2 — Social &amp; Community Engagement: Timeline feed and moderation queue, Volunteer Groups, Events calendar &amp; RSVP with capacity/waitlist, Social Issue multi-step approval workflow.</w:t>
      </w:r>
    </w:p>
    <w:p>
      <w:pPr>
        <w:pStyle w:val="ListParagraph"/>
        <w:numPr>
          <w:ilvl w:val="0"/>
          <w:numId w:val="1"/>
        </w:numPr>
        <w:spacing w:after="60"/>
      </w:pPr>
      <w:r>
        <w:t xml:space="preserve">Phase 3 — Polling &amp; Voting Engine: Celebrity campaign setup, duplicate-safe voting (DB constraint + distributed lock), Top 10 generation and publication.</w:t>
      </w:r>
    </w:p>
    <w:p>
      <w:pPr>
        <w:pStyle w:val="ListParagraph"/>
        <w:numPr>
          <w:ilvl w:val="0"/>
          <w:numId w:val="1"/>
        </w:numPr>
        <w:spacing w:after="60"/>
      </w:pPr>
      <w:r>
        <w:t xml:space="preserve">Phase 4 — Jain Pathshala Ecosystem: master Pathshala management, student enrollment, teacher assignments, attendance tracking, exams, progress reporting.</w:t>
      </w:r>
    </w:p>
    <w:p>
      <w:pPr>
        <w:pStyle w:val="ListParagraph"/>
        <w:numPr>
          <w:ilvl w:val="0"/>
          <w:numId w:val="1"/>
        </w:numPr>
        <w:spacing w:after="60"/>
      </w:pPr>
      <w:r>
        <w:t xml:space="preserve">Phase 5 — Boli/Auction &amp; Platform Hardening: Boli occasions, bid validation, published-results lock, penetration testing, multi-tenant security audit.</w:t>
      </w:r>
    </w:p>
    <w:p>
      <w:pPr>
        <w:spacing w:after="140"/>
      </w:pPr>
      <w:r>
        <w:rPr>
          <w:b w:val="false"/>
          <w:bCs w:val="false"/>
          <w:i w:val="false"/>
          <w:iCs w:val="false"/>
        </w:rPr>
        <w:t xml:space="preserve">Full phase-to-service mapping and scaffolding order is in the companion ROADMAP.md.</w:t>
      </w:r>
    </w:p>
    <w:p>
      <w:pPr>
        <w:pStyle w:val="Heading1"/>
        <w:spacing w:after="160" w:before="320"/>
      </w:pPr>
      <w:r>
        <w:t xml:space="preserve">8. Suggested Additions Beyond the Original Architecture Document</w:t>
      </w:r>
    </w:p>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Observability: OpenTelemetry tracing across gateway → service → Kafka consumer, correlated by a shared correlation ID from the LoggingBehavior. Without this, a slow request spanning three services is very hard to debug after launch.</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Resilience: Polly retry/circuit-breaker policies on any synchronous inter-service call and on the gateway-to-service hop, so one degraded service doesn't cascade into a platform-wide outage.</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API versioning: keep the /v1/ route prefix from day one rather than adding it retroactively after the first breaking change forces the issue.</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Testing strategy: each service's integration test project should run against a real Postgres via Testcontainers (not mocks) for anything touching the Outbox or the tenant query filter — those are the two places a subtle bug is most likely to only show up against a real database.</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Rate limiting specifics: apply concrete limits at the gateway for /login, any OTP endpoint, and the vote-cast endpoint specifically, since campaign-close windows are a predictable traffic spike and a target for abuse.</w:t>
            </w:r>
          </w:p>
        </w:tc>
      </w:tr>
    </w:tbl>
    <w:tbl>
      <w:tblPr>
        <w:tblW w:type="pct" w:w="100%"/>
        <w:tblBorders>
          <w:top w:val="single" w:color="EFD47D" w:sz="4"/>
          <w:left w:val="single" w:color="EFD47D" w:sz="4"/>
          <w:bottom w:val="single" w:color="EFD47D" w:sz="4"/>
          <w:right w:val="single" w:color="EFD47D" w:sz="4"/>
          <w:insideH w:val="none"/>
          <w:insideV w:val="none"/>
        </w:tblBorders>
      </w:tblPr>
      <w:tblGrid>
        <w:gridCol w:w="100"/>
      </w:tblGrid>
      <w:tr>
        <w:tc>
          <w:tcPr>
            <w:tcW w:type="pct" w:w="100%"/>
            <w:shd w:fill="FFF7DB" w:val="clear"/>
            <w:tcMar>
              <w:top w:type="dxa" w:w="160"/>
              <w:left w:type="dxa" w:w="200"/>
              <w:bottom w:type="dxa" w:w="160"/>
              <w:right w:type="dxa" w:w="200"/>
            </w:tcMar>
          </w:tcPr>
          <w:p>
            <w:pPr>
              <w:spacing w:after="60"/>
            </w:pPr>
            <w:r>
              <w:rPr>
                <w:b/>
                <w:bCs/>
                <w:sz w:val="20"/>
                <w:szCs w:val="20"/>
              </w:rPr>
              <w:t xml:space="preserve">💡 SUGGESTED ENHANCEMENT (new — not in the original requirement)</w:t>
            </w:r>
          </w:p>
          <w:p>
            <w:r>
              <w:rPr>
                <w:sz w:val="20"/>
                <w:szCs w:val="20"/>
              </w:rPr>
              <w:t xml:space="preserve">Secrets management: connection strings, JWT signing keys, and third-party notification-provider credentials should come from a managed secrets store (e.g., environment-injected from a vault), never committed alongside service code — worth stating explicitly given how many services and databases this platform has.</w:t>
            </w:r>
          </w:p>
        </w:tc>
      </w:tr>
    </w:tbl>
    <w:p>
      <w:pPr>
        <w:pStyle w:val="Heading1"/>
        <w:spacing w:after="160" w:before="320"/>
      </w:pPr>
      <w:r>
        <w:t xml:space="preserve">9. Frontend Architecture (Angular Monorepo)</w:t>
      </w:r>
    </w:p>
    <w:p>
      <w:pPr>
        <w:spacing w:after="140"/>
      </w:pPr>
      <w:r>
        <w:rPr>
          <w:b w:val="false"/>
          <w:bCs w:val="false"/>
          <w:i w:val="false"/>
          <w:iCs w:val="false"/>
        </w:rPr>
        <w:t xml:space="preserve">The frontend uses an Nx/Angular workspace monorepo to maintain strict code reuse, a shared design system, and clean boundaries between the public and administrative applications.</w:t>
      </w:r>
    </w:p>
    <w:p>
      <w:pPr>
        <w:pStyle w:val="ListParagraph"/>
        <w:numPr>
          <w:ilvl w:val="0"/>
          <w:numId w:val="1"/>
        </w:numPr>
        <w:spacing w:after="60"/>
      </w:pPr>
      <w:r>
        <w:t xml:space="preserve">Monorepo structure: /apps contains member-portal (SSR, for member SEO and social sharing) and admin-portal (SPA for the operational dashboard). /libs contains shared components, UI primitives, and HTTP interceptors.</w:t>
      </w:r>
    </w:p>
    <w:p>
      <w:pPr>
        <w:pStyle w:val="ListParagraph"/>
        <w:numPr>
          <w:ilvl w:val="0"/>
          <w:numId w:val="1"/>
        </w:numPr>
        <w:spacing w:after="60"/>
      </w:pPr>
      <w:r>
        <w:t xml:space="preserve">Tenant Interceptor: an HttpInterceptor captures tenant subdomain context and attaches it to outgoing API requests automatically.</w:t>
      </w:r>
    </w:p>
    <w:p>
      <w:pPr>
        <w:pStyle w:val="ListParagraph"/>
        <w:numPr>
          <w:ilvl w:val="0"/>
          <w:numId w:val="1"/>
        </w:numPr>
        <w:spacing w:after="60"/>
      </w:pPr>
      <w:r>
        <w:t xml:space="preserve">Adult Child Conversion Flow: a dedicated reactive workflow triggered when a child reaches age &gt;18, prompting account creation while preserving existing family ties.</w:t>
      </w:r>
    </w:p>
    <w:p>
      <w:pPr>
        <w:pStyle w:val="ListParagraph"/>
        <w:numPr>
          <w:ilvl w:val="0"/>
          <w:numId w:val="1"/>
        </w:numPr>
        <w:spacing w:after="60"/>
      </w:pPr>
      <w:r>
        <w:t xml:space="preserve">Role-Aware UI Rendering: Angular functional guards and directive-level conditionals hide/show feature modules based on JWT claims (Role, TenantId, Permissions) — a UX convenience only; the backend authorization checks in §6 remain the actual security boundary.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b/>
      <w:bCs/>
      <w:color w:val="6B4EFF"/>
      <w:sz w:val="30"/>
      <w:szCs w:val="30"/>
    </w:rPr>
  </w:style>
  <w:style w:type="paragraph" w:styleId="Heading2">
    <w:name w:val="Heading 2"/>
    <w:basedOn w:val="Normal"/>
    <w:next w:val="Normal"/>
    <w:qFormat/>
    <w:pPr>
      <w:spacing w:after="120" w:before="260"/>
    </w:pPr>
    <w:rPr>
      <w:b/>
      <w:bCs/>
      <w:color w:val="2D3440"/>
      <w:sz w:val="25"/>
      <w:szCs w:val="25"/>
    </w:rPr>
  </w:style>
  <w:style w:type="paragraph" w:styleId="Heading3">
    <w:name w:val="Heading 3"/>
    <w:basedOn w:val="Normal"/>
    <w:next w:val="Normal"/>
    <w:qFormat/>
    <w:pPr>
      <w:spacing w:after="100" w:before="200"/>
    </w:pPr>
    <w:rPr>
      <w:b/>
      <w:bCs/>
      <w:color w:val="2D34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2026-08-28T02:12:34.717Z</dcterms:created>
  <dcterms:modified xsi:type="dcterms:W3CDTF">2026-08-28T02:12:34.717Z</dcterms:modified>
</cp:coreProperties>
</file>

<file path=docProps/custom.xml><?xml version="1.0" encoding="utf-8"?>
<Properties xmlns="http://schemas.openxmlformats.org/officeDocument/2006/custom-properties" xmlns:vt="http://schemas.openxmlformats.org/officeDocument/2006/docPropsVTypes"/>
</file>