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mbria" w:cs="Cambria" w:eastAsia="Cambria" w:hAnsi="Cambria"/>
          <w:b/>
          <w:bCs/>
          <w:color w:val="1E2761"/>
          <w:sz w:val="96"/>
          <w:szCs w:val="96"/>
        </w:rPr>
        <w:t xml:space="preserve">KAVACH</w:t>
      </w:r>
    </w:p>
    <w:p>
      <w:pPr>
        <w:pBdr>
          <w:bottom w:val="single" w:color="B8860B" w:sz="12" w:space="8"/>
        </w:pBdr>
        <w:spacing w:after="60" w:before="120"/>
        <w:jc w:val="center"/>
      </w:pPr>
      <w:r>
        <w:rPr>
          <w:rFonts w:ascii="Cambria" w:cs="Cambria" w:eastAsia="Cambria" w:hAnsi="Cambria"/>
          <w:b/>
          <w:bCs/>
          <w:color w:val="1C7293"/>
          <w:sz w:val="30"/>
          <w:szCs w:val="30"/>
        </w:rPr>
        <w:t xml:space="preserve">A Multilingual, Security-Governed Agentic AI DevOps Platform</w:t>
      </w:r>
    </w:p>
    <w:p>
      <w:pPr>
        <w:spacing w:before="260"/>
        <w:jc w:val="center"/>
      </w:pPr>
      <w:r>
        <w:rPr>
          <w:i/>
          <w:iCs/>
          <w:color w:val="595959"/>
          <w:sz w:val="28"/>
          <w:szCs w:val="28"/>
        </w:rPr>
        <w:t xml:space="preserve">Project Synopsis</w:t>
      </w:r>
    </w:p>
    <w:p>
      <w:pPr>
        <w:spacing w:after="800" w:before="40"/>
        <w:jc w:val="center"/>
      </w:pPr>
      <w:r>
        <w:rPr>
          <w:color w:val="595959"/>
          <w:sz w:val="20"/>
          <w:szCs w:val="20"/>
        </w:rPr>
        <w:t xml:space="preserve">Submitted in partial fulfilment of the requirements of the 7th Semester Major Project (5 Credits)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E2761" w:color="auto" w:val="clear"/>
            <w:tcMar>
              <w:top w:type="dxa" w:w="80"/>
              <w:left w:type="dxa" w:w="120"/>
              <w:bottom w:type="dxa" w:w="80"/>
              <w:right w:type="dxa" w:w="120"/>
            </w:tcMar>
            <w:vAlign w:val="center"/>
          </w:tcPr>
          <w:p>
            <w:r>
              <w:rPr>
                <w:b/>
                <w:bCs/>
                <w:color w:val="FFFFFF"/>
                <w:sz w:val="20"/>
                <w:szCs w:val="20"/>
              </w:rPr>
              <w:t xml:space="preserve">Name</w:t>
            </w:r>
          </w:p>
        </w:tc>
        <w:tc>
          <w:tcPr>
            <w:tcW w:type="dxa" w:w="4675"/>
            <w:shd w:fill="1E2761" w:color="auto" w:val="clear"/>
            <w:tcMar>
              <w:top w:type="dxa" w:w="80"/>
              <w:left w:type="dxa" w:w="120"/>
              <w:bottom w:type="dxa" w:w="80"/>
              <w:right w:type="dxa" w:w="120"/>
            </w:tcMar>
            <w:vAlign w:val="center"/>
          </w:tcPr>
          <w:p>
            <w:r>
              <w:rPr>
                <w:b/>
                <w:bCs/>
                <w:color w:val="FFFFFF"/>
                <w:sz w:val="20"/>
                <w:szCs w:val="20"/>
              </w:rPr>
              <w:t xml:space="preserve">Enrollment Number</w:t>
            </w:r>
          </w:p>
        </w:tc>
      </w:tr>
      <w:tr>
        <w:tc>
          <w:tcPr>
            <w:tcW w:type="dxa" w:w="4675"/>
            <w:shd w:fill="EEF1F8" w:color="auto" w:val="clear"/>
            <w:tcMar>
              <w:top w:type="dxa" w:w="70"/>
              <w:left w:type="dxa" w:w="120"/>
              <w:bottom w:type="dxa" w:w="70"/>
              <w:right w:type="dxa" w:w="120"/>
            </w:tcMar>
            <w:vAlign w:val="center"/>
          </w:tcPr>
          <w:p>
            <w:r>
              <w:rPr>
                <w:sz w:val="20"/>
                <w:szCs w:val="20"/>
              </w:rPr>
              <w:t xml:space="preserve">Dhruv Jain</w:t>
            </w:r>
          </w:p>
        </w:tc>
        <w:tc>
          <w:tcPr>
            <w:tcW w:type="dxa" w:w="4675"/>
            <w:shd w:fill="EEF1F8" w:color="auto" w:val="clear"/>
            <w:tcMar>
              <w:top w:type="dxa" w:w="70"/>
              <w:left w:type="dxa" w:w="120"/>
              <w:bottom w:type="dxa" w:w="70"/>
              <w:right w:type="dxa" w:w="120"/>
            </w:tcMar>
            <w:vAlign w:val="center"/>
          </w:tcPr>
          <w:p>
            <w:r>
              <w:rPr>
                <w:sz w:val="20"/>
                <w:szCs w:val="20"/>
              </w:rPr>
              <w:t xml:space="preserve">230532</w:t>
            </w:r>
          </w:p>
        </w:tc>
      </w:tr>
      <w:tr>
        <w:tc>
          <w:tcPr>
            <w:tcW w:type="dxa" w:w="4675"/>
            <w:tcMar>
              <w:top w:type="dxa" w:w="70"/>
              <w:left w:type="dxa" w:w="120"/>
              <w:bottom w:type="dxa" w:w="70"/>
              <w:right w:type="dxa" w:w="120"/>
            </w:tcMar>
            <w:vAlign w:val="center"/>
          </w:tcPr>
          <w:p>
            <w:r>
              <w:rPr>
                <w:sz w:val="20"/>
                <w:szCs w:val="20"/>
              </w:rPr>
              <w:t xml:space="preserve">Dev Garg</w:t>
            </w:r>
          </w:p>
        </w:tc>
        <w:tc>
          <w:tcPr>
            <w:tcW w:type="dxa" w:w="4675"/>
            <w:tcMar>
              <w:top w:type="dxa" w:w="70"/>
              <w:left w:type="dxa" w:w="120"/>
              <w:bottom w:type="dxa" w:w="70"/>
              <w:right w:type="dxa" w:w="120"/>
            </w:tcMar>
            <w:vAlign w:val="center"/>
          </w:tcPr>
          <w:p>
            <w:r>
              <w:rPr>
                <w:sz w:val="20"/>
                <w:szCs w:val="20"/>
              </w:rPr>
              <w:t xml:space="preserve">230487</w:t>
            </w:r>
          </w:p>
        </w:tc>
      </w:tr>
      <w:tr>
        <w:tc>
          <w:tcPr>
            <w:tcW w:type="dxa" w:w="4675"/>
            <w:shd w:fill="EEF1F8" w:color="auto" w:val="clear"/>
            <w:tcMar>
              <w:top w:type="dxa" w:w="70"/>
              <w:left w:type="dxa" w:w="120"/>
              <w:bottom w:type="dxa" w:w="70"/>
              <w:right w:type="dxa" w:w="120"/>
            </w:tcMar>
            <w:vAlign w:val="center"/>
          </w:tcPr>
          <w:p>
            <w:r>
              <w:rPr>
                <w:sz w:val="20"/>
                <w:szCs w:val="20"/>
              </w:rPr>
              <w:t xml:space="preserve">Ansh Rohilla</w:t>
            </w:r>
          </w:p>
        </w:tc>
        <w:tc>
          <w:tcPr>
            <w:tcW w:type="dxa" w:w="4675"/>
            <w:shd w:fill="EEF1F8" w:color="auto" w:val="clear"/>
            <w:tcMar>
              <w:top w:type="dxa" w:w="70"/>
              <w:left w:type="dxa" w:w="120"/>
              <w:bottom w:type="dxa" w:w="70"/>
              <w:right w:type="dxa" w:w="120"/>
            </w:tcMar>
            <w:vAlign w:val="center"/>
          </w:tcPr>
          <w:p>
            <w:r>
              <w:rPr>
                <w:sz w:val="20"/>
                <w:szCs w:val="20"/>
              </w:rPr>
              <w:t xml:space="preserve">230794</w:t>
            </w:r>
          </w:p>
        </w:tc>
      </w:tr>
      <w:tr>
        <w:tc>
          <w:tcPr>
            <w:tcW w:type="dxa" w:w="4675"/>
            <w:tcMar>
              <w:top w:type="dxa" w:w="70"/>
              <w:left w:type="dxa" w:w="120"/>
              <w:bottom w:type="dxa" w:w="70"/>
              <w:right w:type="dxa" w:w="120"/>
            </w:tcMar>
            <w:vAlign w:val="center"/>
          </w:tcPr>
          <w:p>
            <w:r>
              <w:rPr>
                <w:sz w:val="20"/>
                <w:szCs w:val="20"/>
              </w:rPr>
              <w:t xml:space="preserve">Ansh Adhikari</w:t>
            </w:r>
          </w:p>
        </w:tc>
        <w:tc>
          <w:tcPr>
            <w:tcW w:type="dxa" w:w="4675"/>
            <w:tcMar>
              <w:top w:type="dxa" w:w="70"/>
              <w:left w:type="dxa" w:w="120"/>
              <w:bottom w:type="dxa" w:w="70"/>
              <w:right w:type="dxa" w:w="120"/>
            </w:tcMar>
            <w:vAlign w:val="center"/>
          </w:tcPr>
          <w:p>
            <w:r>
              <w:rPr>
                <w:sz w:val="20"/>
                <w:szCs w:val="20"/>
              </w:rPr>
              <w:t xml:space="preserve">230822</w:t>
            </w:r>
          </w:p>
        </w:tc>
      </w:tr>
    </w:tbl>
    <w:p>
      <w:pPr>
        <w:spacing w:before="900"/>
      </w:pPr>
    </w:p>
    <w:p>
      <w:pPr>
        <w:jc w:val="center"/>
      </w:pPr>
      <w:r>
        <w:rPr>
          <w:b/>
          <w:bCs/>
          <w:color w:val="1E2761"/>
          <w:sz w:val="22"/>
          <w:szCs w:val="22"/>
        </w:rPr>
        <w:t xml:space="preserve">Department of Computer Science &amp; Engineering</w:t>
      </w:r>
    </w:p>
    <w:p>
      <w:pPr>
        <w:spacing w:after="200"/>
        <w:jc w:val="center"/>
      </w:pPr>
      <w:r>
        <w:rPr>
          <w:color w:val="595959"/>
          <w:sz w:val="20"/>
          <w:szCs w:val="20"/>
        </w:rPr>
        <w:t xml:space="preserve">Academic Year 2026 – 27</w:t>
      </w:r>
    </w:p>
    <w:p>
      <w:r>
        <w:br w:type="page"/>
      </w:r>
    </w:p>
    <w:p>
      <w:pPr>
        <w:pStyle w:val="Heading1"/>
        <w:pBdr>
          <w:bottom w:val="single" w:color="1E2761" w:sz="6" w:space="4"/>
        </w:pBdr>
        <w:spacing w:after="180" w:before="360"/>
      </w:pPr>
      <w:r>
        <w:rPr>
          <w:b/>
          <w:bCs/>
          <w:color w:val="1E2761"/>
          <w:sz w:val="30"/>
          <w:szCs w:val="30"/>
        </w:rPr>
        <w:t xml:space="preserve">Abstract</w:t>
      </w:r>
    </w:p>
    <w:p>
      <w:pPr>
        <w:spacing w:after="160" w:line="300"/>
        <w:jc w:val="both"/>
      </w:pPr>
      <w:r>
        <w:rPr>
          <w:sz w:val="22"/>
          <w:szCs w:val="22"/>
        </w:rPr>
        <w:t xml:space="preserve">Organizations across regulated sectors such as banking, insurance, and healthcare are rapidly adopting AI coding agents (e.g. Copilot-style and autonomous code-generation tools) to accelerate software delivery. However, these agents routinely operate directly on live source repositories that may contain sensitive information — customer PII, financial identifiers, and regulated data — with no governance layer to check what is being read, generated, or executed. Kavach is a repository-aware, security-governed agentic AI platform that inserts a policy-enforcement and evidence-grounding layer between a developer's natural-language request and an LLM's code-generation output. The system performs multilingual (English and Hindi/Hinglish code-mixed) PII detection, retrieval-augmented repository understanding, evidence-grounded code generation, action-aware security policy enforcement, dependency-based change-impact analysis, and full auditability of every agent decision. The platform was built and evaluated across five incremental development phases, achieving a perfect PII-detection score (precision, recall and F1 = 1.0) on an internally constructed multilingual test corpus, and validated using 164 automated tests. This report documents the problem motivation, system architecture, phase-wise methodology, technology stack, evaluation results, and the project's real-world applicability, limitations, and future scope.</w:t>
      </w:r>
    </w:p>
    <w:p>
      <w:pPr>
        <w:pStyle w:val="Heading1"/>
        <w:pBdr>
          <w:bottom w:val="single" w:color="1E2761" w:sz="6" w:space="4"/>
        </w:pBdr>
        <w:spacing w:after="180" w:before="360"/>
      </w:pPr>
      <w:r>
        <w:rPr>
          <w:b/>
          <w:bCs/>
          <w:color w:val="1E2761"/>
          <w:sz w:val="30"/>
          <w:szCs w:val="30"/>
        </w:rPr>
        <w:t xml:space="preserve">1. Introduction</w:t>
      </w:r>
    </w:p>
    <w:p>
      <w:pPr>
        <w:spacing w:after="160" w:line="300"/>
        <w:jc w:val="both"/>
      </w:pPr>
      <w:r>
        <w:rPr>
          <w:sz w:val="22"/>
          <w:szCs w:val="22"/>
        </w:rPr>
        <w:t xml:space="preserve">The rise of large language model (LLM) based coding assistants has fundamentally changed how software is written. Tools such as GitHub Copilot, Cursor, and various autonomous “coding agents” can now read an entire codebase, reason about it, and generate or modify code with minimal human supervision. While this dramatically increases developer productivity, it also introduces a new and largely unaddressed risk surface: these agents are given broad, often unrestricted, access to source repositories that may contain confidential business logic, credentials, and — critically in regulated industries — personally identifiable information (PII) belonging to customers.</w:t>
      </w:r>
    </w:p>
    <w:p>
      <w:pPr>
        <w:spacing w:after="160" w:line="300"/>
        <w:jc w:val="both"/>
      </w:pPr>
      <w:r>
        <w:rPr>
          <w:sz w:val="22"/>
          <w:szCs w:val="22"/>
        </w:rPr>
        <w:t xml:space="preserve">Existing developer tooling was designed for a world in which code changes are deterministic and human-authored. It was never designed for an actor that can hallucinate, silently drift in behaviour as the underlying model changes, or take an unintended destructive action while appearing to comply with a request. This gap — the absence of mature governance, observability, and safety tooling purpose-built for AI coding agents — is the problem space that Kavach addresses. Kavach's central idea is that every request made to a coding agent, and every response the agent produces, should pass through an explicit, explainable, auditable security-governance layer before it is allowed to touch a real codebase.</w:t>
      </w:r>
    </w:p>
    <w:p>
      <w:pPr>
        <w:pStyle w:val="Heading1"/>
        <w:pBdr>
          <w:bottom w:val="single" w:color="1E2761" w:sz="6" w:space="4"/>
        </w:pBdr>
        <w:spacing w:after="180" w:before="360"/>
      </w:pPr>
      <w:r>
        <w:rPr>
          <w:b/>
          <w:bCs/>
          <w:color w:val="1E2761"/>
          <w:sz w:val="30"/>
          <w:szCs w:val="30"/>
        </w:rPr>
        <w:t xml:space="preserve">2. Problem Statement</w:t>
      </w:r>
    </w:p>
    <w:p>
      <w:pPr>
        <w:spacing w:after="160" w:line="300"/>
        <w:jc w:val="both"/>
      </w:pPr>
      <w:r>
        <w:rPr>
          <w:sz w:val="22"/>
          <w:szCs w:val="22"/>
        </w:rPr>
        <w:t xml:space="preserve">Consider a developer at an Indian Non-Banking Financial Company (NBFC) or bank who uses an AI coding agent on a payment-processing repository. The repository may legitimately contain customer PAN numbers, Aadhaar-linked fields, or transaction records embedded in test fixtures, logs, or comments. Under RBI data-localization and data-protection expectations, such sensitive data should never be transmitted unchecked to a third-party, often foreign-hosted, AI service — yet today's coding-agent tooling has no mechanism to detect this, explain the risk, or block the request before the data leaves the organization's boundary.</w:t>
      </w:r>
    </w:p>
    <w:p>
      <w:pPr>
        <w:spacing w:after="160" w:line="300"/>
        <w:jc w:val="both"/>
      </w:pPr>
      <w:r>
        <w:rPr>
          <w:sz w:val="22"/>
          <w:szCs w:val="22"/>
        </w:rPr>
        <w:t xml:space="preserve">More specifically, the problem can be decomposed into four unsolved sub-problems:</w:t>
      </w:r>
    </w:p>
    <w:p>
      <w:pPr>
        <w:pStyle w:val="ListParagraph"/>
        <w:numPr>
          <w:ilvl w:val="0"/>
          <w:numId w:val="2"/>
        </w:numPr>
        <w:spacing w:after="90" w:line="280"/>
      </w:pPr>
      <w:r>
        <w:rPr>
          <w:sz w:val="22"/>
          <w:szCs w:val="22"/>
        </w:rPr>
        <w:t xml:space="preserve">No governance checkpoint: Coding agents execute a request end-to-end with no intermediate policy check on either the input context or the generated output.</w:t>
      </w:r>
    </w:p>
    <w:p>
      <w:pPr>
        <w:pStyle w:val="ListParagraph"/>
        <w:numPr>
          <w:ilvl w:val="0"/>
          <w:numId w:val="2"/>
        </w:numPr>
        <w:spacing w:after="90" w:line="280"/>
      </w:pPr>
      <w:r>
        <w:rPr>
          <w:sz w:val="22"/>
          <w:szCs w:val="22"/>
        </w:rPr>
        <w:t xml:space="preserve">No multilingual sensitivity detection: PII detectors built for English text miss sensitive data expressed in Hindi, transliterated Hindi, or Hinglish code-mixed text — a common pattern in Indian enterprise codebases, comments, and test data.</w:t>
      </w:r>
    </w:p>
    <w:p>
      <w:pPr>
        <w:pStyle w:val="ListParagraph"/>
        <w:numPr>
          <w:ilvl w:val="0"/>
          <w:numId w:val="2"/>
        </w:numPr>
        <w:spacing w:after="90" w:line="280"/>
      </w:pPr>
      <w:r>
        <w:rPr>
          <w:sz w:val="22"/>
          <w:szCs w:val="22"/>
        </w:rPr>
        <w:t xml:space="preserve">No action-aware risk assessment: Existing tools, where they exist at all, treat all requests touching sensitive data identically, rather than distinguishing a low-risk read/explain action from a high-risk delete/overwrite action on the same data.</w:t>
      </w:r>
    </w:p>
    <w:p>
      <w:pPr>
        <w:pStyle w:val="ListParagraph"/>
        <w:numPr>
          <w:ilvl w:val="0"/>
          <w:numId w:val="2"/>
        </w:numPr>
        <w:spacing w:after="90" w:line="280"/>
      </w:pPr>
      <w:r>
        <w:rPr>
          <w:sz w:val="22"/>
          <w:szCs w:val="22"/>
        </w:rPr>
        <w:t xml:space="preserve">No verifiable audit trail: When an agent is blocked or allowed, there is typically no explainable, replayable record of why — which is a hard requirement for compliance-driven organizations.</w:t>
      </w:r>
    </w:p>
    <w:p>
      <w:pPr>
        <w:pStyle w:val="Heading1"/>
        <w:pBdr>
          <w:bottom w:val="single" w:color="1E2761" w:sz="6" w:space="4"/>
        </w:pBdr>
        <w:spacing w:after="180" w:before="360"/>
      </w:pPr>
      <w:r>
        <w:rPr>
          <w:b/>
          <w:bCs/>
          <w:color w:val="1E2761"/>
          <w:sz w:val="30"/>
          <w:szCs w:val="30"/>
        </w:rPr>
        <w:t xml:space="preserve">3. Motivation</w:t>
      </w:r>
    </w:p>
    <w:p>
      <w:pPr>
        <w:spacing w:after="160" w:line="300"/>
        <w:jc w:val="both"/>
      </w:pPr>
      <w:r>
        <w:rPr>
          <w:sz w:val="22"/>
          <w:szCs w:val="22"/>
        </w:rPr>
        <w:t xml:space="preserve">The motivation for Kavach is twofold. First, at an industry level, “AgentOps” — the operational discipline of monitoring, governing, and safeguarding autonomous AI agents in production — is an actively discussed but largely unsolved category. Classical DevOps and MLOps tooling was built for deterministic pipelines or static models, not for agents whose behaviour can vary run to run. Building a working prototype of a governance layer for coding agents therefore engages with a genuinely current, industry-relevant problem rather than a solved textbook exercise.</w:t>
      </w:r>
    </w:p>
    <w:p>
      <w:pPr>
        <w:spacing w:after="160" w:line="300"/>
        <w:jc w:val="both"/>
      </w:pPr>
      <w:r>
        <w:rPr>
          <w:sz w:val="22"/>
          <w:szCs w:val="22"/>
        </w:rPr>
        <w:t xml:space="preserve">Second, at a practical level, Indian enterprises adopting AI coding tools face a concrete compliance gap: no widely available tool combines (a) local, privacy-preserving PII detection, (b) explicit support for Hindi/Hinglish code-mixed sensitive data, and (c) action-aware policy enforcement tuned to regulatory contexts such as BFSI. Kavach is motivated by closing exactly this gap with a working, testable system rather than a conceptual proposal.</w:t>
      </w:r>
    </w:p>
    <w:p>
      <w:pPr>
        <w:pStyle w:val="Heading1"/>
        <w:pBdr>
          <w:bottom w:val="single" w:color="1E2761" w:sz="6" w:space="4"/>
        </w:pBdr>
        <w:spacing w:after="180" w:before="360"/>
      </w:pPr>
      <w:r>
        <w:rPr>
          <w:b/>
          <w:bCs/>
          <w:color w:val="1E2761"/>
          <w:sz w:val="30"/>
          <w:szCs w:val="30"/>
        </w:rPr>
        <w:t xml:space="preserve">4. Objectives</w:t>
      </w:r>
    </w:p>
    <w:p>
      <w:pPr>
        <w:pStyle w:val="ListParagraph"/>
        <w:numPr>
          <w:ilvl w:val="0"/>
          <w:numId w:val="2"/>
        </w:numPr>
        <w:spacing w:after="90" w:line="280"/>
      </w:pPr>
      <w:r>
        <w:rPr>
          <w:sz w:val="22"/>
          <w:szCs w:val="22"/>
        </w:rPr>
        <w:t xml:space="preserve">To design and implement a repository-aware retrieval pipeline (RAG) that lets an AI agent ground its understanding of a codebase in retrieved evidence rather than unconstrained generation.</w:t>
      </w:r>
    </w:p>
    <w:p>
      <w:pPr>
        <w:pStyle w:val="ListParagraph"/>
        <w:numPr>
          <w:ilvl w:val="0"/>
          <w:numId w:val="2"/>
        </w:numPr>
        <w:spacing w:after="90" w:line="280"/>
      </w:pPr>
      <w:r>
        <w:rPr>
          <w:sz w:val="22"/>
          <w:szCs w:val="22"/>
        </w:rPr>
        <w:t xml:space="preserve">To build a multilingual PII detection engine capable of identifying sensitive data in English, Hindi, and Hinglish code-mixed text with high precision and recall.</w:t>
      </w:r>
    </w:p>
    <w:p>
      <w:pPr>
        <w:pStyle w:val="ListParagraph"/>
        <w:numPr>
          <w:ilvl w:val="0"/>
          <w:numId w:val="2"/>
        </w:numPr>
        <w:spacing w:after="90" w:line="280"/>
      </w:pPr>
      <w:r>
        <w:rPr>
          <w:sz w:val="22"/>
          <w:szCs w:val="22"/>
        </w:rPr>
        <w:t xml:space="preserve">To design an action-aware security policy engine that evaluates both the sensitivity of the data involved and the risk of the requested action before allowing an agent to proceed.</w:t>
      </w:r>
    </w:p>
    <w:p>
      <w:pPr>
        <w:pStyle w:val="ListParagraph"/>
        <w:numPr>
          <w:ilvl w:val="0"/>
          <w:numId w:val="2"/>
        </w:numPr>
        <w:spacing w:after="90" w:line="280"/>
      </w:pPr>
      <w:r>
        <w:rPr>
          <w:sz w:val="22"/>
          <w:szCs w:val="22"/>
        </w:rPr>
        <w:t xml:space="preserve">To implement evidence-grounded code generation using a production LLM (Gemini), constrained by retrieved repository context and validated for syntactic correctness.</w:t>
      </w:r>
    </w:p>
    <w:p>
      <w:pPr>
        <w:pStyle w:val="ListParagraph"/>
        <w:numPr>
          <w:ilvl w:val="0"/>
          <w:numId w:val="2"/>
        </w:numPr>
        <w:spacing w:after="90" w:line="280"/>
      </w:pPr>
      <w:r>
        <w:rPr>
          <w:sz w:val="22"/>
          <w:szCs w:val="22"/>
        </w:rPr>
        <w:t xml:space="preserve">To build a dependency-graph-based change-impact analyzer that can explain the downstream effect of a proposed code change before it is applied.</w:t>
      </w:r>
    </w:p>
    <w:p>
      <w:pPr>
        <w:pStyle w:val="ListParagraph"/>
        <w:numPr>
          <w:ilvl w:val="0"/>
          <w:numId w:val="2"/>
        </w:numPr>
        <w:spacing w:after="90" w:line="280"/>
      </w:pPr>
      <w:r>
        <w:rPr>
          <w:sz w:val="22"/>
          <w:szCs w:val="22"/>
        </w:rPr>
        <w:t xml:space="preserve">To provide a complete, explainable audit trail for every agent decision, with sensitive values redacted even within logs.</w:t>
      </w:r>
    </w:p>
    <w:p>
      <w:pPr>
        <w:pStyle w:val="ListParagraph"/>
        <w:numPr>
          <w:ilvl w:val="0"/>
          <w:numId w:val="2"/>
        </w:numPr>
        <w:spacing w:after="90" w:line="280"/>
      </w:pPr>
      <w:r>
        <w:rPr>
          <w:sz w:val="22"/>
          <w:szCs w:val="22"/>
        </w:rPr>
        <w:t xml:space="preserve">To validate the system quantitatively through an automated test suite and a measurable evaluation methodology rather than qualitative demonstration alone.</w:t>
      </w:r>
    </w:p>
    <w:p>
      <w:pPr>
        <w:pStyle w:val="Heading1"/>
        <w:pBdr>
          <w:bottom w:val="single" w:color="1E2761" w:sz="6" w:space="4"/>
        </w:pBdr>
        <w:spacing w:after="180" w:before="360"/>
      </w:pPr>
      <w:r>
        <w:rPr>
          <w:b/>
          <w:bCs/>
          <w:color w:val="1E2761"/>
          <w:sz w:val="30"/>
          <w:szCs w:val="30"/>
        </w:rPr>
        <w:t xml:space="preserve">5. Proposed Solution</w:t>
      </w:r>
    </w:p>
    <w:p>
      <w:pPr>
        <w:spacing w:after="160" w:line="300"/>
        <w:jc w:val="both"/>
      </w:pPr>
      <w:r>
        <w:rPr>
          <w:sz w:val="22"/>
          <w:szCs w:val="22"/>
        </w:rPr>
        <w:t xml:space="preserve">Kavach is architected as a governance layer that sits between a developer's natural-language request and the underlying LLM's code-generation capability. Every request is processed through an orchestrated workflow: the request is first parsed and planned by an orchestrator agent; relevant repository context is retrieved via a RAG (Retrieval-Augmented Generation) pipeline; the retrieved context and the request are both scanned for PII by a hardened multilingual detector; a security policy engine evaluates the combination of data sensitivity and requested action to produce an ALLOW, REVIEW, or BLOCK verdict; only on ALLOW does the system proceed to evidence-grounded code generation via the Gemini LLM; the generated output is syntactically validated; and, where a code change is proposed, a dependency-graph-based impact analyzer reports what else in the repository could be affected. Every step of this pipeline is logged to an audit trail with sensitive values redacted, giving a complete, explainable record of what the agent was asked to do, what it saw, what it decided, and why.</w:t>
      </w:r>
    </w:p>
    <w:p>
      <w:pPr>
        <w:spacing w:after="240" w:before="60"/>
        <w:jc w:val="center"/>
      </w:pPr>
      <w:r>
        <w:rPr>
          <w:i/>
          <w:iCs/>
          <w:color w:val="595959"/>
          <w:sz w:val="18"/>
          <w:szCs w:val="18"/>
        </w:rPr>
        <w:t xml:space="preserve">Figure 1: Kavach request-governance pipeline (Request → Retrieval → PII Scan → Policy Decision → Generation → Validation → Impact Analysis → Audit Log)</w:t>
      </w:r>
    </w:p>
    <w:p>
      <w:pPr>
        <w:pStyle w:val="Heading1"/>
        <w:pBdr>
          <w:bottom w:val="single" w:color="1E2761" w:sz="6" w:space="4"/>
        </w:pBdr>
        <w:spacing w:after="180" w:before="360"/>
      </w:pPr>
      <w:r>
        <w:rPr>
          <w:b/>
          <w:bCs/>
          <w:color w:val="1E2761"/>
          <w:sz w:val="30"/>
          <w:szCs w:val="30"/>
        </w:rPr>
        <w:t xml:space="preserve">6. System Architecture</w:t>
      </w:r>
    </w:p>
    <w:p>
      <w:pPr>
        <w:spacing w:after="160" w:line="300"/>
        <w:jc w:val="both"/>
      </w:pPr>
      <w:r>
        <w:rPr>
          <w:sz w:val="22"/>
          <w:szCs w:val="22"/>
        </w:rPr>
        <w:t xml:space="preserve">Kavach follows a modular, layered architecture, implemented as a FastAPI backend with a companion frontend dashboard. The major architectural layers are:</w:t>
      </w:r>
    </w:p>
    <w:p>
      <w:pPr>
        <w:pStyle w:val="ListParagraph"/>
        <w:numPr>
          <w:ilvl w:val="0"/>
          <w:numId w:val="2"/>
        </w:numPr>
        <w:spacing w:after="90" w:line="280"/>
      </w:pPr>
      <w:r>
        <w:rPr>
          <w:sz w:val="22"/>
          <w:szCs w:val="22"/>
        </w:rPr>
        <w:t xml:space="preserve">Ingestion &amp; Retrieval Layer: Ingests a target repository, builds an embedding-based search index, and serves semantically relevant code snippets as evidence for downstream agents.</w:t>
      </w:r>
    </w:p>
    <w:p>
      <w:pPr>
        <w:pStyle w:val="ListParagraph"/>
        <w:numPr>
          <w:ilvl w:val="0"/>
          <w:numId w:val="2"/>
        </w:numPr>
        <w:spacing w:after="90" w:line="280"/>
      </w:pPr>
      <w:r>
        <w:rPr>
          <w:sz w:val="22"/>
          <w:szCs w:val="22"/>
        </w:rPr>
        <w:t xml:space="preserve">Agent Orchestration Layer: A workflow state machine and planner that routes a developer's request through the correct sequence of governance and generation steps.</w:t>
      </w:r>
    </w:p>
    <w:p>
      <w:pPr>
        <w:pStyle w:val="ListParagraph"/>
        <w:numPr>
          <w:ilvl w:val="0"/>
          <w:numId w:val="2"/>
        </w:numPr>
        <w:spacing w:after="90" w:line="280"/>
      </w:pPr>
      <w:r>
        <w:rPr>
          <w:sz w:val="22"/>
          <w:szCs w:val="22"/>
        </w:rPr>
        <w:t xml:space="preserve">Security &amp; Policy Layer: The multilingual PII detector combined with an action-aware policy engine that issues explainable ALLOW / REVIEW / BLOCK decisions.</w:t>
      </w:r>
    </w:p>
    <w:p>
      <w:pPr>
        <w:pStyle w:val="ListParagraph"/>
        <w:numPr>
          <w:ilvl w:val="0"/>
          <w:numId w:val="2"/>
        </w:numPr>
        <w:spacing w:after="90" w:line="280"/>
      </w:pPr>
      <w:r>
        <w:rPr>
          <w:sz w:val="22"/>
          <w:szCs w:val="22"/>
        </w:rPr>
        <w:t xml:space="preserve">Generation Layer: Evidence-grounded prompt construction and code generation via the Gemini LLM, followed by syntax validation.</w:t>
      </w:r>
    </w:p>
    <w:p>
      <w:pPr>
        <w:pStyle w:val="ListParagraph"/>
        <w:numPr>
          <w:ilvl w:val="0"/>
          <w:numId w:val="2"/>
        </w:numPr>
        <w:spacing w:after="90" w:line="280"/>
      </w:pPr>
      <w:r>
        <w:rPr>
          <w:sz w:val="22"/>
          <w:szCs w:val="22"/>
        </w:rPr>
        <w:t xml:space="preserve">Impact Analysis Layer: A Python-AST-based dependency graph builder combined with a semantic and structural impact analyzer.</w:t>
      </w:r>
    </w:p>
    <w:p>
      <w:pPr>
        <w:pStyle w:val="ListParagraph"/>
        <w:numPr>
          <w:ilvl w:val="0"/>
          <w:numId w:val="2"/>
        </w:numPr>
        <w:spacing w:after="90" w:line="280"/>
      </w:pPr>
      <w:r>
        <w:rPr>
          <w:sz w:val="22"/>
          <w:szCs w:val="22"/>
        </w:rPr>
        <w:t xml:space="preserve">Audit &amp; Observability Layer: Structured, redacted logging of every decision, exposed through an admin-facing dashboard.</w:t>
      </w:r>
    </w:p>
    <w:p>
      <w:pPr>
        <w:spacing w:after="160" w:line="300"/>
        <w:jc w:val="both"/>
      </w:pPr>
      <w:r>
        <w:rPr>
          <w:sz w:val="22"/>
          <w:szCs w:val="22"/>
        </w:rPr>
        <w:t xml:space="preserve">The full working system exposes its capabilities through REST endpoints, including /ingest, /search, /detect, /agent/request, /evaluate, /impact/analyze, and /impact/evaluate, documented and testable via an interactive API explorer.</w:t>
      </w:r>
    </w:p>
    <w:p>
      <w:pPr>
        <w:pStyle w:val="Heading1"/>
        <w:pBdr>
          <w:bottom w:val="single" w:color="1E2761" w:sz="6" w:space="4"/>
        </w:pBdr>
        <w:spacing w:after="180" w:before="360"/>
      </w:pPr>
      <w:r>
        <w:rPr>
          <w:b/>
          <w:bCs/>
          <w:color w:val="1E2761"/>
          <w:sz w:val="30"/>
          <w:szCs w:val="30"/>
        </w:rPr>
        <w:t xml:space="preserve">7. Methodology — Phase-wise Development</w:t>
      </w:r>
    </w:p>
    <w:p>
      <w:pPr>
        <w:spacing w:after="160" w:line="300"/>
        <w:jc w:val="both"/>
      </w:pPr>
      <w:r>
        <w:rPr>
          <w:sz w:val="22"/>
          <w:szCs w:val="22"/>
        </w:rPr>
        <w:t xml:space="preserve">The project was executed as five incremental phases, each building on and extending the artefacts of the previous phase, culminating in a single merged, runnable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36"/>
        <w:gridCol w:w="2671"/>
        <w:gridCol w:w="5343"/>
      </w:tblGrid>
      <w:tr>
        <w:trPr>
          <w:tblHeader/>
        </w:trPr>
        <w:tc>
          <w:tcPr>
            <w:tcW w:type="dxa" w:w="1336"/>
            <w:shd w:fill="1E2761" w:color="auto" w:val="clear"/>
            <w:tcMar>
              <w:top w:type="dxa" w:w="80"/>
              <w:left w:type="dxa" w:w="120"/>
              <w:bottom w:type="dxa" w:w="80"/>
              <w:right w:type="dxa" w:w="120"/>
            </w:tcMar>
            <w:vAlign w:val="center"/>
          </w:tcPr>
          <w:p>
            <w:r>
              <w:rPr>
                <w:b/>
                <w:bCs/>
                <w:color w:val="FFFFFF"/>
                <w:sz w:val="20"/>
                <w:szCs w:val="20"/>
              </w:rPr>
              <w:t xml:space="preserve">Phase</w:t>
            </w:r>
          </w:p>
        </w:tc>
        <w:tc>
          <w:tcPr>
            <w:tcW w:type="dxa" w:w="2671"/>
            <w:shd w:fill="1E2761" w:color="auto" w:val="clear"/>
            <w:tcMar>
              <w:top w:type="dxa" w:w="80"/>
              <w:left w:type="dxa" w:w="120"/>
              <w:bottom w:type="dxa" w:w="80"/>
              <w:right w:type="dxa" w:w="120"/>
            </w:tcMar>
            <w:vAlign w:val="center"/>
          </w:tcPr>
          <w:p>
            <w:r>
              <w:rPr>
                <w:b/>
                <w:bCs/>
                <w:color w:val="FFFFFF"/>
                <w:sz w:val="20"/>
                <w:szCs w:val="20"/>
              </w:rPr>
              <w:t xml:space="preserve">Focus</w:t>
            </w:r>
          </w:p>
        </w:tc>
        <w:tc>
          <w:tcPr>
            <w:tcW w:type="dxa" w:w="5343"/>
            <w:shd w:fill="1E2761" w:color="auto" w:val="clear"/>
            <w:tcMar>
              <w:top w:type="dxa" w:w="80"/>
              <w:left w:type="dxa" w:w="120"/>
              <w:bottom w:type="dxa" w:w="80"/>
              <w:right w:type="dxa" w:w="120"/>
            </w:tcMar>
            <w:vAlign w:val="center"/>
          </w:tcPr>
          <w:p>
            <w:r>
              <w:rPr>
                <w:b/>
                <w:bCs/>
                <w:color w:val="FFFFFF"/>
                <w:sz w:val="20"/>
                <w:szCs w:val="20"/>
              </w:rPr>
              <w:t xml:space="preserve">Key Deliverables</w:t>
            </w:r>
          </w:p>
        </w:tc>
      </w:tr>
      <w:tr>
        <w:tc>
          <w:tcPr>
            <w:tcW w:type="dxa" w:w="1336"/>
            <w:shd w:fill="EEF1F8" w:color="auto" w:val="clear"/>
            <w:tcMar>
              <w:top w:type="dxa" w:w="70"/>
              <w:left w:type="dxa" w:w="120"/>
              <w:bottom w:type="dxa" w:w="70"/>
              <w:right w:type="dxa" w:w="120"/>
            </w:tcMar>
            <w:vAlign w:val="center"/>
          </w:tcPr>
          <w:p>
            <w:r>
              <w:rPr>
                <w:sz w:val="20"/>
                <w:szCs w:val="20"/>
              </w:rPr>
              <w:t xml:space="preserve">Phase 1</w:t>
            </w:r>
          </w:p>
        </w:tc>
        <w:tc>
          <w:tcPr>
            <w:tcW w:type="dxa" w:w="2671"/>
            <w:shd w:fill="EEF1F8" w:color="auto" w:val="clear"/>
            <w:tcMar>
              <w:top w:type="dxa" w:w="70"/>
              <w:left w:type="dxa" w:w="120"/>
              <w:bottom w:type="dxa" w:w="70"/>
              <w:right w:type="dxa" w:w="120"/>
            </w:tcMar>
            <w:vAlign w:val="center"/>
          </w:tcPr>
          <w:p>
            <w:r>
              <w:rPr>
                <w:sz w:val="20"/>
                <w:szCs w:val="20"/>
              </w:rPr>
              <w:t xml:space="preserve">RAG Foundation</w:t>
            </w:r>
          </w:p>
        </w:tc>
        <w:tc>
          <w:tcPr>
            <w:tcW w:type="dxa" w:w="5343"/>
            <w:shd w:fill="EEF1F8" w:color="auto" w:val="clear"/>
            <w:tcMar>
              <w:top w:type="dxa" w:w="70"/>
              <w:left w:type="dxa" w:w="120"/>
              <w:bottom w:type="dxa" w:w="70"/>
              <w:right w:type="dxa" w:w="120"/>
            </w:tcMar>
            <w:vAlign w:val="center"/>
          </w:tcPr>
          <w:p>
            <w:r>
              <w:rPr>
                <w:sz w:val="20"/>
                <w:szCs w:val="20"/>
              </w:rPr>
              <w:t xml:space="preserve">Repository ingestion, embedding-based semantic search, multilingual test corpus, project scaffolding</w:t>
            </w:r>
          </w:p>
        </w:tc>
      </w:tr>
      <w:tr>
        <w:tc>
          <w:tcPr>
            <w:tcW w:type="dxa" w:w="1336"/>
            <w:tcMar>
              <w:top w:type="dxa" w:w="70"/>
              <w:left w:type="dxa" w:w="120"/>
              <w:bottom w:type="dxa" w:w="70"/>
              <w:right w:type="dxa" w:w="120"/>
            </w:tcMar>
            <w:vAlign w:val="center"/>
          </w:tcPr>
          <w:p>
            <w:r>
              <w:rPr>
                <w:sz w:val="20"/>
                <w:szCs w:val="20"/>
              </w:rPr>
              <w:t xml:space="preserve">Phase 2</w:t>
            </w:r>
          </w:p>
        </w:tc>
        <w:tc>
          <w:tcPr>
            <w:tcW w:type="dxa" w:w="2671"/>
            <w:tcMar>
              <w:top w:type="dxa" w:w="70"/>
              <w:left w:type="dxa" w:w="120"/>
              <w:bottom w:type="dxa" w:w="70"/>
              <w:right w:type="dxa" w:w="120"/>
            </w:tcMar>
            <w:vAlign w:val="center"/>
          </w:tcPr>
          <w:p>
            <w:r>
              <w:rPr>
                <w:sz w:val="20"/>
                <w:szCs w:val="20"/>
              </w:rPr>
              <w:t xml:space="preserve">Agent Orchestrator</w:t>
            </w:r>
          </w:p>
        </w:tc>
        <w:tc>
          <w:tcPr>
            <w:tcW w:type="dxa" w:w="5343"/>
            <w:tcMar>
              <w:top w:type="dxa" w:w="70"/>
              <w:left w:type="dxa" w:w="120"/>
              <w:bottom w:type="dxa" w:w="70"/>
              <w:right w:type="dxa" w:w="120"/>
            </w:tcMar>
            <w:vAlign w:val="center"/>
          </w:tcPr>
          <w:p>
            <w:r>
              <w:rPr>
                <w:sz w:val="20"/>
                <w:szCs w:val="20"/>
              </w:rPr>
              <w:t xml:space="preserve">Workflow state machine, request planner, orchestration logic, initial PII-detector extraction</w:t>
            </w:r>
          </w:p>
        </w:tc>
      </w:tr>
      <w:tr>
        <w:tc>
          <w:tcPr>
            <w:tcW w:type="dxa" w:w="1336"/>
            <w:shd w:fill="EEF1F8" w:color="auto" w:val="clear"/>
            <w:tcMar>
              <w:top w:type="dxa" w:w="70"/>
              <w:left w:type="dxa" w:w="120"/>
              <w:bottom w:type="dxa" w:w="70"/>
              <w:right w:type="dxa" w:w="120"/>
            </w:tcMar>
            <w:vAlign w:val="center"/>
          </w:tcPr>
          <w:p>
            <w:r>
              <w:rPr>
                <w:sz w:val="20"/>
                <w:szCs w:val="20"/>
              </w:rPr>
              <w:t xml:space="preserve">Phase 3</w:t>
            </w:r>
          </w:p>
        </w:tc>
        <w:tc>
          <w:tcPr>
            <w:tcW w:type="dxa" w:w="2671"/>
            <w:shd w:fill="EEF1F8" w:color="auto" w:val="clear"/>
            <w:tcMar>
              <w:top w:type="dxa" w:w="70"/>
              <w:left w:type="dxa" w:w="120"/>
              <w:bottom w:type="dxa" w:w="70"/>
              <w:right w:type="dxa" w:w="120"/>
            </w:tcMar>
            <w:vAlign w:val="center"/>
          </w:tcPr>
          <w:p>
            <w:r>
              <w:rPr>
                <w:sz w:val="20"/>
                <w:szCs w:val="20"/>
              </w:rPr>
              <w:t xml:space="preserve">Evidence-Grounded Generation</w:t>
            </w:r>
          </w:p>
        </w:tc>
        <w:tc>
          <w:tcPr>
            <w:tcW w:type="dxa" w:w="5343"/>
            <w:shd w:fill="EEF1F8" w:color="auto" w:val="clear"/>
            <w:tcMar>
              <w:top w:type="dxa" w:w="70"/>
              <w:left w:type="dxa" w:w="120"/>
              <w:bottom w:type="dxa" w:w="70"/>
              <w:right w:type="dxa" w:w="120"/>
            </w:tcMar>
            <w:vAlign w:val="center"/>
          </w:tcPr>
          <w:p>
            <w:r>
              <w:rPr>
                <w:sz w:val="20"/>
                <w:szCs w:val="20"/>
              </w:rPr>
              <w:t xml:space="preserve">Gemini LLM integration, evidence-grounded prompt construction, generated-code syntax validation</w:t>
            </w:r>
          </w:p>
        </w:tc>
      </w:tr>
      <w:tr>
        <w:tc>
          <w:tcPr>
            <w:tcW w:type="dxa" w:w="1336"/>
            <w:tcMar>
              <w:top w:type="dxa" w:w="70"/>
              <w:left w:type="dxa" w:w="120"/>
              <w:bottom w:type="dxa" w:w="70"/>
              <w:right w:type="dxa" w:w="120"/>
            </w:tcMar>
            <w:vAlign w:val="center"/>
          </w:tcPr>
          <w:p>
            <w:r>
              <w:rPr>
                <w:sz w:val="20"/>
                <w:szCs w:val="20"/>
              </w:rPr>
              <w:t xml:space="preserve">Phase 4</w:t>
            </w:r>
          </w:p>
        </w:tc>
        <w:tc>
          <w:tcPr>
            <w:tcW w:type="dxa" w:w="2671"/>
            <w:tcMar>
              <w:top w:type="dxa" w:w="70"/>
              <w:left w:type="dxa" w:w="120"/>
              <w:bottom w:type="dxa" w:w="70"/>
              <w:right w:type="dxa" w:w="120"/>
            </w:tcMar>
            <w:vAlign w:val="center"/>
          </w:tcPr>
          <w:p>
            <w:r>
              <w:rPr>
                <w:sz w:val="20"/>
                <w:szCs w:val="20"/>
              </w:rPr>
              <w:t xml:space="preserve">Security Engine Hardening</w:t>
            </w:r>
          </w:p>
        </w:tc>
        <w:tc>
          <w:tcPr>
            <w:tcW w:type="dxa" w:w="5343"/>
            <w:tcMar>
              <w:top w:type="dxa" w:w="70"/>
              <w:left w:type="dxa" w:w="120"/>
              <w:bottom w:type="dxa" w:w="70"/>
              <w:right w:type="dxa" w:w="120"/>
            </w:tcMar>
            <w:vAlign w:val="center"/>
          </w:tcPr>
          <w:p>
            <w:r>
              <w:rPr>
                <w:sz w:val="20"/>
                <w:szCs w:val="20"/>
              </w:rPr>
              <w:t xml:space="preserve">Hardened multilingual PII detection with severity, confidence and explainability scoring; evaluation harness reaching precision = recall = F1 = 1.0</w:t>
            </w:r>
          </w:p>
        </w:tc>
      </w:tr>
      <w:tr>
        <w:tc>
          <w:tcPr>
            <w:tcW w:type="dxa" w:w="1336"/>
            <w:shd w:fill="EEF1F8" w:color="auto" w:val="clear"/>
            <w:tcMar>
              <w:top w:type="dxa" w:w="70"/>
              <w:left w:type="dxa" w:w="120"/>
              <w:bottom w:type="dxa" w:w="70"/>
              <w:right w:type="dxa" w:w="120"/>
            </w:tcMar>
            <w:vAlign w:val="center"/>
          </w:tcPr>
          <w:p>
            <w:r>
              <w:rPr>
                <w:sz w:val="20"/>
                <w:szCs w:val="20"/>
              </w:rPr>
              <w:t xml:space="preserve">Phase 5</w:t>
            </w:r>
          </w:p>
        </w:tc>
        <w:tc>
          <w:tcPr>
            <w:tcW w:type="dxa" w:w="2671"/>
            <w:shd w:fill="EEF1F8" w:color="auto" w:val="clear"/>
            <w:tcMar>
              <w:top w:type="dxa" w:w="70"/>
              <w:left w:type="dxa" w:w="120"/>
              <w:bottom w:type="dxa" w:w="70"/>
              <w:right w:type="dxa" w:w="120"/>
            </w:tcMar>
            <w:vAlign w:val="center"/>
          </w:tcPr>
          <w:p>
            <w:r>
              <w:rPr>
                <w:sz w:val="20"/>
                <w:szCs w:val="20"/>
              </w:rPr>
              <w:t xml:space="preserve">Change Impact Analysis</w:t>
            </w:r>
          </w:p>
        </w:tc>
        <w:tc>
          <w:tcPr>
            <w:tcW w:type="dxa" w:w="5343"/>
            <w:shd w:fill="EEF1F8" w:color="auto" w:val="clear"/>
            <w:tcMar>
              <w:top w:type="dxa" w:w="70"/>
              <w:left w:type="dxa" w:w="120"/>
              <w:bottom w:type="dxa" w:w="70"/>
              <w:right w:type="dxa" w:w="120"/>
            </w:tcMar>
            <w:vAlign w:val="center"/>
          </w:tcPr>
          <w:p>
            <w:r>
              <w:rPr>
                <w:sz w:val="20"/>
                <w:szCs w:val="20"/>
              </w:rPr>
              <w:t xml:space="preserve">AST-based dependency graph construction, semantic + structural impact analyzer, evaluation script</w:t>
            </w:r>
          </w:p>
        </w:tc>
      </w:tr>
    </w:tbl>
    <w:p>
      <w:pPr>
        <w:spacing w:after="160"/>
      </w:pPr>
    </w:p>
    <w:p>
      <w:pPr>
        <w:spacing w:after="160" w:line="300"/>
        <w:jc w:val="both"/>
      </w:pPr>
      <w:r>
        <w:rPr>
          <w:sz w:val="22"/>
          <w:szCs w:val="22"/>
        </w:rPr>
        <w:t xml:space="preserve">This phased structure was chosen deliberately: it produces a natural mid-semester checkpoint (a working retrieval-and-orchestration pipeline with basic detection) followed by a second half focused on hardening security, adding generation, and adding impact analysis — giving reviewers a clear, demonstrable trajectory of technical growth across the semester rather than a single end-of-term deliverable.</w:t>
      </w:r>
    </w:p>
    <w:p>
      <w:pPr>
        <w:pStyle w:val="Heading1"/>
        <w:pBdr>
          <w:bottom w:val="single" w:color="1E2761" w:sz="6" w:space="4"/>
        </w:pBdr>
        <w:spacing w:after="180" w:before="360"/>
      </w:pPr>
      <w:r>
        <w:rPr>
          <w:b/>
          <w:bCs/>
          <w:color w:val="1E2761"/>
          <w:sz w:val="30"/>
          <w:szCs w:val="30"/>
        </w:rPr>
        <w:t xml:space="preserve">8.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7"/>
        <w:gridCol w:w="6523"/>
      </w:tblGrid>
      <w:tr>
        <w:trPr>
          <w:tblHeader/>
        </w:trPr>
        <w:tc>
          <w:tcPr>
            <w:tcW w:type="dxa" w:w="2827"/>
            <w:shd w:fill="1E2761" w:color="auto" w:val="clear"/>
            <w:tcMar>
              <w:top w:type="dxa" w:w="80"/>
              <w:left w:type="dxa" w:w="120"/>
              <w:bottom w:type="dxa" w:w="80"/>
              <w:right w:type="dxa" w:w="120"/>
            </w:tcMar>
            <w:vAlign w:val="center"/>
          </w:tcPr>
          <w:p>
            <w:r>
              <w:rPr>
                <w:b/>
                <w:bCs/>
                <w:color w:val="FFFFFF"/>
                <w:sz w:val="20"/>
                <w:szCs w:val="20"/>
              </w:rPr>
              <w:t xml:space="preserve">Layer</w:t>
            </w:r>
          </w:p>
        </w:tc>
        <w:tc>
          <w:tcPr>
            <w:tcW w:type="dxa" w:w="6523"/>
            <w:shd w:fill="1E2761" w:color="auto" w:val="clear"/>
            <w:tcMar>
              <w:top w:type="dxa" w:w="80"/>
              <w:left w:type="dxa" w:w="120"/>
              <w:bottom w:type="dxa" w:w="80"/>
              <w:right w:type="dxa" w:w="120"/>
            </w:tcMar>
            <w:vAlign w:val="center"/>
          </w:tcPr>
          <w:p>
            <w:r>
              <w:rPr>
                <w:b/>
                <w:bCs/>
                <w:color w:val="FFFFFF"/>
                <w:sz w:val="20"/>
                <w:szCs w:val="20"/>
              </w:rPr>
              <w:t xml:space="preserve">Technology</w:t>
            </w:r>
          </w:p>
        </w:tc>
      </w:tr>
      <w:tr>
        <w:tc>
          <w:tcPr>
            <w:tcW w:type="dxa" w:w="2827"/>
            <w:shd w:fill="EEF1F8" w:color="auto" w:val="clear"/>
            <w:tcMar>
              <w:top w:type="dxa" w:w="70"/>
              <w:left w:type="dxa" w:w="120"/>
              <w:bottom w:type="dxa" w:w="70"/>
              <w:right w:type="dxa" w:w="120"/>
            </w:tcMar>
            <w:vAlign w:val="center"/>
          </w:tcPr>
          <w:p>
            <w:r>
              <w:rPr>
                <w:sz w:val="20"/>
                <w:szCs w:val="20"/>
              </w:rPr>
              <w:t xml:space="preserve">Backend API</w:t>
            </w:r>
          </w:p>
        </w:tc>
        <w:tc>
          <w:tcPr>
            <w:tcW w:type="dxa" w:w="6523"/>
            <w:shd w:fill="EEF1F8" w:color="auto" w:val="clear"/>
            <w:tcMar>
              <w:top w:type="dxa" w:w="70"/>
              <w:left w:type="dxa" w:w="120"/>
              <w:bottom w:type="dxa" w:w="70"/>
              <w:right w:type="dxa" w:w="120"/>
            </w:tcMar>
            <w:vAlign w:val="center"/>
          </w:tcPr>
          <w:p>
            <w:r>
              <w:rPr>
                <w:sz w:val="20"/>
                <w:szCs w:val="20"/>
              </w:rPr>
              <w:t xml:space="preserve">Python, FastAPI, Uvicorn</w:t>
            </w:r>
          </w:p>
        </w:tc>
      </w:tr>
      <w:tr>
        <w:tc>
          <w:tcPr>
            <w:tcW w:type="dxa" w:w="2827"/>
            <w:tcMar>
              <w:top w:type="dxa" w:w="70"/>
              <w:left w:type="dxa" w:w="120"/>
              <w:bottom w:type="dxa" w:w="70"/>
              <w:right w:type="dxa" w:w="120"/>
            </w:tcMar>
            <w:vAlign w:val="center"/>
          </w:tcPr>
          <w:p>
            <w:r>
              <w:rPr>
                <w:sz w:val="20"/>
                <w:szCs w:val="20"/>
              </w:rPr>
              <w:t xml:space="preserve">LLM Generation</w:t>
            </w:r>
          </w:p>
        </w:tc>
        <w:tc>
          <w:tcPr>
            <w:tcW w:type="dxa" w:w="6523"/>
            <w:tcMar>
              <w:top w:type="dxa" w:w="70"/>
              <w:left w:type="dxa" w:w="120"/>
              <w:bottom w:type="dxa" w:w="70"/>
              <w:right w:type="dxa" w:w="120"/>
            </w:tcMar>
            <w:vAlign w:val="center"/>
          </w:tcPr>
          <w:p>
            <w:r>
              <w:rPr>
                <w:sz w:val="20"/>
                <w:szCs w:val="20"/>
              </w:rPr>
              <w:t xml:space="preserve">Google Gemini API (evidence-grounded prompting)</w:t>
            </w:r>
          </w:p>
        </w:tc>
      </w:tr>
      <w:tr>
        <w:tc>
          <w:tcPr>
            <w:tcW w:type="dxa" w:w="2827"/>
            <w:shd w:fill="EEF1F8" w:color="auto" w:val="clear"/>
            <w:tcMar>
              <w:top w:type="dxa" w:w="70"/>
              <w:left w:type="dxa" w:w="120"/>
              <w:bottom w:type="dxa" w:w="70"/>
              <w:right w:type="dxa" w:w="120"/>
            </w:tcMar>
            <w:vAlign w:val="center"/>
          </w:tcPr>
          <w:p>
            <w:r>
              <w:rPr>
                <w:sz w:val="20"/>
                <w:szCs w:val="20"/>
              </w:rPr>
              <w:t xml:space="preserve">Retrieval / RAG</w:t>
            </w:r>
          </w:p>
        </w:tc>
        <w:tc>
          <w:tcPr>
            <w:tcW w:type="dxa" w:w="6523"/>
            <w:shd w:fill="EEF1F8" w:color="auto" w:val="clear"/>
            <w:tcMar>
              <w:top w:type="dxa" w:w="70"/>
              <w:left w:type="dxa" w:w="120"/>
              <w:bottom w:type="dxa" w:w="70"/>
              <w:right w:type="dxa" w:w="120"/>
            </w:tcMar>
            <w:vAlign w:val="center"/>
          </w:tcPr>
          <w:p>
            <w:r>
              <w:rPr>
                <w:sz w:val="20"/>
                <w:szCs w:val="20"/>
              </w:rPr>
              <w:t xml:space="preserve">Embedding-based semantic search over repository content</w:t>
            </w:r>
          </w:p>
        </w:tc>
      </w:tr>
      <w:tr>
        <w:tc>
          <w:tcPr>
            <w:tcW w:type="dxa" w:w="2827"/>
            <w:tcMar>
              <w:top w:type="dxa" w:w="70"/>
              <w:left w:type="dxa" w:w="120"/>
              <w:bottom w:type="dxa" w:w="70"/>
              <w:right w:type="dxa" w:w="120"/>
            </w:tcMar>
            <w:vAlign w:val="center"/>
          </w:tcPr>
          <w:p>
            <w:r>
              <w:rPr>
                <w:sz w:val="20"/>
                <w:szCs w:val="20"/>
              </w:rPr>
              <w:t xml:space="preserve">Static Analysis</w:t>
            </w:r>
          </w:p>
        </w:tc>
        <w:tc>
          <w:tcPr>
            <w:tcW w:type="dxa" w:w="6523"/>
            <w:tcMar>
              <w:top w:type="dxa" w:w="70"/>
              <w:left w:type="dxa" w:w="120"/>
              <w:bottom w:type="dxa" w:w="70"/>
              <w:right w:type="dxa" w:w="120"/>
            </w:tcMar>
            <w:vAlign w:val="center"/>
          </w:tcPr>
          <w:p>
            <w:r>
              <w:rPr>
                <w:sz w:val="20"/>
                <w:szCs w:val="20"/>
              </w:rPr>
              <w:t xml:space="preserve">Python `ast` module for dependency-graph construction</w:t>
            </w:r>
          </w:p>
        </w:tc>
      </w:tr>
      <w:tr>
        <w:tc>
          <w:tcPr>
            <w:tcW w:type="dxa" w:w="2827"/>
            <w:shd w:fill="EEF1F8" w:color="auto" w:val="clear"/>
            <w:tcMar>
              <w:top w:type="dxa" w:w="70"/>
              <w:left w:type="dxa" w:w="120"/>
              <w:bottom w:type="dxa" w:w="70"/>
              <w:right w:type="dxa" w:w="120"/>
            </w:tcMar>
            <w:vAlign w:val="center"/>
          </w:tcPr>
          <w:p>
            <w:r>
              <w:rPr>
                <w:sz w:val="20"/>
                <w:szCs w:val="20"/>
              </w:rPr>
              <w:t xml:space="preserve">Security Engine</w:t>
            </w:r>
          </w:p>
        </w:tc>
        <w:tc>
          <w:tcPr>
            <w:tcW w:type="dxa" w:w="6523"/>
            <w:shd w:fill="EEF1F8" w:color="auto" w:val="clear"/>
            <w:tcMar>
              <w:top w:type="dxa" w:w="70"/>
              <w:left w:type="dxa" w:w="120"/>
              <w:bottom w:type="dxa" w:w="70"/>
              <w:right w:type="dxa" w:w="120"/>
            </w:tcMar>
            <w:vAlign w:val="center"/>
          </w:tcPr>
          <w:p>
            <w:r>
              <w:rPr>
                <w:sz w:val="20"/>
                <w:szCs w:val="20"/>
              </w:rPr>
              <w:t xml:space="preserve">Custom multilingual PII detection &amp; rule-based policy engine</w:t>
            </w:r>
          </w:p>
        </w:tc>
      </w:tr>
      <w:tr>
        <w:tc>
          <w:tcPr>
            <w:tcW w:type="dxa" w:w="2827"/>
            <w:tcMar>
              <w:top w:type="dxa" w:w="70"/>
              <w:left w:type="dxa" w:w="120"/>
              <w:bottom w:type="dxa" w:w="70"/>
              <w:right w:type="dxa" w:w="120"/>
            </w:tcMar>
            <w:vAlign w:val="center"/>
          </w:tcPr>
          <w:p>
            <w:r>
              <w:rPr>
                <w:sz w:val="20"/>
                <w:szCs w:val="20"/>
              </w:rPr>
              <w:t xml:space="preserve">Testing</w:t>
            </w:r>
          </w:p>
        </w:tc>
        <w:tc>
          <w:tcPr>
            <w:tcW w:type="dxa" w:w="6523"/>
            <w:tcMar>
              <w:top w:type="dxa" w:w="70"/>
              <w:left w:type="dxa" w:w="120"/>
              <w:bottom w:type="dxa" w:w="70"/>
              <w:right w:type="dxa" w:w="120"/>
            </w:tcMar>
            <w:vAlign w:val="center"/>
          </w:tcPr>
          <w:p>
            <w:r>
              <w:rPr>
                <w:sz w:val="20"/>
                <w:szCs w:val="20"/>
              </w:rPr>
              <w:t xml:space="preserve">Automated evaluation scripts, 164 discovered automated tests</w:t>
            </w:r>
          </w:p>
        </w:tc>
      </w:tr>
      <w:tr>
        <w:tc>
          <w:tcPr>
            <w:tcW w:type="dxa" w:w="2827"/>
            <w:shd w:fill="EEF1F8" w:color="auto" w:val="clear"/>
            <w:tcMar>
              <w:top w:type="dxa" w:w="70"/>
              <w:left w:type="dxa" w:w="120"/>
              <w:bottom w:type="dxa" w:w="70"/>
              <w:right w:type="dxa" w:w="120"/>
            </w:tcMar>
            <w:vAlign w:val="center"/>
          </w:tcPr>
          <w:p>
            <w:r>
              <w:rPr>
                <w:sz w:val="20"/>
                <w:szCs w:val="20"/>
              </w:rPr>
              <w:t xml:space="preserve">Frontend / Dashboard</w:t>
            </w:r>
          </w:p>
        </w:tc>
        <w:tc>
          <w:tcPr>
            <w:tcW w:type="dxa" w:w="6523"/>
            <w:shd w:fill="EEF1F8" w:color="auto" w:val="clear"/>
            <w:tcMar>
              <w:top w:type="dxa" w:w="70"/>
              <w:left w:type="dxa" w:w="120"/>
              <w:bottom w:type="dxa" w:w="70"/>
              <w:right w:type="dxa" w:w="120"/>
            </w:tcMar>
            <w:vAlign w:val="center"/>
          </w:tcPr>
          <w:p>
            <w:r>
              <w:rPr>
                <w:sz w:val="20"/>
                <w:szCs w:val="20"/>
              </w:rPr>
              <w:t xml:space="preserve">Web-based admin dashboard for monitoring agent decisions</w:t>
            </w:r>
          </w:p>
        </w:tc>
      </w:tr>
      <w:tr>
        <w:tc>
          <w:tcPr>
            <w:tcW w:type="dxa" w:w="2827"/>
            <w:tcMar>
              <w:top w:type="dxa" w:w="70"/>
              <w:left w:type="dxa" w:w="120"/>
              <w:bottom w:type="dxa" w:w="70"/>
              <w:right w:type="dxa" w:w="120"/>
            </w:tcMar>
            <w:vAlign w:val="center"/>
          </w:tcPr>
          <w:p>
            <w:r>
              <w:rPr>
                <w:sz w:val="20"/>
                <w:szCs w:val="20"/>
              </w:rPr>
              <w:t xml:space="preserve">Version Control &amp; CI</w:t>
            </w:r>
          </w:p>
        </w:tc>
        <w:tc>
          <w:tcPr>
            <w:tcW w:type="dxa" w:w="6523"/>
            <w:tcMar>
              <w:top w:type="dxa" w:w="70"/>
              <w:left w:type="dxa" w:w="120"/>
              <w:bottom w:type="dxa" w:w="70"/>
              <w:right w:type="dxa" w:w="120"/>
            </w:tcMar>
            <w:vAlign w:val="center"/>
          </w:tcPr>
          <w:p>
            <w:r>
              <w:rPr>
                <w:sz w:val="20"/>
                <w:szCs w:val="20"/>
              </w:rPr>
              <w:t xml:space="preserve">Git, GitHub, GitHub Actions workflow</w:t>
            </w:r>
          </w:p>
        </w:tc>
      </w:tr>
    </w:tbl>
    <w:p>
      <w:pPr>
        <w:pStyle w:val="Heading1"/>
        <w:pBdr>
          <w:bottom w:val="single" w:color="1E2761" w:sz="6" w:space="4"/>
        </w:pBdr>
        <w:spacing w:after="180" w:before="360"/>
      </w:pPr>
      <w:r>
        <w:rPr>
          <w:b/>
          <w:bCs/>
          <w:color w:val="1E2761"/>
          <w:sz w:val="30"/>
          <w:szCs w:val="30"/>
        </w:rPr>
        <w:t xml:space="preserve">9. Module Description</w:t>
      </w:r>
    </w:p>
    <w:p>
      <w:pPr>
        <w:pStyle w:val="Heading2"/>
        <w:spacing w:after="120" w:before="260"/>
      </w:pPr>
      <w:r>
        <w:rPr>
          <w:b/>
          <w:bCs/>
          <w:color w:val="1C7293"/>
          <w:sz w:val="24"/>
          <w:szCs w:val="24"/>
        </w:rPr>
        <w:t xml:space="preserve">9.1 Multilingual PII Detection Engine</w:t>
      </w:r>
    </w:p>
    <w:p>
      <w:pPr>
        <w:spacing w:after="160" w:line="300"/>
        <w:jc w:val="both"/>
      </w:pPr>
      <w:r>
        <w:rPr>
          <w:sz w:val="22"/>
          <w:szCs w:val="22"/>
        </w:rPr>
        <w:t xml:space="preserve">Detects sensitive entities — PAN numbers, Aadhaar-linked patterns, phone numbers, emails, and names — across English, Hindi, and Hinglish code-mixed text, and assigns each detection a severity and confidence score along with a human-readable explanation of why it was flagged.</w:t>
      </w:r>
    </w:p>
    <w:p>
      <w:pPr>
        <w:pStyle w:val="Heading2"/>
        <w:spacing w:after="120" w:before="260"/>
      </w:pPr>
      <w:r>
        <w:rPr>
          <w:b/>
          <w:bCs/>
          <w:color w:val="1C7293"/>
          <w:sz w:val="24"/>
          <w:szCs w:val="24"/>
        </w:rPr>
        <w:t xml:space="preserve">9.2 Security Policy Engine</w:t>
      </w:r>
    </w:p>
    <w:p>
      <w:pPr>
        <w:spacing w:after="160" w:line="300"/>
        <w:jc w:val="both"/>
      </w:pPr>
      <w:r>
        <w:rPr>
          <w:sz w:val="22"/>
          <w:szCs w:val="22"/>
        </w:rPr>
        <w:t xml:space="preserve">Combines the output of the PII detector with an assessment of the requested action's risk level (e.g. read/explain vs. delete/overwrite) to issue an ALLOW, REVIEW, or BLOCK verdict, ensuring the same sensitive data is treated differently depending on what the agent is being asked to do with it.</w:t>
      </w:r>
    </w:p>
    <w:p>
      <w:pPr>
        <w:pStyle w:val="Heading2"/>
        <w:spacing w:after="120" w:before="260"/>
      </w:pPr>
      <w:r>
        <w:rPr>
          <w:b/>
          <w:bCs/>
          <w:color w:val="1C7293"/>
          <w:sz w:val="24"/>
          <w:szCs w:val="24"/>
        </w:rPr>
        <w:t xml:space="preserve">9.3 Retrieval-Augmented Generation (RAG) Pipeline</w:t>
      </w:r>
    </w:p>
    <w:p>
      <w:pPr>
        <w:spacing w:after="160" w:line="300"/>
        <w:jc w:val="both"/>
      </w:pPr>
      <w:r>
        <w:rPr>
          <w:sz w:val="22"/>
          <w:szCs w:val="22"/>
        </w:rPr>
        <w:t xml:space="preserve">Ingests a target repository once per session, builds a semantic index over its contents, and retrieves the most relevant evidence snippets for a given developer request, which are then used to ground the LLM's generation rather than letting it hallucinate against an unseen codebase.</w:t>
      </w:r>
    </w:p>
    <w:p>
      <w:pPr>
        <w:pStyle w:val="Heading2"/>
        <w:spacing w:after="120" w:before="260"/>
      </w:pPr>
      <w:r>
        <w:rPr>
          <w:b/>
          <w:bCs/>
          <w:color w:val="1C7293"/>
          <w:sz w:val="24"/>
          <w:szCs w:val="24"/>
        </w:rPr>
        <w:t xml:space="preserve">9.4 Evidence-Grounded Code Generation</w:t>
      </w:r>
    </w:p>
    <w:p>
      <w:pPr>
        <w:spacing w:after="160" w:line="300"/>
        <w:jc w:val="both"/>
      </w:pPr>
      <w:r>
        <w:rPr>
          <w:sz w:val="22"/>
          <w:szCs w:val="22"/>
        </w:rPr>
        <w:t xml:space="preserve">Constructs prompts that explicitly embed retrieved repository evidence, sends them to the Gemini LLM, and syntax-validates the returned code before it is surfaced to the developer.</w:t>
      </w:r>
    </w:p>
    <w:p>
      <w:pPr>
        <w:pStyle w:val="Heading2"/>
        <w:spacing w:after="120" w:before="260"/>
      </w:pPr>
      <w:r>
        <w:rPr>
          <w:b/>
          <w:bCs/>
          <w:color w:val="1C7293"/>
          <w:sz w:val="24"/>
          <w:szCs w:val="24"/>
        </w:rPr>
        <w:t xml:space="preserve">9.5 Change Impact Analyzer</w:t>
      </w:r>
    </w:p>
    <w:p>
      <w:pPr>
        <w:spacing w:after="160" w:line="300"/>
        <w:jc w:val="both"/>
      </w:pPr>
      <w:r>
        <w:rPr>
          <w:sz w:val="22"/>
          <w:szCs w:val="22"/>
        </w:rPr>
        <w:t xml:space="preserve">Parses the repository into an abstract syntax tree, builds a dependency graph of functions, classes and modules, and reports which parts of the codebase would be structurally or semantically affected by a proposed change.</w:t>
      </w:r>
    </w:p>
    <w:p>
      <w:pPr>
        <w:pStyle w:val="Heading2"/>
        <w:spacing w:after="120" w:before="260"/>
      </w:pPr>
      <w:r>
        <w:rPr>
          <w:b/>
          <w:bCs/>
          <w:color w:val="1C7293"/>
          <w:sz w:val="24"/>
          <w:szCs w:val="24"/>
        </w:rPr>
        <w:t xml:space="preserve">9.6 Audit &amp; Admin Dashboard</w:t>
      </w:r>
    </w:p>
    <w:p>
      <w:pPr>
        <w:spacing w:after="160" w:line="300"/>
        <w:jc w:val="both"/>
      </w:pPr>
      <w:r>
        <w:rPr>
          <w:sz w:val="22"/>
          <w:szCs w:val="22"/>
        </w:rPr>
        <w:t xml:space="preserve">Persists a structured, redacted log of every request, retrieval, policy decision, generation, and impact analysis, and exposes it through a monitoring dashboard so that a security or compliance reviewer can inspect agent behaviour after the fact.</w:t>
      </w:r>
    </w:p>
    <w:p>
      <w:pPr>
        <w:pStyle w:val="Heading1"/>
        <w:pBdr>
          <w:bottom w:val="single" w:color="1E2761" w:sz="6" w:space="4"/>
        </w:pBdr>
        <w:spacing w:after="180" w:before="360"/>
      </w:pPr>
      <w:r>
        <w:rPr>
          <w:b/>
          <w:bCs/>
          <w:color w:val="1E2761"/>
          <w:sz w:val="30"/>
          <w:szCs w:val="30"/>
        </w:rPr>
        <w:t xml:space="preserve">10. Expected Outcomes</w:t>
      </w:r>
    </w:p>
    <w:p>
      <w:pPr>
        <w:pStyle w:val="ListParagraph"/>
        <w:numPr>
          <w:ilvl w:val="0"/>
          <w:numId w:val="2"/>
        </w:numPr>
        <w:spacing w:after="90" w:line="280"/>
      </w:pPr>
      <w:r>
        <w:rPr>
          <w:sz w:val="22"/>
          <w:szCs w:val="22"/>
        </w:rPr>
        <w:t xml:space="preserve">A working, demonstrable end-to-end pipeline that can accept a natural-language coding request and either safely fulfil it or explainably block it.</w:t>
      </w:r>
    </w:p>
    <w:p>
      <w:pPr>
        <w:pStyle w:val="ListParagraph"/>
        <w:numPr>
          <w:ilvl w:val="0"/>
          <w:numId w:val="2"/>
        </w:numPr>
        <w:spacing w:after="90" w:line="280"/>
      </w:pPr>
      <w:r>
        <w:rPr>
          <w:sz w:val="22"/>
          <w:szCs w:val="22"/>
        </w:rPr>
        <w:t xml:space="preserve">Quantitative proof of multilingual PII-detection accuracy on a purpose-built evaluation corpus.</w:t>
      </w:r>
    </w:p>
    <w:p>
      <w:pPr>
        <w:pStyle w:val="ListParagraph"/>
        <w:numPr>
          <w:ilvl w:val="0"/>
          <w:numId w:val="2"/>
        </w:numPr>
        <w:spacing w:after="90" w:line="280"/>
      </w:pPr>
      <w:r>
        <w:rPr>
          <w:sz w:val="22"/>
          <w:szCs w:val="22"/>
        </w:rPr>
        <w:t xml:space="preserve">A reusable dependency/impact-analysis module applicable beyond this project to any Python codebase.</w:t>
      </w:r>
    </w:p>
    <w:p>
      <w:pPr>
        <w:pStyle w:val="ListParagraph"/>
        <w:numPr>
          <w:ilvl w:val="0"/>
          <w:numId w:val="2"/>
        </w:numPr>
        <w:spacing w:after="90" w:line="280"/>
      </w:pPr>
      <w:r>
        <w:rPr>
          <w:sz w:val="22"/>
          <w:szCs w:val="22"/>
        </w:rPr>
        <w:t xml:space="preserve">A redacted, replayable audit trail suitable for compliance review.</w:t>
      </w:r>
    </w:p>
    <w:p>
      <w:pPr>
        <w:pStyle w:val="ListParagraph"/>
        <w:numPr>
          <w:ilvl w:val="0"/>
          <w:numId w:val="2"/>
        </w:numPr>
        <w:spacing w:after="90" w:line="280"/>
      </w:pPr>
      <w:r>
        <w:rPr>
          <w:sz w:val="22"/>
          <w:szCs w:val="22"/>
        </w:rPr>
        <w:t xml:space="preserve">A live demonstration scenario showing the system correctly distinguishing safe and unsafe requests on a simulated financial-services repository.</w:t>
      </w:r>
    </w:p>
    <w:p>
      <w:pPr>
        <w:pStyle w:val="Heading1"/>
        <w:pBdr>
          <w:bottom w:val="single" w:color="1E2761" w:sz="6" w:space="4"/>
        </w:pBdr>
        <w:spacing w:after="180" w:before="360"/>
      </w:pPr>
      <w:r>
        <w:rPr>
          <w:b/>
          <w:bCs/>
          <w:color w:val="1E2761"/>
          <w:sz w:val="30"/>
          <w:szCs w:val="30"/>
        </w:rPr>
        <w:t xml:space="preserve">11. Innovation / Novelty</w:t>
      </w:r>
    </w:p>
    <w:p>
      <w:pPr>
        <w:pStyle w:val="ListParagraph"/>
        <w:numPr>
          <w:ilvl w:val="0"/>
          <w:numId w:val="2"/>
        </w:numPr>
        <w:spacing w:after="90" w:line="280"/>
      </w:pPr>
      <w:r>
        <w:rPr>
          <w:sz w:val="22"/>
          <w:szCs w:val="22"/>
        </w:rPr>
        <w:t xml:space="preserve">Action-aware policy enforcement: the same sensitive data is evaluated differently depending on the risk of the requested action, rather than a uniform block/allow rule — a distinction largely absent from existing agent-observability tools such as Langfuse or Fiddler.</w:t>
      </w:r>
    </w:p>
    <w:p>
      <w:pPr>
        <w:pStyle w:val="ListParagraph"/>
        <w:numPr>
          <w:ilvl w:val="0"/>
          <w:numId w:val="2"/>
        </w:numPr>
        <w:spacing w:after="90" w:line="280"/>
      </w:pPr>
      <w:r>
        <w:rPr>
          <w:sz w:val="22"/>
          <w:szCs w:val="22"/>
        </w:rPr>
        <w:t xml:space="preserve">Multilingual, code-mixed PII detection: explicit support for Hindi and Hinglish code-mixed sensitive data, addressing a gap relevant to Indian enterprise codebases that English-first detectors miss.</w:t>
      </w:r>
    </w:p>
    <w:p>
      <w:pPr>
        <w:pStyle w:val="ListParagraph"/>
        <w:numPr>
          <w:ilvl w:val="0"/>
          <w:numId w:val="2"/>
        </w:numPr>
        <w:spacing w:after="90" w:line="280"/>
      </w:pPr>
      <w:r>
        <w:rPr>
          <w:sz w:val="22"/>
          <w:szCs w:val="22"/>
        </w:rPr>
        <w:t xml:space="preserve">A fully local, explainable governance layer that can be run without depending on a third-party SaaS observability platform, directly relevant to data-localization-sensitive sectors.</w:t>
      </w:r>
    </w:p>
    <w:p>
      <w:pPr>
        <w:pStyle w:val="ListParagraph"/>
        <w:numPr>
          <w:ilvl w:val="0"/>
          <w:numId w:val="2"/>
        </w:numPr>
        <w:spacing w:after="90" w:line="280"/>
      </w:pPr>
      <w:r>
        <w:rPr>
          <w:sz w:val="22"/>
          <w:szCs w:val="22"/>
        </w:rPr>
        <w:t xml:space="preserve">Integration of security governance, retrieval-grounded generation, and static-analysis-based impact prediction into a single coherent pipeline, rather than three separate point tools.</w:t>
      </w:r>
    </w:p>
    <w:p>
      <w:pPr>
        <w:pStyle w:val="Heading1"/>
        <w:pBdr>
          <w:bottom w:val="single" w:color="1E2761" w:sz="6" w:space="4"/>
        </w:pBdr>
        <w:spacing w:after="180" w:before="360"/>
      </w:pPr>
      <w:r>
        <w:rPr>
          <w:b/>
          <w:bCs/>
          <w:color w:val="1E2761"/>
          <w:sz w:val="30"/>
          <w:szCs w:val="30"/>
        </w:rPr>
        <w:t xml:space="preserve">12. Real-World Applications</w:t>
      </w:r>
    </w:p>
    <w:p>
      <w:pPr>
        <w:pStyle w:val="ListParagraph"/>
        <w:numPr>
          <w:ilvl w:val="0"/>
          <w:numId w:val="2"/>
        </w:numPr>
        <w:spacing w:after="90" w:line="280"/>
      </w:pPr>
      <w:r>
        <w:rPr>
          <w:sz w:val="22"/>
          <w:szCs w:val="22"/>
        </w:rPr>
        <w:t xml:space="preserve">Regulated-industry software teams (BFSI, healthcare, insurance) adopting AI coding assistants under data-localization or compliance mandates.</w:t>
      </w:r>
    </w:p>
    <w:p>
      <w:pPr>
        <w:pStyle w:val="ListParagraph"/>
        <w:numPr>
          <w:ilvl w:val="0"/>
          <w:numId w:val="2"/>
        </w:numPr>
        <w:spacing w:after="90" w:line="280"/>
      </w:pPr>
      <w:r>
        <w:rPr>
          <w:sz w:val="22"/>
          <w:szCs w:val="22"/>
        </w:rPr>
        <w:t xml:space="preserve">Enterprise platform teams that need an audit trail of AI-agent activity on internal repositories for security review.</w:t>
      </w:r>
    </w:p>
    <w:p>
      <w:pPr>
        <w:pStyle w:val="ListParagraph"/>
        <w:numPr>
          <w:ilvl w:val="0"/>
          <w:numId w:val="2"/>
        </w:numPr>
        <w:spacing w:after="90" w:line="280"/>
      </w:pPr>
      <w:r>
        <w:rPr>
          <w:sz w:val="22"/>
          <w:szCs w:val="22"/>
        </w:rPr>
        <w:t xml:space="preserve">Organizations operating in multilingual engineering environments where sensitive data appears in Hindi/Hinglish comments, test data, or documentation.</w:t>
      </w:r>
    </w:p>
    <w:p>
      <w:pPr>
        <w:pStyle w:val="ListParagraph"/>
        <w:numPr>
          <w:ilvl w:val="0"/>
          <w:numId w:val="2"/>
        </w:numPr>
        <w:spacing w:after="90" w:line="280"/>
      </w:pPr>
      <w:r>
        <w:rPr>
          <w:sz w:val="22"/>
          <w:szCs w:val="22"/>
        </w:rPr>
        <w:t xml:space="preserve">As a reference architecture for the emerging “AgentOps” tooling category more broadly.</w:t>
      </w:r>
    </w:p>
    <w:p>
      <w:pPr>
        <w:pStyle w:val="Heading1"/>
        <w:pBdr>
          <w:bottom w:val="single" w:color="1E2761" w:sz="6" w:space="4"/>
        </w:pBdr>
        <w:spacing w:after="180" w:before="360"/>
      </w:pPr>
      <w:r>
        <w:rPr>
          <w:b/>
          <w:bCs/>
          <w:color w:val="1E2761"/>
          <w:sz w:val="30"/>
          <w:szCs w:val="30"/>
        </w:rPr>
        <w:t xml:space="preserve">13. Limitations</w:t>
      </w:r>
    </w:p>
    <w:p>
      <w:pPr>
        <w:spacing w:after="160" w:line="300"/>
        <w:jc w:val="both"/>
      </w:pPr>
      <w:r>
        <w:rPr>
          <w:sz w:val="22"/>
          <w:szCs w:val="22"/>
        </w:rPr>
        <w:t xml:space="preserve">As an academic prototype developed within a single semester, Kavach has been built and evaluated to demonstrate the core governance mechanism rather than to be production-ready. Its current scope does not include full authentication and multi-tenant access control, horizontal scalability testing under production load, or exhaustive coverage of every PII category and every regional language. The retrieval index is currently rebuilt per session rather than persisted, and the LLM-generation component depends on a single external model provider (Gemini) rather than a provider-agnostic abstraction. These limitations are intentional scoping decisions appropriate to a 5-credit semester project and are documented transparently rather than overstated.</w:t>
      </w:r>
    </w:p>
    <w:p>
      <w:pPr>
        <w:pStyle w:val="Heading1"/>
        <w:pBdr>
          <w:bottom w:val="single" w:color="1E2761" w:sz="6" w:space="4"/>
        </w:pBdr>
        <w:spacing w:after="180" w:before="360"/>
      </w:pPr>
      <w:r>
        <w:rPr>
          <w:b/>
          <w:bCs/>
          <w:color w:val="1E2761"/>
          <w:sz w:val="30"/>
          <w:szCs w:val="30"/>
        </w:rPr>
        <w:t xml:space="preserve">14. Future Scope</w:t>
      </w:r>
    </w:p>
    <w:p>
      <w:pPr>
        <w:pStyle w:val="ListParagraph"/>
        <w:numPr>
          <w:ilvl w:val="0"/>
          <w:numId w:val="2"/>
        </w:numPr>
        <w:spacing w:after="90" w:line="280"/>
      </w:pPr>
      <w:r>
        <w:rPr>
          <w:sz w:val="22"/>
          <w:szCs w:val="22"/>
        </w:rPr>
        <w:t xml:space="preserve">Persistent, incrementally updated vector index instead of per-session in-memory indexing.</w:t>
      </w:r>
    </w:p>
    <w:p>
      <w:pPr>
        <w:pStyle w:val="ListParagraph"/>
        <w:numPr>
          <w:ilvl w:val="0"/>
          <w:numId w:val="2"/>
        </w:numPr>
        <w:spacing w:after="90" w:line="280"/>
      </w:pPr>
      <w:r>
        <w:rPr>
          <w:sz w:val="22"/>
          <w:szCs w:val="22"/>
        </w:rPr>
        <w:t xml:space="preserve">Support for additional Indian languages and broader PII taxonomies (e.g. GSTIN, passport numbers, bank account formats).</w:t>
      </w:r>
    </w:p>
    <w:p>
      <w:pPr>
        <w:pStyle w:val="ListParagraph"/>
        <w:numPr>
          <w:ilvl w:val="0"/>
          <w:numId w:val="2"/>
        </w:numPr>
        <w:spacing w:after="90" w:line="280"/>
      </w:pPr>
      <w:r>
        <w:rPr>
          <w:sz w:val="22"/>
          <w:szCs w:val="22"/>
        </w:rPr>
        <w:t xml:space="preserve">Pluggable LLM back-ends to avoid single-provider dependency.</w:t>
      </w:r>
    </w:p>
    <w:p>
      <w:pPr>
        <w:pStyle w:val="ListParagraph"/>
        <w:numPr>
          <w:ilvl w:val="0"/>
          <w:numId w:val="2"/>
        </w:numPr>
        <w:spacing w:after="90" w:line="280"/>
      </w:pPr>
      <w:r>
        <w:rPr>
          <w:sz w:val="22"/>
          <w:szCs w:val="22"/>
        </w:rPr>
        <w:t xml:space="preserve">Role-based access control and full authentication for multi-user deployment.</w:t>
      </w:r>
    </w:p>
    <w:p>
      <w:pPr>
        <w:pStyle w:val="ListParagraph"/>
        <w:numPr>
          <w:ilvl w:val="0"/>
          <w:numId w:val="2"/>
        </w:numPr>
        <w:spacing w:after="90" w:line="280"/>
      </w:pPr>
      <w:r>
        <w:rPr>
          <w:sz w:val="22"/>
          <w:szCs w:val="22"/>
        </w:rPr>
        <w:t xml:space="preserve">Integration with real CI/CD pipelines (e.g. as a GitHub Actions check) so policy enforcement happens directly inside a pull-request workflow.</w:t>
      </w:r>
    </w:p>
    <w:p>
      <w:pPr>
        <w:pStyle w:val="ListParagraph"/>
        <w:numPr>
          <w:ilvl w:val="0"/>
          <w:numId w:val="2"/>
        </w:numPr>
        <w:spacing w:after="90" w:line="280"/>
      </w:pPr>
      <w:r>
        <w:rPr>
          <w:sz w:val="22"/>
          <w:szCs w:val="22"/>
        </w:rPr>
        <w:t xml:space="preserve">Extending the impact analyzer beyond Python to multi-language repositories.</w:t>
      </w:r>
    </w:p>
    <w:p>
      <w:pPr>
        <w:pStyle w:val="Heading1"/>
        <w:pBdr>
          <w:bottom w:val="single" w:color="1E2761" w:sz="6" w:space="4"/>
        </w:pBdr>
        <w:spacing w:after="180" w:before="360"/>
      </w:pPr>
      <w:r>
        <w:rPr>
          <w:b/>
          <w:bCs/>
          <w:color w:val="1E2761"/>
          <w:sz w:val="30"/>
          <w:szCs w:val="30"/>
        </w:rPr>
        <w:t xml:space="preserve">15. References</w:t>
      </w:r>
    </w:p>
    <w:p>
      <w:pPr>
        <w:spacing w:after="160" w:line="300"/>
        <w:jc w:val="both"/>
      </w:pPr>
      <w:r>
        <w:rPr>
          <w:sz w:val="20"/>
          <w:szCs w:val="20"/>
        </w:rPr>
        <w:t xml:space="preserve">1. Google AI for Developers — Gemini API Documentation, https://ai.google.dev/</w:t>
      </w:r>
    </w:p>
    <w:p>
      <w:pPr>
        <w:spacing w:after="160" w:line="300"/>
        <w:jc w:val="both"/>
      </w:pPr>
      <w:r>
        <w:rPr>
          <w:sz w:val="20"/>
          <w:szCs w:val="20"/>
        </w:rPr>
        <w:t xml:space="preserve">2. FastAPI Documentation, https://fastapi.tiangolo.com/</w:t>
      </w:r>
    </w:p>
    <w:p>
      <w:pPr>
        <w:spacing w:after="160" w:line="300"/>
        <w:jc w:val="both"/>
      </w:pPr>
      <w:r>
        <w:rPr>
          <w:sz w:val="20"/>
          <w:szCs w:val="20"/>
        </w:rPr>
        <w:t xml:space="preserve">3. Reserve Bank of India — Guidelines on Data Localization for Payment Systems.</w:t>
      </w:r>
    </w:p>
    <w:p>
      <w:pPr>
        <w:spacing w:after="160" w:line="300"/>
        <w:jc w:val="both"/>
      </w:pPr>
      <w:r>
        <w:rPr>
          <w:sz w:val="20"/>
          <w:szCs w:val="20"/>
        </w:rPr>
        <w:t xml:space="preserve">4. Python Software Foundation — ast module documentation, https://docs.python.org/3/library/ast.html</w:t>
      </w:r>
    </w:p>
    <w:p>
      <w:pPr>
        <w:spacing w:after="160" w:line="300"/>
        <w:jc w:val="both"/>
      </w:pPr>
      <w:r>
        <w:rPr>
          <w:sz w:val="20"/>
          <w:szCs w:val="20"/>
        </w:rPr>
        <w:t xml:space="preserve">5. Project repository: KAVACH, https://github.com/jaindhruv1923/KAVACH</w:t>
      </w:r>
    </w:p>
    <w:p>
      <w:pPr>
        <w:spacing w:after="160" w:line="300"/>
        <w:jc w:val="both"/>
      </w:pPr>
      <w:r>
        <w:rPr>
          <w:sz w:val="20"/>
          <w:szCs w:val="20"/>
        </w:rPr>
        <w:t xml:space="preserve">6. Industry discourse on AgentOps and AI-agent observability tooling (Langfuse, Fiddler, Lyzr) — referenced for comparative analysis.</w:t>
      </w:r>
    </w:p>
    <w:sectPr>
      <w:pgSz w:w="12240" w:h="15840" w:orient="portrait"/>
      <w:pgMar w:top="1080" w:right="1160" w:bottom="1080" w:left="1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2026-09-17T05:16:52.306Z</dcterms:created>
  <dcterms:modified xsi:type="dcterms:W3CDTF">2026-09-17T05:16:52.314Z</dcterms:modified>
</cp:coreProperties>
</file>

<file path=docProps/custom.xml><?xml version="1.0" encoding="utf-8"?>
<Properties xmlns="http://schemas.openxmlformats.org/officeDocument/2006/custom-properties" xmlns:vt="http://schemas.openxmlformats.org/officeDocument/2006/docPropsVTypes"/>
</file>