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Nishu — Audio Pipeline &amp; On-Device Model Report</w:t>
      </w:r>
    </w:p>
    <w:p>
      <w:pPr>
        <w:jc w:val="center"/>
      </w:pPr>
      <w:r>
        <w:rPr>
          <w:i/>
          <w:color w:val="5F6964"/>
        </w:rPr>
        <w:t>Status summary | 3 October 2026</w:t>
      </w:r>
    </w:p>
    <w:p>
      <w:pPr>
        <w:pStyle w:val="Heading1"/>
      </w:pPr>
      <w:r>
        <w:t>1. Objective and Architecture</w:t>
      </w:r>
    </w:p>
    <w:p>
      <w:r>
        <w:t>Project Nishu V0.1 is an Android-first, local-processing assistant for recording/importing audio, transcribing speech, and generating summaries, tasks and decisions. The documented pipeline uses sherpa-onnx with an Oriserve Whisper-Hindi2Hinglish-Swift INT8 model for STT, followed by an on-device Qwen3-0.6B language model for text processing. The intended privacy benefit is that audio and transcripts can be processed without sending them to a cloud service.</w:t>
      </w:r>
    </w:p>
    <w:p>
      <w:pPr>
        <w:pStyle w:val="Heading1"/>
      </w:pPr>
      <w:r>
        <w:t>2. Audio Pre-processing and VAD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What it does</w:t>
            </w:r>
          </w:p>
        </w:tc>
        <w:tc>
          <w:tcPr>
            <w:tcW w:type="dxa" w:w="3360"/>
          </w:tcPr>
          <w:p>
            <w:r>
              <w:t>Why it is used / status</w:t>
            </w:r>
          </w:p>
        </w:tc>
      </w:tr>
      <w:tr>
        <w:tc>
          <w:tcPr>
            <w:tcW w:type="dxa" w:w="3360"/>
            <w:vAlign w:val="center"/>
          </w:tcPr>
          <w:p>
            <w:r>
              <w:t>80 Hz high-pass filter</w:t>
            </w:r>
          </w:p>
        </w:tc>
        <w:tc>
          <w:tcPr>
            <w:tcW w:type="dxa" w:w="3360"/>
            <w:vAlign w:val="center"/>
          </w:tcPr>
          <w:p>
            <w:r>
              <w:t>Reduces very-low-frequency rumble and handling noise.</w:t>
            </w:r>
          </w:p>
        </w:tc>
        <w:tc>
          <w:tcPr>
            <w:tcW w:type="dxa" w:w="3360"/>
            <w:vAlign w:val="center"/>
          </w:tcPr>
          <w:p>
            <w:r>
              <w:t>Documented in the pipeline notes; verify final device configuration.</w:t>
            </w:r>
          </w:p>
        </w:tc>
      </w:tr>
      <w:tr>
        <w:tc>
          <w:tcPr>
            <w:tcW w:type="dxa" w:w="3360"/>
            <w:vAlign w:val="center"/>
          </w:tcPr>
          <w:p>
            <w:r>
              <w:t>7.5 kHz low-pass filter</w:t>
            </w:r>
          </w:p>
        </w:tc>
        <w:tc>
          <w:tcPr>
            <w:tcW w:type="dxa" w:w="3360"/>
            <w:vAlign w:val="center"/>
          </w:tcPr>
          <w:p>
            <w:r>
              <w:t>Attenuates higher-frequency content above its cutoff.</w:t>
            </w:r>
          </w:p>
        </w:tc>
        <w:tc>
          <w:tcPr>
            <w:tcW w:type="dxa" w:w="3360"/>
            <w:vAlign w:val="center"/>
          </w:tcPr>
          <w:p>
            <w:r>
              <w:t>Listed in the supplied notes; independent accuracy benefit has not been established.</w:t>
            </w:r>
          </w:p>
        </w:tc>
      </w:tr>
      <w:tr>
        <w:tc>
          <w:tcPr>
            <w:tcW w:type="dxa" w:w="3360"/>
            <w:vAlign w:val="center"/>
          </w:tcPr>
          <w:p>
            <w:r>
              <w:t>Level normalization (~−20 dBFS target; up to +18 dB gain)</w:t>
            </w:r>
          </w:p>
        </w:tc>
        <w:tc>
          <w:tcPr>
            <w:tcW w:type="dxa" w:w="3360"/>
            <w:vAlign w:val="center"/>
          </w:tcPr>
          <w:p>
            <w:r>
              <w:t>Brings recording level closer to a target level.</w:t>
            </w:r>
          </w:p>
        </w:tc>
        <w:tc>
          <w:tcPr>
            <w:tcW w:type="dxa" w:w="3360"/>
            <w:vAlign w:val="center"/>
          </w:tcPr>
          <w:p>
            <w:r>
              <w:t>Documented target; may amplify background noise as well as speech.</w:t>
            </w:r>
          </w:p>
        </w:tc>
      </w:tr>
      <w:tr>
        <w:tc>
          <w:tcPr>
            <w:tcW w:type="dxa" w:w="3360"/>
            <w:vAlign w:val="center"/>
          </w:tcPr>
          <w:p>
            <w:r>
              <w:t>Pre-emphasis (0.97)</w:t>
            </w:r>
          </w:p>
        </w:tc>
        <w:tc>
          <w:tcPr>
            <w:tcW w:type="dxa" w:w="3360"/>
            <w:vAlign w:val="center"/>
          </w:tcPr>
          <w:p>
            <w:r>
              <w:t>Boosts higher-frequency components relative to lower ones.</w:t>
            </w:r>
          </w:p>
        </w:tc>
        <w:tc>
          <w:tcPr>
            <w:tcW w:type="dxa" w:w="3360"/>
            <w:vAlign w:val="center"/>
          </w:tcPr>
          <w:p>
            <w:r>
              <w:t>Reportedly removed because it appeared to harm speech/formant cues and transcription.</w:t>
            </w:r>
          </w:p>
        </w:tc>
      </w:tr>
      <w:tr>
        <w:tc>
          <w:tcPr>
            <w:tcW w:type="dxa" w:w="3360"/>
            <w:vAlign w:val="center"/>
          </w:tcPr>
          <w:p>
            <w:r>
              <w:t>Intra-speech noise gate</w:t>
            </w:r>
          </w:p>
        </w:tc>
        <w:tc>
          <w:tcPr>
            <w:tcW w:type="dxa" w:w="3360"/>
            <w:vAlign w:val="center"/>
          </w:tcPr>
          <w:p>
            <w:r>
              <w:t>Suppresses audio below a threshold during speech.</w:t>
            </w:r>
          </w:p>
        </w:tc>
        <w:tc>
          <w:tcPr>
            <w:tcW w:type="dxa" w:w="3360"/>
            <w:vAlign w:val="center"/>
          </w:tcPr>
          <w:p>
            <w:r>
              <w:t>Reportedly disabled because soft consonants and word onsets could be cut.</w:t>
            </w:r>
          </w:p>
        </w:tc>
      </w:tr>
      <w:tr>
        <w:tc>
          <w:tcPr>
            <w:tcW w:type="dxa" w:w="3360"/>
            <w:vAlign w:val="center"/>
          </w:tcPr>
          <w:p>
            <w:r>
              <w:t>320 ms silence prefix</w:t>
            </w:r>
          </w:p>
        </w:tc>
        <w:tc>
          <w:tcPr>
            <w:tcW w:type="dxa" w:w="3360"/>
            <w:vAlign w:val="center"/>
          </w:tcPr>
          <w:p>
            <w:r>
              <w:t>Adds a short silent lead-in to the audio.</w:t>
            </w:r>
          </w:p>
        </w:tc>
        <w:tc>
          <w:tcPr>
            <w:tcW w:type="dxa" w:w="3360"/>
            <w:vAlign w:val="center"/>
          </w:tcPr>
          <w:p>
            <w:r>
              <w:t>Reported as a cold-start stabilization measure; verify on current build.</w:t>
            </w:r>
          </w:p>
        </w:tc>
      </w:tr>
      <w:tr>
        <w:tc>
          <w:tcPr>
            <w:tcW w:type="dxa" w:w="3360"/>
            <w:vAlign w:val="center"/>
          </w:tcPr>
          <w:p>
            <w:r>
              <w:t>~200 ms speaker-boundary padding</w:t>
            </w:r>
          </w:p>
        </w:tc>
        <w:tc>
          <w:tcPr>
            <w:tcW w:type="dxa" w:w="3360"/>
            <w:vAlign w:val="center"/>
          </w:tcPr>
          <w:p>
            <w:r>
              <w:t>Preserves audio around speaker-turn boundaries.</w:t>
            </w:r>
          </w:p>
        </w:tc>
        <w:tc>
          <w:tcPr>
            <w:tcW w:type="dxa" w:w="3360"/>
            <w:vAlign w:val="center"/>
          </w:tcPr>
          <w:p>
            <w:r>
              <w:t>Reported as a mitigation for words being clipped at boundaries.</w:t>
            </w:r>
          </w:p>
        </w:tc>
      </w:tr>
      <w:tr>
        <w:tc>
          <w:tcPr>
            <w:tcW w:type="dxa" w:w="3360"/>
            <w:vAlign w:val="center"/>
          </w:tcPr>
          <w:p>
            <w:r>
              <w:t>Email post-formatting</w:t>
            </w:r>
          </w:p>
        </w:tc>
        <w:tc>
          <w:tcPr>
            <w:tcW w:type="dxa" w:w="3360"/>
            <w:vAlign w:val="center"/>
          </w:tcPr>
          <w:p>
            <w:r>
              <w:t>Converts spoken forms such as “name at the rate gmail dot com” to email syntax.</w:t>
            </w:r>
          </w:p>
        </w:tc>
        <w:tc>
          <w:tcPr>
            <w:tcW w:type="dxa" w:w="3360"/>
            <w:vAlign w:val="center"/>
          </w:tcPr>
          <w:p>
            <w:r>
              <w:t>Reported as a post-processing rule; test on varied examples.</w:t>
            </w:r>
          </w:p>
        </w:tc>
      </w:tr>
    </w:tbl>
    <w:p>
      <w:r>
        <w:t>VAD means Voice Activity Detection. Nishu uses Silero VAD to detect likely speech regions and help segment audio rather than sending long stretches of silence through STT. Reported settings include threshold 0.5, minimum speech 0.25 s, minimum silence around 0.25 s (some later notes say 0.45 s), and a maximum segment of 28 s. Because the notes differ on the silence setting and later batching limits, confirm the exact values in the current source code before treating them as final.</w:t>
      </w:r>
    </w:p>
    <w:p>
      <w:pPr>
        <w:pStyle w:val="Heading1"/>
      </w:pPr>
      <w:r>
        <w:t>3. On-device Benchmark (reported test)</w:t>
      </w:r>
    </w:p>
    <w:p>
      <w:r>
        <w:t>Test device: Motorola Edge 60 Fusion, MediaTek Dimensity 7400, Android 16, approximately 7.6 GB RAM. Test audio: a 42.7-minute, predominantly English product-marketing meeting.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Reported result</w:t>
            </w:r>
          </w:p>
        </w:tc>
        <w:tc>
          <w:tcPr>
            <w:tcW w:type="dxa" w:w="3360"/>
          </w:tcPr>
          <w:p>
            <w:r>
              <w:t>Interpretation / caveat</w:t>
            </w:r>
          </w:p>
        </w:tc>
      </w:tr>
      <w:tr>
        <w:tc>
          <w:tcPr>
            <w:tcW w:type="dxa" w:w="3360"/>
          </w:tcPr>
          <w:p>
            <w:r>
              <w:t>End-to-end processing</w:t>
            </w:r>
          </w:p>
        </w:tc>
        <w:tc>
          <w:tcPr>
            <w:tcW w:type="dxa" w:w="3360"/>
          </w:tcPr>
          <w:p>
            <w:r>
              <w:t>860 s (~14.3 min)</w:t>
            </w:r>
          </w:p>
        </w:tc>
        <w:tc>
          <w:tcPr>
            <w:tcW w:type="dxa" w:w="3360"/>
          </w:tcPr>
          <w:p>
            <w:r>
              <w:t>Faster than real-time overall in this test.</w:t>
            </w:r>
          </w:p>
        </w:tc>
      </w:tr>
      <w:tr>
        <w:tc>
          <w:tcPr>
            <w:tcW w:type="dxa" w:w="3360"/>
          </w:tcPr>
          <w:p>
            <w:r>
              <w:t>STT</w:t>
            </w:r>
          </w:p>
        </w:tc>
        <w:tc>
          <w:tcPr>
            <w:tcW w:type="dxa" w:w="3360"/>
          </w:tcPr>
          <w:p>
            <w:r>
              <w:t>670 s; 778 segments</w:t>
            </w:r>
          </w:p>
        </w:tc>
        <w:tc>
          <w:tcPr>
            <w:tcW w:type="dxa" w:w="3360"/>
          </w:tcPr>
          <w:p>
            <w:r>
              <w:t>Transcript still had missed English words and short Hindi-like hallucinations.</w:t>
            </w:r>
          </w:p>
        </w:tc>
      </w:tr>
      <w:tr>
        <w:tc>
          <w:tcPr>
            <w:tcW w:type="dxa" w:w="3360"/>
          </w:tcPr>
          <w:p>
            <w:r>
              <w:t>Summarization</w:t>
            </w:r>
          </w:p>
        </w:tc>
        <w:tc>
          <w:tcPr>
            <w:tcW w:type="dxa" w:w="3360"/>
          </w:tcPr>
          <w:p>
            <w:r>
              <w:t>190 s</w:t>
            </w:r>
          </w:p>
        </w:tc>
        <w:tc>
          <w:tcPr>
            <w:tcW w:type="dxa" w:w="3360"/>
          </w:tcPr>
          <w:p>
            <w:r>
              <w:t>The first reported run covered only 12 chunks; later cap increased to 36, but the expanded run was not verified in the supplied report.</w:t>
            </w:r>
          </w:p>
        </w:tc>
      </w:tr>
      <w:tr>
        <w:tc>
          <w:tcPr>
            <w:tcW w:type="dxa" w:w="3360"/>
          </w:tcPr>
          <w:p>
            <w:r>
              <w:t>LLM prefill</w:t>
            </w:r>
          </w:p>
        </w:tc>
        <w:tc>
          <w:tcPr>
            <w:tcW w:type="dxa" w:w="3360"/>
          </w:tcPr>
          <w:p>
            <w:r>
              <w:t>168 tok/s, up from 47 tok/s</w:t>
            </w:r>
          </w:p>
        </w:tc>
        <w:tc>
          <w:tcPr>
            <w:tcW w:type="dxa" w:w="3360"/>
          </w:tcPr>
          <w:p>
            <w:r>
              <w:t>Reported CPU/runtime optimization; benchmark conditions should be kept consistent.</w:t>
            </w:r>
          </w:p>
        </w:tc>
      </w:tr>
      <w:tr>
        <w:tc>
          <w:tcPr>
            <w:tcW w:type="dxa" w:w="3360"/>
          </w:tcPr>
          <w:p>
            <w:r>
              <w:t>LLM decode</w:t>
            </w:r>
          </w:p>
        </w:tc>
        <w:tc>
          <w:tcPr>
            <w:tcW w:type="dxa" w:w="3360"/>
          </w:tcPr>
          <w:p>
            <w:r>
              <w:t>~20 tok/s</w:t>
            </w:r>
          </w:p>
        </w:tc>
        <w:tc>
          <w:tcPr>
            <w:tcW w:type="dxa" w:w="3360"/>
          </w:tcPr>
          <w:p>
            <w:r>
              <w:t>Reported on-device result.</w:t>
            </w:r>
          </w:p>
        </w:tc>
      </w:tr>
      <w:tr>
        <w:tc>
          <w:tcPr>
            <w:tcW w:type="dxa" w:w="3360"/>
          </w:tcPr>
          <w:p>
            <w:r>
              <w:t>LLM memory (PSS)</w:t>
            </w:r>
          </w:p>
        </w:tc>
        <w:tc>
          <w:tcPr>
            <w:tcW w:type="dxa" w:w="3360"/>
          </w:tcPr>
          <w:p>
            <w:r>
              <w:t>~642 MB, down from ~1.17 GB</w:t>
            </w:r>
          </w:p>
        </w:tc>
        <w:tc>
          <w:tcPr>
            <w:tcW w:type="dxa" w:w="3360"/>
          </w:tcPr>
          <w:p>
            <w:r>
              <w:t>Reported after disabling weight repacking; the stated 500 MB PSS target was not met.</w:t>
            </w:r>
          </w:p>
        </w:tc>
      </w:tr>
    </w:tbl>
    <w:p>
      <w:pPr>
        <w:pStyle w:val="Heading1"/>
      </w:pPr>
      <w:r>
        <w:t>4. Fine-tuned Qwen3-0.6B: Evaluation Snapshot</w:t>
      </w:r>
    </w:p>
    <w:p>
      <w:r>
        <w:t>The supplied evaluation reports 71 tool-call examples and 150 normal-chat examples for the fine-tuned model. Tool-name accuracy was 71/71 (100%); exact argument accuracy was 64/71 (~90.1%); and false tool triggers were 1/150 (~0.7%). Calculator exact arguments were 12/16 (75%) and set_timer exact arguments were 7/10 (70%). These are results on a small test set, not proof of production readiness. A same-test-set comparison against stock Qwen3-0.6B has not been provided, so the improvement due to fine-tuning is not yet quantified.</w:t>
      </w:r>
    </w:p>
    <w:p>
      <w:pPr>
        <w:pStyle w:val="Heading1"/>
      </w:pPr>
      <w:r>
        <w:t>5. Issues and Next Actions</w:t>
      </w:r>
    </w:p>
    <w:p>
      <w:pPr>
        <w:pStyle w:val="ListBullet"/>
      </w:pPr>
      <w:r>
        <w:t>Run controlled STT ablations on the same audio: baseline, high-pass only, low-pass only, normalization only, and combined chain. Compare against a manually checked reference transcript (WER/CER), not word count alone.</w:t>
      </w:r>
    </w:p>
    <w:p>
      <w:pPr>
        <w:pStyle w:val="ListBullet"/>
      </w:pPr>
      <w:r>
        <w:t>Verify the exact filter chain, VAD thresholds, segment batching and padding in the current Android source and installed build.</w:t>
      </w:r>
    </w:p>
    <w:p>
      <w:pPr>
        <w:pStyle w:val="ListBullet"/>
      </w:pPr>
      <w:r>
        <w:t>Test English and Hinglish recordings separately. Evaluate language routing (English-oriented Whisper versus Swift) before adopting it.</w:t>
      </w:r>
    </w:p>
    <w:p>
      <w:pPr>
        <w:pStyle w:val="ListBullet"/>
      </w:pPr>
      <w:r>
        <w:t>Review the seven tool-argument failures and the one false tool trigger; add held-out Hinglish and edge-case tests.</w:t>
      </w:r>
    </w:p>
    <w:p>
      <w:pPr>
        <w:pStyle w:val="ListBullet"/>
      </w:pPr>
      <w:r>
        <w:t>Run stock and fine-tuned Qwen3-0.6B on identical prompts, decoding settings and scoring rules.</w:t>
      </w:r>
    </w:p>
    <w:p>
      <w:pPr>
        <w:pStyle w:val="ListBullet"/>
      </w:pPr>
      <w:r>
        <w:t>Re-run the complete long-meeting workflow with the 36-chunk cap and confirm transcript, summary, memory, battery and thermal behavior on the physical device.</w:t>
      </w:r>
    </w:p>
    <w:p>
      <w:pPr>
        <w:pStyle w:val="ListBullet"/>
      </w:pPr>
      <w:r>
        <w:t>Keep speaker diarization disabled or limited for long/noisy meetings until false speaker clusters are measured and controlled.</w:t>
      </w:r>
    </w:p>
    <w:p>
      <w:pPr>
        <w:spacing w:before="100"/>
      </w:pPr>
      <w:r>
        <w:rPr>
          <w:b/>
        </w:rPr>
        <w:t xml:space="preserve">Status note: </w:t>
      </w:r>
      <w:r>
        <w:t>This report distinguishes reported implementation/test results from items that still need verification. “Build successful” and individual unit-test results do not, by themselves, establish transcription accuracy or production readiness.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C3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