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875"/>
        <w:tblW w:w="11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B0151F" w14:paraId="60D667C2" w14:textId="77777777" w:rsidTr="00A84EEA">
        <w:trPr>
          <w:trHeight w:val="14927"/>
        </w:trPr>
        <w:tc>
          <w:tcPr>
            <w:tcW w:w="11906" w:type="dxa"/>
            <w:shd w:val="clear" w:color="auto" w:fill="0B3556"/>
            <w:tcMar>
              <w:top w:w="1800" w:type="dxa"/>
              <w:left w:w="1440" w:type="dxa"/>
              <w:bottom w:w="1800" w:type="dxa"/>
              <w:right w:w="1440" w:type="dxa"/>
            </w:tcMar>
            <w:vAlign w:val="center"/>
          </w:tcPr>
          <w:p w14:paraId="60D667BC" w14:textId="77777777" w:rsidR="00B0151F" w:rsidRDefault="00BE22D9" w:rsidP="00A84EEA">
            <w:pPr>
              <w:pStyle w:val="ListParagraph"/>
            </w:pPr>
            <w:r>
              <w:t xml:space="preserve">TATA </w:t>
            </w:r>
            <w:proofErr w:type="gramStart"/>
            <w:r>
              <w:t>POWER  |</w:t>
            </w:r>
            <w:proofErr w:type="gramEnd"/>
            <w:r>
              <w:t xml:space="preserve">  EV CHARGING NETWORK</w:t>
            </w:r>
          </w:p>
          <w:p w14:paraId="60D667BD" w14:textId="77777777" w:rsidR="00B0151F" w:rsidRDefault="00BE22D9" w:rsidP="00A84EEA">
            <w:pPr>
              <w:spacing w:after="200"/>
            </w:pPr>
            <w:r>
              <w:rPr>
                <w:b/>
                <w:bCs/>
                <w:color w:val="FFFFFF"/>
                <w:sz w:val="56"/>
                <w:szCs w:val="56"/>
              </w:rPr>
              <w:t>Exploratory Data Analysis</w:t>
            </w:r>
          </w:p>
          <w:p w14:paraId="60D667BE" w14:textId="77777777" w:rsidR="00B0151F" w:rsidRDefault="00BE22D9" w:rsidP="00A84EEA">
            <w:pPr>
              <w:spacing w:after="500"/>
            </w:pPr>
            <w:r>
              <w:rPr>
                <w:b/>
                <w:bCs/>
                <w:color w:val="F2A65A"/>
                <w:sz w:val="56"/>
                <w:szCs w:val="56"/>
              </w:rPr>
              <w:t>Report</w:t>
            </w:r>
          </w:p>
          <w:p w14:paraId="60D667BF" w14:textId="77777777" w:rsidR="00B0151F" w:rsidRDefault="00BE22D9" w:rsidP="00A84EEA">
            <w:pPr>
              <w:pBdr>
                <w:top w:val="single" w:sz="6" w:space="10" w:color="3E6E96"/>
              </w:pBdr>
              <w:spacing w:after="120"/>
            </w:pPr>
            <w:r>
              <w:rPr>
                <w:color w:val="FFFFFF"/>
                <w:sz w:val="2"/>
                <w:szCs w:val="2"/>
              </w:rPr>
              <w:t xml:space="preserve"> </w:t>
            </w:r>
          </w:p>
          <w:p w14:paraId="60D667C0" w14:textId="77777777" w:rsidR="00B0151F" w:rsidRDefault="00BE22D9" w:rsidP="00A84EEA">
            <w:pPr>
              <w:spacing w:after="90"/>
            </w:pPr>
            <w:r>
              <w:rPr>
                <w:b/>
                <w:bCs/>
                <w:color w:val="9FC5E8"/>
                <w:sz w:val="19"/>
                <w:szCs w:val="19"/>
              </w:rPr>
              <w:t xml:space="preserve">PROJECT   </w:t>
            </w:r>
            <w:r>
              <w:rPr>
                <w:color w:val="FFFFFF"/>
              </w:rPr>
              <w:t>Bengaluru EV Charging Network Expansion</w:t>
            </w:r>
          </w:p>
          <w:p w14:paraId="679C4CA5" w14:textId="77777777" w:rsidR="00B0151F" w:rsidRDefault="00BE22D9" w:rsidP="00A84EEA">
            <w:pPr>
              <w:spacing w:after="90"/>
              <w:rPr>
                <w:color w:val="FFFFFF"/>
              </w:rPr>
            </w:pPr>
            <w:r>
              <w:rPr>
                <w:b/>
                <w:bCs/>
                <w:color w:val="9FC5E8"/>
                <w:sz w:val="19"/>
                <w:szCs w:val="19"/>
              </w:rPr>
              <w:t xml:space="preserve">OBJECTIVE   </w:t>
            </w:r>
            <w:r>
              <w:rPr>
                <w:color w:val="FFFFFF"/>
              </w:rPr>
              <w:t>Analyze EV charging usage, customer behavior, station utilization, and financial feasibility to identify expansion opportunities across Bengaluru.</w:t>
            </w:r>
          </w:p>
          <w:p w14:paraId="60D667C1" w14:textId="77777777" w:rsidR="00A84EEA" w:rsidRDefault="00A84EEA" w:rsidP="00A84EEA">
            <w:pPr>
              <w:spacing w:after="90"/>
            </w:pPr>
          </w:p>
        </w:tc>
      </w:tr>
    </w:tbl>
    <w:p w14:paraId="13F2D678" w14:textId="77777777" w:rsidR="00A84EEA" w:rsidRDefault="00A84EEA">
      <w:pPr>
        <w:pStyle w:val="Heading1"/>
        <w:shd w:val="clear" w:color="auto" w:fill="0B3556"/>
        <w:spacing w:before="400" w:after="240"/>
        <w:rPr>
          <w:b/>
          <w:bCs/>
          <w:color w:val="F2A65A"/>
          <w:sz w:val="30"/>
          <w:szCs w:val="30"/>
        </w:rPr>
      </w:pPr>
    </w:p>
    <w:p w14:paraId="60D667C4" w14:textId="26187951" w:rsidR="00B0151F" w:rsidRDefault="00BE22D9">
      <w:pPr>
        <w:pStyle w:val="Heading1"/>
        <w:shd w:val="clear" w:color="auto" w:fill="0B3556"/>
        <w:spacing w:before="400" w:after="240"/>
      </w:pPr>
      <w:r>
        <w:rPr>
          <w:b/>
          <w:bCs/>
          <w:color w:val="F2A65A"/>
          <w:sz w:val="30"/>
          <w:szCs w:val="30"/>
        </w:rPr>
        <w:lastRenderedPageBreak/>
        <w:t xml:space="preserve">  1   </w:t>
      </w:r>
      <w:r>
        <w:rPr>
          <w:b/>
          <w:bCs/>
          <w:color w:val="FFFFFF"/>
          <w:sz w:val="30"/>
          <w:szCs w:val="30"/>
        </w:rPr>
        <w:t>Executive Summary</w:t>
      </w:r>
      <w:r>
        <w:rPr>
          <w:sz w:val="30"/>
          <w:szCs w:val="30"/>
        </w:rPr>
        <w:t xml:space="preserve">   </w:t>
      </w:r>
    </w:p>
    <w:p w14:paraId="60D667C5" w14:textId="77777777" w:rsidR="00B0151F" w:rsidRDefault="00BE22D9">
      <w:pPr>
        <w:spacing w:after="160" w:line="276" w:lineRule="auto"/>
      </w:pPr>
      <w:r>
        <w:t>This analysis examines Tata Power's EV charging ecosystem across Bengaluru using five interconnected datasets covering 114,000 charging sessions, 8,000 customers, 65 operational charging stations, and 98 proposed expansion projects across 18 districts.</w:t>
      </w:r>
    </w:p>
    <w:p w14:paraId="60D667C6" w14:textId="77777777" w:rsidR="00B0151F" w:rsidRDefault="00BE22D9">
      <w:pPr>
        <w:spacing w:before="60" w:after="100"/>
      </w:pPr>
      <w:r>
        <w:rPr>
          <w:b/>
          <w:bCs/>
        </w:rPr>
        <w:t>The analysis focuses on four business objectives:</w:t>
      </w:r>
    </w:p>
    <w:p w14:paraId="60D667C7" w14:textId="77777777" w:rsidR="00B0151F" w:rsidRDefault="00BE22D9">
      <w:pPr>
        <w:pStyle w:val="ListParagraph"/>
        <w:numPr>
          <w:ilvl w:val="0"/>
          <w:numId w:val="2"/>
        </w:numPr>
        <w:spacing w:after="80"/>
      </w:pPr>
      <w:r>
        <w:t>Understand charging demand trends.</w:t>
      </w:r>
    </w:p>
    <w:p w14:paraId="60D667C8" w14:textId="77777777" w:rsidR="00B0151F" w:rsidRDefault="00BE22D9">
      <w:pPr>
        <w:pStyle w:val="ListParagraph"/>
        <w:numPr>
          <w:ilvl w:val="0"/>
          <w:numId w:val="2"/>
        </w:numPr>
        <w:spacing w:after="80"/>
      </w:pPr>
      <w:r>
        <w:t>Evaluate station utilization.</w:t>
      </w:r>
    </w:p>
    <w:p w14:paraId="60D667C9" w14:textId="77777777" w:rsidR="00B0151F" w:rsidRDefault="00BE22D9">
      <w:pPr>
        <w:pStyle w:val="ListParagraph"/>
        <w:numPr>
          <w:ilvl w:val="0"/>
          <w:numId w:val="2"/>
        </w:numPr>
        <w:spacing w:after="80"/>
      </w:pPr>
      <w:r>
        <w:t>Analyze customer behavior.</w:t>
      </w:r>
    </w:p>
    <w:p w14:paraId="60D667CA" w14:textId="77777777" w:rsidR="00B0151F" w:rsidRDefault="00BE22D9">
      <w:pPr>
        <w:pStyle w:val="ListParagraph"/>
        <w:numPr>
          <w:ilvl w:val="0"/>
          <w:numId w:val="2"/>
        </w:numPr>
        <w:spacing w:after="80"/>
      </w:pPr>
      <w:r>
        <w:t>Identify financially attractive expansion opportunities.</w:t>
      </w:r>
    </w:p>
    <w:p w14:paraId="60D667CB" w14:textId="77777777" w:rsidR="00B0151F" w:rsidRDefault="00BE22D9">
      <w:pPr>
        <w:pStyle w:val="Heading1"/>
        <w:shd w:val="clear" w:color="auto" w:fill="0B3556"/>
        <w:spacing w:before="400" w:after="240"/>
      </w:pPr>
      <w:r>
        <w:rPr>
          <w:b/>
          <w:bCs/>
          <w:color w:val="F2A65A"/>
          <w:sz w:val="30"/>
          <w:szCs w:val="30"/>
        </w:rPr>
        <w:t xml:space="preserve">  2   </w:t>
      </w:r>
      <w:r>
        <w:rPr>
          <w:b/>
          <w:bCs/>
          <w:color w:val="FFFFFF"/>
          <w:sz w:val="30"/>
          <w:szCs w:val="30"/>
        </w:rPr>
        <w:t>Dataset Overview</w:t>
      </w:r>
      <w:r>
        <w:rPr>
          <w:sz w:val="30"/>
          <w:szCs w:val="30"/>
        </w:rPr>
        <w:t xml:space="preserve">   </w:t>
      </w:r>
    </w:p>
    <w:p w14:paraId="60D667CC" w14:textId="77777777" w:rsidR="00B0151F" w:rsidRDefault="00BE22D9">
      <w:pPr>
        <w:spacing w:after="160" w:line="276" w:lineRule="auto"/>
      </w:pPr>
      <w:r>
        <w:t>The project consists of five related datasets.</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3200"/>
        <w:gridCol w:w="1600"/>
        <w:gridCol w:w="4226"/>
      </w:tblGrid>
      <w:tr w:rsidR="00B0151F" w14:paraId="60D667D0" w14:textId="77777777">
        <w:trPr>
          <w:tblHeader/>
        </w:trPr>
        <w:tc>
          <w:tcPr>
            <w:tcW w:w="3200" w:type="dxa"/>
            <w:shd w:val="clear" w:color="auto" w:fill="0B3556"/>
            <w:tcMar>
              <w:top w:w="100" w:type="dxa"/>
              <w:left w:w="120" w:type="dxa"/>
              <w:bottom w:w="100" w:type="dxa"/>
              <w:right w:w="120" w:type="dxa"/>
            </w:tcMar>
            <w:vAlign w:val="center"/>
          </w:tcPr>
          <w:p w14:paraId="60D667CD" w14:textId="77777777" w:rsidR="00B0151F" w:rsidRDefault="00BE22D9">
            <w:pPr>
              <w:spacing w:before="40" w:after="40"/>
            </w:pPr>
            <w:r>
              <w:rPr>
                <w:b/>
                <w:bCs/>
                <w:color w:val="FFFFFF"/>
                <w:sz w:val="20"/>
                <w:szCs w:val="20"/>
              </w:rPr>
              <w:t>Dataset</w:t>
            </w:r>
          </w:p>
        </w:tc>
        <w:tc>
          <w:tcPr>
            <w:tcW w:w="1600" w:type="dxa"/>
            <w:shd w:val="clear" w:color="auto" w:fill="0B3556"/>
            <w:tcMar>
              <w:top w:w="100" w:type="dxa"/>
              <w:left w:w="120" w:type="dxa"/>
              <w:bottom w:w="100" w:type="dxa"/>
              <w:right w:w="120" w:type="dxa"/>
            </w:tcMar>
            <w:vAlign w:val="center"/>
          </w:tcPr>
          <w:p w14:paraId="60D667CE" w14:textId="77777777" w:rsidR="00B0151F" w:rsidRDefault="00BE22D9">
            <w:pPr>
              <w:spacing w:before="40" w:after="40"/>
            </w:pPr>
            <w:r>
              <w:rPr>
                <w:b/>
                <w:bCs/>
                <w:color w:val="FFFFFF"/>
                <w:sz w:val="20"/>
                <w:szCs w:val="20"/>
              </w:rPr>
              <w:t>Rows</w:t>
            </w:r>
          </w:p>
        </w:tc>
        <w:tc>
          <w:tcPr>
            <w:tcW w:w="4226" w:type="dxa"/>
            <w:shd w:val="clear" w:color="auto" w:fill="0B3556"/>
            <w:tcMar>
              <w:top w:w="100" w:type="dxa"/>
              <w:left w:w="120" w:type="dxa"/>
              <w:bottom w:w="100" w:type="dxa"/>
              <w:right w:w="120" w:type="dxa"/>
            </w:tcMar>
            <w:vAlign w:val="center"/>
          </w:tcPr>
          <w:p w14:paraId="60D667CF" w14:textId="77777777" w:rsidR="00B0151F" w:rsidRDefault="00BE22D9">
            <w:pPr>
              <w:spacing w:before="40" w:after="40"/>
            </w:pPr>
            <w:r>
              <w:rPr>
                <w:b/>
                <w:bCs/>
                <w:color w:val="FFFFFF"/>
                <w:sz w:val="20"/>
                <w:szCs w:val="20"/>
              </w:rPr>
              <w:t>Purpose</w:t>
            </w:r>
          </w:p>
        </w:tc>
      </w:tr>
      <w:tr w:rsidR="00B0151F" w14:paraId="60D667D4" w14:textId="77777777">
        <w:tc>
          <w:tcPr>
            <w:tcW w:w="3200" w:type="dxa"/>
            <w:tcMar>
              <w:top w:w="90" w:type="dxa"/>
              <w:left w:w="120" w:type="dxa"/>
              <w:bottom w:w="90" w:type="dxa"/>
              <w:right w:w="120" w:type="dxa"/>
            </w:tcMar>
            <w:vAlign w:val="center"/>
          </w:tcPr>
          <w:p w14:paraId="60D667D1" w14:textId="77777777" w:rsidR="00B0151F" w:rsidRDefault="00BE22D9">
            <w:pPr>
              <w:spacing w:before="40" w:after="40"/>
            </w:pPr>
            <w:r>
              <w:rPr>
                <w:b/>
                <w:bCs/>
                <w:sz w:val="20"/>
                <w:szCs w:val="20"/>
              </w:rPr>
              <w:t>ROI Bengaluru Districts</w:t>
            </w:r>
          </w:p>
        </w:tc>
        <w:tc>
          <w:tcPr>
            <w:tcW w:w="1600" w:type="dxa"/>
            <w:tcMar>
              <w:top w:w="90" w:type="dxa"/>
              <w:left w:w="120" w:type="dxa"/>
              <w:bottom w:w="90" w:type="dxa"/>
              <w:right w:w="120" w:type="dxa"/>
            </w:tcMar>
            <w:vAlign w:val="center"/>
          </w:tcPr>
          <w:p w14:paraId="60D667D2" w14:textId="77777777" w:rsidR="00B0151F" w:rsidRDefault="00BE22D9">
            <w:pPr>
              <w:spacing w:before="40" w:after="40"/>
            </w:pPr>
            <w:r>
              <w:rPr>
                <w:sz w:val="20"/>
                <w:szCs w:val="20"/>
              </w:rPr>
              <w:t>98</w:t>
            </w:r>
          </w:p>
        </w:tc>
        <w:tc>
          <w:tcPr>
            <w:tcW w:w="4226" w:type="dxa"/>
            <w:tcMar>
              <w:top w:w="90" w:type="dxa"/>
              <w:left w:w="120" w:type="dxa"/>
              <w:bottom w:w="90" w:type="dxa"/>
              <w:right w:w="120" w:type="dxa"/>
            </w:tcMar>
            <w:vAlign w:val="center"/>
          </w:tcPr>
          <w:p w14:paraId="60D667D3" w14:textId="77777777" w:rsidR="00B0151F" w:rsidRDefault="00BE22D9">
            <w:pPr>
              <w:spacing w:before="40" w:after="40"/>
            </w:pPr>
            <w:r>
              <w:rPr>
                <w:sz w:val="20"/>
                <w:szCs w:val="20"/>
              </w:rPr>
              <w:t>Expansion planning</w:t>
            </w:r>
          </w:p>
        </w:tc>
      </w:tr>
      <w:tr w:rsidR="00B0151F" w14:paraId="60D667D8" w14:textId="77777777">
        <w:tc>
          <w:tcPr>
            <w:tcW w:w="3200" w:type="dxa"/>
            <w:shd w:val="clear" w:color="auto" w:fill="F6F9FB"/>
            <w:tcMar>
              <w:top w:w="90" w:type="dxa"/>
              <w:left w:w="120" w:type="dxa"/>
              <w:bottom w:w="90" w:type="dxa"/>
              <w:right w:w="120" w:type="dxa"/>
            </w:tcMar>
            <w:vAlign w:val="center"/>
          </w:tcPr>
          <w:p w14:paraId="60D667D5" w14:textId="77777777" w:rsidR="00B0151F" w:rsidRDefault="00BE22D9">
            <w:pPr>
              <w:spacing w:before="40" w:after="40"/>
            </w:pPr>
            <w:r>
              <w:rPr>
                <w:b/>
                <w:bCs/>
                <w:sz w:val="20"/>
                <w:szCs w:val="20"/>
              </w:rPr>
              <w:t>Charging Sessions</w:t>
            </w:r>
          </w:p>
        </w:tc>
        <w:tc>
          <w:tcPr>
            <w:tcW w:w="1600" w:type="dxa"/>
            <w:shd w:val="clear" w:color="auto" w:fill="F6F9FB"/>
            <w:tcMar>
              <w:top w:w="90" w:type="dxa"/>
              <w:left w:w="120" w:type="dxa"/>
              <w:bottom w:w="90" w:type="dxa"/>
              <w:right w:w="120" w:type="dxa"/>
            </w:tcMar>
            <w:vAlign w:val="center"/>
          </w:tcPr>
          <w:p w14:paraId="60D667D6" w14:textId="77777777" w:rsidR="00B0151F" w:rsidRDefault="00BE22D9">
            <w:pPr>
              <w:spacing w:before="40" w:after="40"/>
            </w:pPr>
            <w:r>
              <w:rPr>
                <w:sz w:val="20"/>
                <w:szCs w:val="20"/>
              </w:rPr>
              <w:t>114,000</w:t>
            </w:r>
          </w:p>
        </w:tc>
        <w:tc>
          <w:tcPr>
            <w:tcW w:w="4226" w:type="dxa"/>
            <w:shd w:val="clear" w:color="auto" w:fill="F6F9FB"/>
            <w:tcMar>
              <w:top w:w="90" w:type="dxa"/>
              <w:left w:w="120" w:type="dxa"/>
              <w:bottom w:w="90" w:type="dxa"/>
              <w:right w:w="120" w:type="dxa"/>
            </w:tcMar>
            <w:vAlign w:val="center"/>
          </w:tcPr>
          <w:p w14:paraId="60D667D7" w14:textId="77777777" w:rsidR="00B0151F" w:rsidRDefault="00BE22D9">
            <w:pPr>
              <w:spacing w:before="40" w:after="40"/>
            </w:pPr>
            <w:r>
              <w:rPr>
                <w:sz w:val="20"/>
                <w:szCs w:val="20"/>
              </w:rPr>
              <w:t>Transaction history</w:t>
            </w:r>
          </w:p>
        </w:tc>
      </w:tr>
      <w:tr w:rsidR="00B0151F" w14:paraId="60D667DC" w14:textId="77777777">
        <w:tc>
          <w:tcPr>
            <w:tcW w:w="3200" w:type="dxa"/>
            <w:tcMar>
              <w:top w:w="90" w:type="dxa"/>
              <w:left w:w="120" w:type="dxa"/>
              <w:bottom w:w="90" w:type="dxa"/>
              <w:right w:w="120" w:type="dxa"/>
            </w:tcMar>
            <w:vAlign w:val="center"/>
          </w:tcPr>
          <w:p w14:paraId="60D667D9" w14:textId="77777777" w:rsidR="00B0151F" w:rsidRDefault="00BE22D9">
            <w:pPr>
              <w:spacing w:before="40" w:after="40"/>
            </w:pPr>
            <w:r>
              <w:rPr>
                <w:b/>
                <w:bCs/>
                <w:sz w:val="20"/>
                <w:szCs w:val="20"/>
              </w:rPr>
              <w:t>Charging Stations</w:t>
            </w:r>
          </w:p>
        </w:tc>
        <w:tc>
          <w:tcPr>
            <w:tcW w:w="1600" w:type="dxa"/>
            <w:tcMar>
              <w:top w:w="90" w:type="dxa"/>
              <w:left w:w="120" w:type="dxa"/>
              <w:bottom w:w="90" w:type="dxa"/>
              <w:right w:w="120" w:type="dxa"/>
            </w:tcMar>
            <w:vAlign w:val="center"/>
          </w:tcPr>
          <w:p w14:paraId="60D667DA" w14:textId="77777777" w:rsidR="00B0151F" w:rsidRDefault="00BE22D9">
            <w:pPr>
              <w:spacing w:before="40" w:after="40"/>
            </w:pPr>
            <w:r>
              <w:rPr>
                <w:sz w:val="20"/>
                <w:szCs w:val="20"/>
              </w:rPr>
              <w:t>65</w:t>
            </w:r>
          </w:p>
        </w:tc>
        <w:tc>
          <w:tcPr>
            <w:tcW w:w="4226" w:type="dxa"/>
            <w:tcMar>
              <w:top w:w="90" w:type="dxa"/>
              <w:left w:w="120" w:type="dxa"/>
              <w:bottom w:w="90" w:type="dxa"/>
              <w:right w:w="120" w:type="dxa"/>
            </w:tcMar>
            <w:vAlign w:val="center"/>
          </w:tcPr>
          <w:p w14:paraId="60D667DB" w14:textId="77777777" w:rsidR="00B0151F" w:rsidRDefault="00BE22D9">
            <w:pPr>
              <w:spacing w:before="40" w:after="40"/>
            </w:pPr>
            <w:r>
              <w:rPr>
                <w:sz w:val="20"/>
                <w:szCs w:val="20"/>
              </w:rPr>
              <w:t>Existing infrastructure</w:t>
            </w:r>
          </w:p>
        </w:tc>
      </w:tr>
      <w:tr w:rsidR="00B0151F" w14:paraId="60D667E0" w14:textId="77777777">
        <w:tc>
          <w:tcPr>
            <w:tcW w:w="3200" w:type="dxa"/>
            <w:shd w:val="clear" w:color="auto" w:fill="F6F9FB"/>
            <w:tcMar>
              <w:top w:w="90" w:type="dxa"/>
              <w:left w:w="120" w:type="dxa"/>
              <w:bottom w:w="90" w:type="dxa"/>
              <w:right w:w="120" w:type="dxa"/>
            </w:tcMar>
            <w:vAlign w:val="center"/>
          </w:tcPr>
          <w:p w14:paraId="60D667DD" w14:textId="77777777" w:rsidR="00B0151F" w:rsidRDefault="00BE22D9">
            <w:pPr>
              <w:spacing w:before="40" w:after="40"/>
            </w:pPr>
            <w:r>
              <w:rPr>
                <w:b/>
                <w:bCs/>
                <w:sz w:val="20"/>
                <w:szCs w:val="20"/>
              </w:rPr>
              <w:t>Customers</w:t>
            </w:r>
          </w:p>
        </w:tc>
        <w:tc>
          <w:tcPr>
            <w:tcW w:w="1600" w:type="dxa"/>
            <w:shd w:val="clear" w:color="auto" w:fill="F6F9FB"/>
            <w:tcMar>
              <w:top w:w="90" w:type="dxa"/>
              <w:left w:w="120" w:type="dxa"/>
              <w:bottom w:w="90" w:type="dxa"/>
              <w:right w:w="120" w:type="dxa"/>
            </w:tcMar>
            <w:vAlign w:val="center"/>
          </w:tcPr>
          <w:p w14:paraId="60D667DE" w14:textId="77777777" w:rsidR="00B0151F" w:rsidRDefault="00BE22D9">
            <w:pPr>
              <w:spacing w:before="40" w:after="40"/>
            </w:pPr>
            <w:r>
              <w:rPr>
                <w:sz w:val="20"/>
                <w:szCs w:val="20"/>
              </w:rPr>
              <w:t>8,000</w:t>
            </w:r>
          </w:p>
        </w:tc>
        <w:tc>
          <w:tcPr>
            <w:tcW w:w="4226" w:type="dxa"/>
            <w:shd w:val="clear" w:color="auto" w:fill="F6F9FB"/>
            <w:tcMar>
              <w:top w:w="90" w:type="dxa"/>
              <w:left w:w="120" w:type="dxa"/>
              <w:bottom w:w="90" w:type="dxa"/>
              <w:right w:w="120" w:type="dxa"/>
            </w:tcMar>
            <w:vAlign w:val="center"/>
          </w:tcPr>
          <w:p w14:paraId="60D667DF" w14:textId="77777777" w:rsidR="00B0151F" w:rsidRDefault="00BE22D9">
            <w:pPr>
              <w:spacing w:before="40" w:after="40"/>
            </w:pPr>
            <w:r>
              <w:rPr>
                <w:sz w:val="20"/>
                <w:szCs w:val="20"/>
              </w:rPr>
              <w:t>Customer profiles</w:t>
            </w:r>
          </w:p>
        </w:tc>
      </w:tr>
      <w:tr w:rsidR="00B0151F" w14:paraId="60D667E4" w14:textId="77777777">
        <w:tc>
          <w:tcPr>
            <w:tcW w:w="3200" w:type="dxa"/>
            <w:tcMar>
              <w:top w:w="90" w:type="dxa"/>
              <w:left w:w="120" w:type="dxa"/>
              <w:bottom w:w="90" w:type="dxa"/>
              <w:right w:w="120" w:type="dxa"/>
            </w:tcMar>
            <w:vAlign w:val="center"/>
          </w:tcPr>
          <w:p w14:paraId="60D667E1" w14:textId="77777777" w:rsidR="00B0151F" w:rsidRDefault="00BE22D9">
            <w:pPr>
              <w:spacing w:before="40" w:after="40"/>
            </w:pPr>
            <w:r>
              <w:rPr>
                <w:b/>
                <w:bCs/>
                <w:sz w:val="20"/>
                <w:szCs w:val="20"/>
              </w:rPr>
              <w:t>Districts</w:t>
            </w:r>
          </w:p>
        </w:tc>
        <w:tc>
          <w:tcPr>
            <w:tcW w:w="1600" w:type="dxa"/>
            <w:tcMar>
              <w:top w:w="90" w:type="dxa"/>
              <w:left w:w="120" w:type="dxa"/>
              <w:bottom w:w="90" w:type="dxa"/>
              <w:right w:w="120" w:type="dxa"/>
            </w:tcMar>
            <w:vAlign w:val="center"/>
          </w:tcPr>
          <w:p w14:paraId="60D667E2" w14:textId="77777777" w:rsidR="00B0151F" w:rsidRDefault="00BE22D9">
            <w:pPr>
              <w:spacing w:before="40" w:after="40"/>
            </w:pPr>
            <w:r>
              <w:rPr>
                <w:sz w:val="20"/>
                <w:szCs w:val="20"/>
              </w:rPr>
              <w:t>18</w:t>
            </w:r>
          </w:p>
        </w:tc>
        <w:tc>
          <w:tcPr>
            <w:tcW w:w="4226" w:type="dxa"/>
            <w:tcMar>
              <w:top w:w="90" w:type="dxa"/>
              <w:left w:w="120" w:type="dxa"/>
              <w:bottom w:w="90" w:type="dxa"/>
              <w:right w:w="120" w:type="dxa"/>
            </w:tcMar>
            <w:vAlign w:val="center"/>
          </w:tcPr>
          <w:p w14:paraId="60D667E3" w14:textId="77777777" w:rsidR="00B0151F" w:rsidRDefault="00BE22D9">
            <w:pPr>
              <w:spacing w:before="40" w:after="40"/>
            </w:pPr>
            <w:r>
              <w:rPr>
                <w:sz w:val="20"/>
                <w:szCs w:val="20"/>
              </w:rPr>
              <w:t>Demand forecasts</w:t>
            </w:r>
          </w:p>
        </w:tc>
      </w:tr>
    </w:tbl>
    <w:p w14:paraId="60D667E5" w14:textId="77777777" w:rsidR="00B0151F" w:rsidRDefault="00B0151F">
      <w:pPr>
        <w:spacing w:after="160"/>
      </w:pPr>
    </w:p>
    <w:p w14:paraId="60D667E6" w14:textId="77777777" w:rsidR="00B0151F" w:rsidRDefault="00BE22D9">
      <w:pPr>
        <w:spacing w:after="160" w:line="276" w:lineRule="auto"/>
      </w:pPr>
      <w:r>
        <w:t>All datasets are linked through customer_id, station_id, and district_name.</w:t>
      </w:r>
    </w:p>
    <w:p w14:paraId="60D667E7" w14:textId="77777777" w:rsidR="00B0151F" w:rsidRDefault="00BE22D9">
      <w:pPr>
        <w:pStyle w:val="Heading1"/>
        <w:shd w:val="clear" w:color="auto" w:fill="0B3556"/>
        <w:spacing w:before="400" w:after="240"/>
      </w:pPr>
      <w:r>
        <w:rPr>
          <w:b/>
          <w:bCs/>
          <w:color w:val="F2A65A"/>
          <w:sz w:val="30"/>
          <w:szCs w:val="30"/>
        </w:rPr>
        <w:t xml:space="preserve">  3   </w:t>
      </w:r>
      <w:r>
        <w:rPr>
          <w:b/>
          <w:bCs/>
          <w:color w:val="FFFFFF"/>
          <w:sz w:val="30"/>
          <w:szCs w:val="30"/>
        </w:rPr>
        <w:t>Data Preparation</w:t>
      </w:r>
      <w:r>
        <w:rPr>
          <w:sz w:val="30"/>
          <w:szCs w:val="30"/>
        </w:rPr>
        <w:t xml:space="preserve">   </w:t>
      </w:r>
    </w:p>
    <w:p w14:paraId="60D667E8" w14:textId="77777777" w:rsidR="00B0151F" w:rsidRDefault="00BE22D9">
      <w:pPr>
        <w:spacing w:before="60" w:after="100"/>
      </w:pPr>
      <w:r>
        <w:rPr>
          <w:b/>
          <w:bCs/>
        </w:rPr>
        <w:t>Before analysis, the following steps were completed:</w:t>
      </w:r>
    </w:p>
    <w:p w14:paraId="60D667E9" w14:textId="77777777" w:rsidR="00B0151F" w:rsidRDefault="00BE22D9">
      <w:pPr>
        <w:pStyle w:val="ListParagraph"/>
        <w:numPr>
          <w:ilvl w:val="0"/>
          <w:numId w:val="2"/>
        </w:numPr>
        <w:spacing w:after="80"/>
      </w:pPr>
      <w:r>
        <w:t>Imported all five datasets into Excel Power Query.</w:t>
      </w:r>
    </w:p>
    <w:p w14:paraId="60D667EA" w14:textId="77777777" w:rsidR="00B0151F" w:rsidRDefault="00BE22D9">
      <w:pPr>
        <w:pStyle w:val="ListParagraph"/>
        <w:numPr>
          <w:ilvl w:val="0"/>
          <w:numId w:val="2"/>
        </w:numPr>
        <w:spacing w:after="80"/>
      </w:pPr>
      <w:r>
        <w:t>Loaded tables into the Data Model.</w:t>
      </w:r>
    </w:p>
    <w:p w14:paraId="60D667EB" w14:textId="77777777" w:rsidR="00B0151F" w:rsidRDefault="00BE22D9">
      <w:pPr>
        <w:pStyle w:val="ListParagraph"/>
        <w:numPr>
          <w:ilvl w:val="0"/>
          <w:numId w:val="2"/>
        </w:numPr>
        <w:spacing w:after="80"/>
      </w:pPr>
      <w:r>
        <w:t>Created relationships between all connected tables.</w:t>
      </w:r>
    </w:p>
    <w:p w14:paraId="60D667EC" w14:textId="77777777" w:rsidR="00B0151F" w:rsidRDefault="00BE22D9">
      <w:pPr>
        <w:pStyle w:val="ListParagraph"/>
        <w:numPr>
          <w:ilvl w:val="0"/>
          <w:numId w:val="2"/>
        </w:numPr>
        <w:spacing w:after="80"/>
      </w:pPr>
      <w:r>
        <w:t>Added date-based fields such as Month and Month Number.</w:t>
      </w:r>
    </w:p>
    <w:p w14:paraId="60D667ED" w14:textId="77777777" w:rsidR="00B0151F" w:rsidRDefault="00BE22D9">
      <w:pPr>
        <w:pStyle w:val="ListParagraph"/>
        <w:numPr>
          <w:ilvl w:val="0"/>
          <w:numId w:val="2"/>
        </w:numPr>
        <w:spacing w:after="80"/>
      </w:pPr>
      <w:r>
        <w:t>Built reusable DAX measures for KPIs.</w:t>
      </w:r>
    </w:p>
    <w:p w14:paraId="60D667EE" w14:textId="77777777" w:rsidR="00B0151F" w:rsidRDefault="00BE22D9">
      <w:pPr>
        <w:pStyle w:val="ListParagraph"/>
        <w:numPr>
          <w:ilvl w:val="0"/>
          <w:numId w:val="2"/>
        </w:numPr>
        <w:spacing w:after="80"/>
      </w:pPr>
      <w:r>
        <w:t>Created Pivot Tables for dashboard development.</w:t>
      </w:r>
    </w:p>
    <w:p w14:paraId="60D667EF" w14:textId="77777777" w:rsidR="00B0151F" w:rsidRDefault="00BE22D9">
      <w:pPr>
        <w:spacing w:before="160" w:after="100"/>
      </w:pPr>
      <w:r>
        <w:rPr>
          <w:b/>
          <w:bCs/>
          <w:color w:val="D97706"/>
          <w:spacing w:val="12"/>
          <w:sz w:val="19"/>
          <w:szCs w:val="19"/>
        </w:rPr>
        <w:t>DATA MODEL</w:t>
      </w:r>
    </w:p>
    <w:p w14:paraId="60D667F0" w14:textId="77777777" w:rsidR="00B0151F" w:rsidRDefault="00BE22D9">
      <w:pPr>
        <w:pStyle w:val="Heading1"/>
        <w:shd w:val="clear" w:color="auto" w:fill="0B3556"/>
        <w:spacing w:before="400" w:after="240"/>
      </w:pPr>
      <w:r>
        <w:rPr>
          <w:b/>
          <w:bCs/>
          <w:color w:val="F2A65A"/>
          <w:sz w:val="30"/>
          <w:szCs w:val="30"/>
        </w:rPr>
        <w:t xml:space="preserve">  4   </w:t>
      </w:r>
      <w:r>
        <w:rPr>
          <w:b/>
          <w:bCs/>
          <w:color w:val="FFFFFF"/>
          <w:sz w:val="30"/>
          <w:szCs w:val="30"/>
        </w:rPr>
        <w:t>Data Quality Assessment</w:t>
      </w:r>
      <w:r>
        <w:rPr>
          <w:sz w:val="30"/>
          <w:szCs w:val="30"/>
        </w:rPr>
        <w:t xml:space="preserve">   </w:t>
      </w:r>
    </w:p>
    <w:p w14:paraId="60D667F1" w14:textId="77777777" w:rsidR="00B0151F" w:rsidRDefault="00BE22D9">
      <w:pPr>
        <w:spacing w:after="160" w:line="276" w:lineRule="auto"/>
      </w:pPr>
      <w:r>
        <w:t>The data dictionary confirms that only the ROI dataset required corrections before analysis.</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5513"/>
        <w:gridCol w:w="3513"/>
      </w:tblGrid>
      <w:tr w:rsidR="00B0151F" w14:paraId="60D667F4" w14:textId="77777777">
        <w:trPr>
          <w:tblHeader/>
        </w:trPr>
        <w:tc>
          <w:tcPr>
            <w:tcW w:w="5513" w:type="dxa"/>
            <w:shd w:val="clear" w:color="auto" w:fill="0B3556"/>
            <w:tcMar>
              <w:top w:w="100" w:type="dxa"/>
              <w:left w:w="120" w:type="dxa"/>
              <w:bottom w:w="100" w:type="dxa"/>
              <w:right w:w="120" w:type="dxa"/>
            </w:tcMar>
            <w:vAlign w:val="center"/>
          </w:tcPr>
          <w:p w14:paraId="60D667F2" w14:textId="77777777" w:rsidR="00B0151F" w:rsidRDefault="00BE22D9">
            <w:pPr>
              <w:spacing w:before="40" w:after="40"/>
            </w:pPr>
            <w:r>
              <w:rPr>
                <w:b/>
                <w:bCs/>
                <w:color w:val="FFFFFF"/>
                <w:sz w:val="20"/>
                <w:szCs w:val="20"/>
              </w:rPr>
              <w:lastRenderedPageBreak/>
              <w:t>Quality Check</w:t>
            </w:r>
          </w:p>
        </w:tc>
        <w:tc>
          <w:tcPr>
            <w:tcW w:w="3513" w:type="dxa"/>
            <w:shd w:val="clear" w:color="auto" w:fill="0B3556"/>
            <w:tcMar>
              <w:top w:w="100" w:type="dxa"/>
              <w:left w:w="120" w:type="dxa"/>
              <w:bottom w:w="100" w:type="dxa"/>
              <w:right w:w="120" w:type="dxa"/>
            </w:tcMar>
            <w:vAlign w:val="center"/>
          </w:tcPr>
          <w:p w14:paraId="60D667F3" w14:textId="77777777" w:rsidR="00B0151F" w:rsidRDefault="00BE22D9">
            <w:pPr>
              <w:spacing w:before="40" w:after="40"/>
            </w:pPr>
            <w:r>
              <w:rPr>
                <w:b/>
                <w:bCs/>
                <w:color w:val="FFFFFF"/>
                <w:sz w:val="20"/>
                <w:szCs w:val="20"/>
              </w:rPr>
              <w:t>Status</w:t>
            </w:r>
          </w:p>
        </w:tc>
      </w:tr>
      <w:tr w:rsidR="00B0151F" w14:paraId="60D667F7" w14:textId="77777777">
        <w:tc>
          <w:tcPr>
            <w:tcW w:w="5513" w:type="dxa"/>
            <w:tcMar>
              <w:top w:w="90" w:type="dxa"/>
              <w:left w:w="120" w:type="dxa"/>
              <w:bottom w:w="90" w:type="dxa"/>
              <w:right w:w="120" w:type="dxa"/>
            </w:tcMar>
            <w:vAlign w:val="center"/>
          </w:tcPr>
          <w:p w14:paraId="60D667F5" w14:textId="77777777" w:rsidR="00B0151F" w:rsidRDefault="00BE22D9">
            <w:pPr>
              <w:spacing w:before="40" w:after="40"/>
            </w:pPr>
            <w:r>
              <w:rPr>
                <w:b/>
                <w:bCs/>
                <w:sz w:val="20"/>
                <w:szCs w:val="20"/>
              </w:rPr>
              <w:t>Duplicate project IDs</w:t>
            </w:r>
          </w:p>
        </w:tc>
        <w:tc>
          <w:tcPr>
            <w:tcW w:w="3513" w:type="dxa"/>
            <w:tcMar>
              <w:top w:w="90" w:type="dxa"/>
              <w:left w:w="120" w:type="dxa"/>
              <w:bottom w:w="90" w:type="dxa"/>
              <w:right w:w="120" w:type="dxa"/>
            </w:tcMar>
            <w:vAlign w:val="center"/>
          </w:tcPr>
          <w:p w14:paraId="60D667F6" w14:textId="77777777" w:rsidR="00B0151F" w:rsidRDefault="00BE22D9">
            <w:pPr>
              <w:spacing w:before="40" w:after="40"/>
            </w:pPr>
            <w:r>
              <w:rPr>
                <w:sz w:val="20"/>
                <w:szCs w:val="20"/>
              </w:rPr>
              <w:t>Passed</w:t>
            </w:r>
          </w:p>
        </w:tc>
      </w:tr>
      <w:tr w:rsidR="00B0151F" w14:paraId="60D667FA" w14:textId="77777777">
        <w:tc>
          <w:tcPr>
            <w:tcW w:w="5513" w:type="dxa"/>
            <w:shd w:val="clear" w:color="auto" w:fill="F6F9FB"/>
            <w:tcMar>
              <w:top w:w="90" w:type="dxa"/>
              <w:left w:w="120" w:type="dxa"/>
              <w:bottom w:w="90" w:type="dxa"/>
              <w:right w:w="120" w:type="dxa"/>
            </w:tcMar>
            <w:vAlign w:val="center"/>
          </w:tcPr>
          <w:p w14:paraId="60D667F8" w14:textId="77777777" w:rsidR="00B0151F" w:rsidRDefault="00BE22D9">
            <w:pPr>
              <w:spacing w:before="40" w:after="40"/>
            </w:pPr>
            <w:r>
              <w:rPr>
                <w:b/>
                <w:bCs/>
                <w:sz w:val="20"/>
                <w:szCs w:val="20"/>
              </w:rPr>
              <w:t>Customer IDs</w:t>
            </w:r>
          </w:p>
        </w:tc>
        <w:tc>
          <w:tcPr>
            <w:tcW w:w="3513" w:type="dxa"/>
            <w:shd w:val="clear" w:color="auto" w:fill="F6F9FB"/>
            <w:tcMar>
              <w:top w:w="90" w:type="dxa"/>
              <w:left w:w="120" w:type="dxa"/>
              <w:bottom w:w="90" w:type="dxa"/>
              <w:right w:w="120" w:type="dxa"/>
            </w:tcMar>
            <w:vAlign w:val="center"/>
          </w:tcPr>
          <w:p w14:paraId="60D667F9" w14:textId="77777777" w:rsidR="00B0151F" w:rsidRDefault="00BE22D9">
            <w:pPr>
              <w:spacing w:before="40" w:after="40"/>
            </w:pPr>
            <w:r>
              <w:rPr>
                <w:sz w:val="20"/>
                <w:szCs w:val="20"/>
              </w:rPr>
              <w:t>Valid</w:t>
            </w:r>
          </w:p>
        </w:tc>
      </w:tr>
      <w:tr w:rsidR="00B0151F" w14:paraId="60D667FD" w14:textId="77777777">
        <w:tc>
          <w:tcPr>
            <w:tcW w:w="5513" w:type="dxa"/>
            <w:tcMar>
              <w:top w:w="90" w:type="dxa"/>
              <w:left w:w="120" w:type="dxa"/>
              <w:bottom w:w="90" w:type="dxa"/>
              <w:right w:w="120" w:type="dxa"/>
            </w:tcMar>
            <w:vAlign w:val="center"/>
          </w:tcPr>
          <w:p w14:paraId="60D667FB" w14:textId="77777777" w:rsidR="00B0151F" w:rsidRDefault="00BE22D9">
            <w:pPr>
              <w:spacing w:before="40" w:after="40"/>
            </w:pPr>
            <w:r>
              <w:rPr>
                <w:b/>
                <w:bCs/>
                <w:sz w:val="20"/>
                <w:szCs w:val="20"/>
              </w:rPr>
              <w:t>Station IDs</w:t>
            </w:r>
          </w:p>
        </w:tc>
        <w:tc>
          <w:tcPr>
            <w:tcW w:w="3513" w:type="dxa"/>
            <w:tcMar>
              <w:top w:w="90" w:type="dxa"/>
              <w:left w:w="120" w:type="dxa"/>
              <w:bottom w:w="90" w:type="dxa"/>
              <w:right w:w="120" w:type="dxa"/>
            </w:tcMar>
            <w:vAlign w:val="center"/>
          </w:tcPr>
          <w:p w14:paraId="60D667FC" w14:textId="77777777" w:rsidR="00B0151F" w:rsidRDefault="00BE22D9">
            <w:pPr>
              <w:spacing w:before="40" w:after="40"/>
            </w:pPr>
            <w:r>
              <w:rPr>
                <w:sz w:val="20"/>
                <w:szCs w:val="20"/>
              </w:rPr>
              <w:t>Valid</w:t>
            </w:r>
          </w:p>
        </w:tc>
      </w:tr>
      <w:tr w:rsidR="00B0151F" w14:paraId="60D66800" w14:textId="77777777">
        <w:tc>
          <w:tcPr>
            <w:tcW w:w="5513" w:type="dxa"/>
            <w:shd w:val="clear" w:color="auto" w:fill="F6F9FB"/>
            <w:tcMar>
              <w:top w:w="90" w:type="dxa"/>
              <w:left w:w="120" w:type="dxa"/>
              <w:bottom w:w="90" w:type="dxa"/>
              <w:right w:w="120" w:type="dxa"/>
            </w:tcMar>
            <w:vAlign w:val="center"/>
          </w:tcPr>
          <w:p w14:paraId="60D667FE" w14:textId="77777777" w:rsidR="00B0151F" w:rsidRDefault="00BE22D9">
            <w:pPr>
              <w:spacing w:before="40" w:after="40"/>
            </w:pPr>
            <w:r>
              <w:rPr>
                <w:b/>
                <w:bCs/>
                <w:sz w:val="20"/>
                <w:szCs w:val="20"/>
              </w:rPr>
              <w:t>ROI corrections</w:t>
            </w:r>
          </w:p>
        </w:tc>
        <w:tc>
          <w:tcPr>
            <w:tcW w:w="3513" w:type="dxa"/>
            <w:shd w:val="clear" w:color="auto" w:fill="F6F9FB"/>
            <w:tcMar>
              <w:top w:w="90" w:type="dxa"/>
              <w:left w:w="120" w:type="dxa"/>
              <w:bottom w:w="90" w:type="dxa"/>
              <w:right w:w="120" w:type="dxa"/>
            </w:tcMar>
            <w:vAlign w:val="center"/>
          </w:tcPr>
          <w:p w14:paraId="60D667FF" w14:textId="77777777" w:rsidR="00B0151F" w:rsidRDefault="00BE22D9">
            <w:pPr>
              <w:spacing w:before="40" w:after="40"/>
            </w:pPr>
            <w:r>
              <w:rPr>
                <w:sz w:val="20"/>
                <w:szCs w:val="20"/>
              </w:rPr>
              <w:t>Applied</w:t>
            </w:r>
          </w:p>
        </w:tc>
      </w:tr>
      <w:tr w:rsidR="00B0151F" w14:paraId="60D66803" w14:textId="77777777">
        <w:tc>
          <w:tcPr>
            <w:tcW w:w="5513" w:type="dxa"/>
            <w:tcMar>
              <w:top w:w="90" w:type="dxa"/>
              <w:left w:w="120" w:type="dxa"/>
              <w:bottom w:w="90" w:type="dxa"/>
              <w:right w:w="120" w:type="dxa"/>
            </w:tcMar>
            <w:vAlign w:val="center"/>
          </w:tcPr>
          <w:p w14:paraId="60D66801" w14:textId="77777777" w:rsidR="00B0151F" w:rsidRDefault="00BE22D9">
            <w:pPr>
              <w:spacing w:before="40" w:after="40"/>
            </w:pPr>
            <w:r>
              <w:rPr>
                <w:b/>
                <w:bCs/>
                <w:sz w:val="20"/>
                <w:szCs w:val="20"/>
              </w:rPr>
              <w:t>Relationship integrity</w:t>
            </w:r>
          </w:p>
        </w:tc>
        <w:tc>
          <w:tcPr>
            <w:tcW w:w="3513" w:type="dxa"/>
            <w:tcMar>
              <w:top w:w="90" w:type="dxa"/>
              <w:left w:w="120" w:type="dxa"/>
              <w:bottom w:w="90" w:type="dxa"/>
              <w:right w:w="120" w:type="dxa"/>
            </w:tcMar>
            <w:vAlign w:val="center"/>
          </w:tcPr>
          <w:p w14:paraId="60D66802" w14:textId="77777777" w:rsidR="00B0151F" w:rsidRDefault="00BE22D9">
            <w:pPr>
              <w:spacing w:before="40" w:after="40"/>
            </w:pPr>
            <w:r>
              <w:rPr>
                <w:sz w:val="20"/>
                <w:szCs w:val="20"/>
              </w:rPr>
              <w:t>Verified</w:t>
            </w:r>
          </w:p>
        </w:tc>
      </w:tr>
    </w:tbl>
    <w:p w14:paraId="60D66804" w14:textId="77777777" w:rsidR="00B0151F" w:rsidRDefault="00B0151F">
      <w:pPr>
        <w:spacing w:after="160"/>
      </w:pPr>
    </w:p>
    <w:p w14:paraId="60D66805" w14:textId="77777777" w:rsidR="00B0151F" w:rsidRDefault="00BE22D9">
      <w:pPr>
        <w:spacing w:after="160" w:line="276" w:lineRule="auto"/>
      </w:pPr>
      <w:r>
        <w:t>The ROI dataset was corrected by reclassifying 23 negative-ROI projects from Medium to Low priority and by explicitly including 10-year capitalized land lease in Total CAPEX calculations.</w:t>
      </w:r>
    </w:p>
    <w:p w14:paraId="60D66806" w14:textId="77777777" w:rsidR="00B0151F" w:rsidRDefault="00BE22D9">
      <w:pPr>
        <w:pStyle w:val="Heading1"/>
        <w:shd w:val="clear" w:color="auto" w:fill="0B3556"/>
        <w:spacing w:before="400" w:after="240"/>
      </w:pPr>
      <w:r>
        <w:rPr>
          <w:b/>
          <w:bCs/>
          <w:color w:val="F2A65A"/>
          <w:sz w:val="30"/>
          <w:szCs w:val="30"/>
        </w:rPr>
        <w:t xml:space="preserve">  5   </w:t>
      </w:r>
      <w:r>
        <w:rPr>
          <w:b/>
          <w:bCs/>
          <w:color w:val="FFFFFF"/>
          <w:sz w:val="30"/>
          <w:szCs w:val="30"/>
        </w:rPr>
        <w:t>Exploratory Analysis</w:t>
      </w:r>
      <w:r>
        <w:rPr>
          <w:sz w:val="30"/>
          <w:szCs w:val="30"/>
        </w:rPr>
        <w:t xml:space="preserve">   </w:t>
      </w:r>
    </w:p>
    <w:p w14:paraId="60D66807" w14:textId="77777777" w:rsidR="00B0151F" w:rsidRDefault="00BE22D9">
      <w:pPr>
        <w:pBdr>
          <w:bottom w:val="single" w:sz="6" w:space="4" w:color="D97706"/>
        </w:pBdr>
        <w:spacing w:before="220" w:after="120"/>
      </w:pPr>
      <w:r>
        <w:rPr>
          <w:b/>
          <w:bCs/>
          <w:color w:val="134E7C"/>
          <w:sz w:val="24"/>
          <w:szCs w:val="24"/>
        </w:rPr>
        <w:t>A.  Charging Demand Overview</w:t>
      </w:r>
    </w:p>
    <w:p w14:paraId="60D66808" w14:textId="77777777" w:rsidR="00B0151F" w:rsidRDefault="00BE22D9">
      <w:pPr>
        <w:spacing w:after="160" w:line="276" w:lineRule="auto"/>
      </w:pPr>
      <w:r>
        <w:t>The charging session dataset contains 114,000 sessions recorded between August and December 2024.</w:t>
      </w:r>
    </w:p>
    <w:p w14:paraId="60D66809" w14:textId="77777777" w:rsidR="00B0151F" w:rsidRDefault="00BE22D9">
      <w:pPr>
        <w:spacing w:before="60" w:after="100"/>
      </w:pPr>
      <w:r>
        <w:rPr>
          <w:b/>
          <w:bCs/>
        </w:rPr>
        <w:t>Key metrics analyzed:</w:t>
      </w:r>
    </w:p>
    <w:p w14:paraId="60D6680A" w14:textId="77777777" w:rsidR="00B0151F" w:rsidRDefault="00BE22D9">
      <w:pPr>
        <w:pStyle w:val="ListParagraph"/>
        <w:numPr>
          <w:ilvl w:val="0"/>
          <w:numId w:val="2"/>
        </w:numPr>
        <w:spacing w:after="80"/>
      </w:pPr>
      <w:r>
        <w:t>Total Charging Sessions</w:t>
      </w:r>
    </w:p>
    <w:p w14:paraId="60D6680B" w14:textId="77777777" w:rsidR="00B0151F" w:rsidRDefault="00BE22D9">
      <w:pPr>
        <w:pStyle w:val="ListParagraph"/>
        <w:numPr>
          <w:ilvl w:val="0"/>
          <w:numId w:val="2"/>
        </w:numPr>
        <w:spacing w:after="80"/>
      </w:pPr>
      <w:r>
        <w:t>Total Energy Consumed</w:t>
      </w:r>
    </w:p>
    <w:p w14:paraId="60D6680C" w14:textId="77777777" w:rsidR="00B0151F" w:rsidRDefault="00BE22D9">
      <w:pPr>
        <w:pStyle w:val="ListParagraph"/>
        <w:numPr>
          <w:ilvl w:val="0"/>
          <w:numId w:val="2"/>
        </w:numPr>
        <w:spacing w:after="80"/>
      </w:pPr>
      <w:r>
        <w:t>Total Revenue</w:t>
      </w:r>
    </w:p>
    <w:p w14:paraId="60D6680D" w14:textId="77777777" w:rsidR="00B0151F" w:rsidRDefault="00BE22D9">
      <w:pPr>
        <w:pStyle w:val="ListParagraph"/>
        <w:numPr>
          <w:ilvl w:val="0"/>
          <w:numId w:val="2"/>
        </w:numPr>
        <w:spacing w:after="80"/>
      </w:pPr>
      <w:r>
        <w:t>Active Customers</w:t>
      </w:r>
    </w:p>
    <w:p w14:paraId="60D6680E" w14:textId="77777777" w:rsidR="00B0151F" w:rsidRDefault="00BE22D9">
      <w:pPr>
        <w:pStyle w:val="ListParagraph"/>
        <w:numPr>
          <w:ilvl w:val="0"/>
          <w:numId w:val="2"/>
        </w:numPr>
        <w:spacing w:after="80"/>
      </w:pPr>
      <w:r>
        <w:t>Average Revenue per Session</w:t>
      </w:r>
    </w:p>
    <w:p w14:paraId="60D6680F" w14:textId="77777777" w:rsidR="00B0151F" w:rsidRDefault="00BE22D9">
      <w:pPr>
        <w:pStyle w:val="ListParagraph"/>
        <w:numPr>
          <w:ilvl w:val="0"/>
          <w:numId w:val="2"/>
        </w:numPr>
        <w:spacing w:after="80"/>
      </w:pPr>
      <w:r>
        <w:t>Average kWh per Session</w:t>
      </w:r>
    </w:p>
    <w:p w14:paraId="60D66810" w14:textId="77777777" w:rsidR="00B0151F" w:rsidRDefault="00BE22D9">
      <w:pPr>
        <w:spacing w:before="160" w:after="100"/>
      </w:pPr>
      <w:r>
        <w:rPr>
          <w:b/>
          <w:bCs/>
          <w:color w:val="D97706"/>
          <w:spacing w:val="12"/>
          <w:sz w:val="19"/>
          <w:szCs w:val="19"/>
        </w:rPr>
        <w:t>BUSINESS INSIGHT</w:t>
      </w:r>
    </w:p>
    <w:p w14:paraId="60D66811" w14:textId="77777777" w:rsidR="00B0151F" w:rsidRDefault="00BE22D9">
      <w:pPr>
        <w:spacing w:after="160" w:line="276" w:lineRule="auto"/>
      </w:pPr>
      <w:r>
        <w:t>Monthly trend analysis helps identify whether EV adoption is increasing and whether charging demand is becoming more concentrated over time.</w:t>
      </w:r>
    </w:p>
    <w:p w14:paraId="60D66812" w14:textId="77777777" w:rsidR="00B0151F" w:rsidRDefault="00BE22D9">
      <w:pPr>
        <w:pBdr>
          <w:bottom w:val="single" w:sz="6" w:space="4" w:color="D97706"/>
        </w:pBdr>
        <w:spacing w:before="220" w:after="120"/>
      </w:pPr>
      <w:r>
        <w:rPr>
          <w:b/>
          <w:bCs/>
          <w:color w:val="134E7C"/>
          <w:sz w:val="24"/>
          <w:szCs w:val="24"/>
        </w:rPr>
        <w:t>B.  Revenue vs Energy Consumption</w:t>
      </w:r>
    </w:p>
    <w:p w14:paraId="60D66813" w14:textId="77777777" w:rsidR="00B0151F" w:rsidRDefault="00BE22D9">
      <w:pPr>
        <w:spacing w:after="160" w:line="276" w:lineRule="auto"/>
      </w:pPr>
      <w:r>
        <w:t>Revenue was analyzed alongside energy consumption using monthly comparisons.</w:t>
      </w:r>
    </w:p>
    <w:p w14:paraId="60D66814" w14:textId="77777777" w:rsidR="00B0151F" w:rsidRDefault="00BE22D9">
      <w:pPr>
        <w:pBdr>
          <w:bottom w:val="single" w:sz="6" w:space="4" w:color="D97706"/>
        </w:pBdr>
        <w:spacing w:before="220" w:after="120"/>
      </w:pPr>
      <w:r>
        <w:rPr>
          <w:b/>
          <w:bCs/>
          <w:color w:val="134E7C"/>
          <w:sz w:val="24"/>
          <w:szCs w:val="24"/>
        </w:rPr>
        <w:t>C.  Customer Segmentation</w:t>
      </w:r>
    </w:p>
    <w:p w14:paraId="60D66815" w14:textId="77777777" w:rsidR="00B0151F" w:rsidRDefault="00BE22D9">
      <w:pPr>
        <w:spacing w:before="60" w:after="100"/>
      </w:pPr>
      <w:r>
        <w:rPr>
          <w:b/>
          <w:bCs/>
        </w:rPr>
        <w:t>Customer analysis focused on:</w:t>
      </w:r>
    </w:p>
    <w:p w14:paraId="60D66816" w14:textId="77777777" w:rsidR="00B0151F" w:rsidRDefault="00BE22D9">
      <w:pPr>
        <w:pStyle w:val="ListParagraph"/>
        <w:numPr>
          <w:ilvl w:val="0"/>
          <w:numId w:val="2"/>
        </w:numPr>
        <w:spacing w:after="80"/>
      </w:pPr>
      <w:r>
        <w:t>Income Tier</w:t>
      </w:r>
    </w:p>
    <w:p w14:paraId="60D66817" w14:textId="77777777" w:rsidR="00B0151F" w:rsidRDefault="00BE22D9">
      <w:pPr>
        <w:pStyle w:val="ListParagraph"/>
        <w:numPr>
          <w:ilvl w:val="0"/>
          <w:numId w:val="2"/>
        </w:numPr>
        <w:spacing w:after="80"/>
      </w:pPr>
      <w:r>
        <w:t>Vehicle Model</w:t>
      </w:r>
    </w:p>
    <w:p w14:paraId="60D66818" w14:textId="77777777" w:rsidR="00B0151F" w:rsidRDefault="00BE22D9">
      <w:pPr>
        <w:pStyle w:val="ListParagraph"/>
        <w:numPr>
          <w:ilvl w:val="0"/>
          <w:numId w:val="2"/>
        </w:numPr>
        <w:spacing w:after="80"/>
      </w:pPr>
      <w:r>
        <w:t>Battery Capacity</w:t>
      </w:r>
    </w:p>
    <w:p w14:paraId="60D66819" w14:textId="77777777" w:rsidR="00B0151F" w:rsidRDefault="00BE22D9">
      <w:pPr>
        <w:pStyle w:val="ListParagraph"/>
        <w:numPr>
          <w:ilvl w:val="0"/>
          <w:numId w:val="2"/>
        </w:numPr>
        <w:spacing w:after="80"/>
      </w:pPr>
      <w:r>
        <w:t>Charging Frequency</w:t>
      </w:r>
    </w:p>
    <w:p w14:paraId="60D6681A" w14:textId="77777777" w:rsidR="00B0151F" w:rsidRDefault="00BE22D9">
      <w:pPr>
        <w:spacing w:before="60" w:after="100"/>
      </w:pPr>
      <w:r>
        <w:rPr>
          <w:b/>
          <w:bCs/>
        </w:rPr>
        <w:t>The customer dataset contains:</w:t>
      </w:r>
    </w:p>
    <w:p w14:paraId="60D6681B" w14:textId="77777777" w:rsidR="00B0151F" w:rsidRDefault="00BE22D9">
      <w:pPr>
        <w:pStyle w:val="ListParagraph"/>
        <w:numPr>
          <w:ilvl w:val="0"/>
          <w:numId w:val="2"/>
        </w:numPr>
        <w:spacing w:after="80"/>
      </w:pPr>
      <w:r>
        <w:t>8,000 registered customers</w:t>
      </w:r>
    </w:p>
    <w:p w14:paraId="60D6681C" w14:textId="77777777" w:rsidR="00B0151F" w:rsidRDefault="00BE22D9">
      <w:pPr>
        <w:pStyle w:val="ListParagraph"/>
        <w:numPr>
          <w:ilvl w:val="0"/>
          <w:numId w:val="2"/>
        </w:numPr>
        <w:spacing w:after="80"/>
      </w:pPr>
      <w:r>
        <w:t>25 EV models</w:t>
      </w:r>
    </w:p>
    <w:p w14:paraId="60D6681D" w14:textId="77777777" w:rsidR="00B0151F" w:rsidRDefault="00BE22D9">
      <w:pPr>
        <w:pStyle w:val="ListParagraph"/>
        <w:numPr>
          <w:ilvl w:val="0"/>
          <w:numId w:val="2"/>
        </w:numPr>
        <w:spacing w:after="80"/>
      </w:pPr>
      <w:r>
        <w:t>Battery capacities ranging from 12 kWh to 95 kWh</w:t>
      </w:r>
    </w:p>
    <w:p w14:paraId="60D6681E" w14:textId="77777777" w:rsidR="00B0151F" w:rsidRDefault="00BE22D9">
      <w:pPr>
        <w:pStyle w:val="ListParagraph"/>
        <w:numPr>
          <w:ilvl w:val="0"/>
          <w:numId w:val="2"/>
        </w:numPr>
        <w:spacing w:after="80"/>
      </w:pPr>
      <w:r>
        <w:lastRenderedPageBreak/>
        <w:t>Average battery capacity of 31.4 kWh</w:t>
      </w:r>
    </w:p>
    <w:p w14:paraId="60D6681F" w14:textId="77777777" w:rsidR="00B0151F" w:rsidRDefault="00BE22D9">
      <w:pPr>
        <w:spacing w:before="160" w:after="100"/>
      </w:pPr>
      <w:r>
        <w:rPr>
          <w:b/>
          <w:bCs/>
          <w:color w:val="D97706"/>
          <w:spacing w:val="12"/>
          <w:sz w:val="19"/>
          <w:szCs w:val="19"/>
        </w:rPr>
        <w:t>KEY BUSINESS QUESTIONS</w:t>
      </w:r>
    </w:p>
    <w:p w14:paraId="60D66820" w14:textId="77777777" w:rsidR="00B0151F" w:rsidRDefault="00BE22D9">
      <w:pPr>
        <w:pStyle w:val="ListParagraph"/>
        <w:numPr>
          <w:ilvl w:val="0"/>
          <w:numId w:val="2"/>
        </w:numPr>
        <w:spacing w:after="80"/>
      </w:pPr>
      <w:r>
        <w:t>Which income segment contributes most?</w:t>
      </w:r>
    </w:p>
    <w:p w14:paraId="60D66821" w14:textId="77777777" w:rsidR="00B0151F" w:rsidRDefault="00BE22D9">
      <w:pPr>
        <w:pStyle w:val="ListParagraph"/>
        <w:numPr>
          <w:ilvl w:val="0"/>
          <w:numId w:val="2"/>
        </w:numPr>
        <w:spacing w:after="80"/>
      </w:pPr>
      <w:r>
        <w:t>Which EV models generate higher usage?</w:t>
      </w:r>
    </w:p>
    <w:p w14:paraId="60D66822" w14:textId="77777777" w:rsidR="00B0151F" w:rsidRDefault="00BE22D9">
      <w:pPr>
        <w:pStyle w:val="ListParagraph"/>
        <w:numPr>
          <w:ilvl w:val="0"/>
          <w:numId w:val="2"/>
        </w:numPr>
        <w:spacing w:after="80"/>
      </w:pPr>
      <w:r>
        <w:t>Which customer groups show lower engagement?</w:t>
      </w:r>
    </w:p>
    <w:p w14:paraId="60D66823" w14:textId="77777777" w:rsidR="00B0151F" w:rsidRDefault="00BE22D9">
      <w:pPr>
        <w:pBdr>
          <w:bottom w:val="single" w:sz="6" w:space="4" w:color="D97706"/>
        </w:pBdr>
        <w:spacing w:before="220" w:after="120"/>
      </w:pPr>
      <w:r>
        <w:rPr>
          <w:b/>
          <w:bCs/>
          <w:color w:val="134E7C"/>
          <w:sz w:val="24"/>
          <w:szCs w:val="24"/>
        </w:rPr>
        <w:t>D.  Station Utilization</w:t>
      </w:r>
    </w:p>
    <w:p w14:paraId="60D66824" w14:textId="77777777" w:rsidR="00B0151F" w:rsidRDefault="00BE22D9">
      <w:pPr>
        <w:spacing w:before="60" w:after="100"/>
      </w:pPr>
      <w:r>
        <w:rPr>
          <w:b/>
          <w:bCs/>
        </w:rPr>
        <w:t>Station performance was evaluated using:</w:t>
      </w:r>
    </w:p>
    <w:p w14:paraId="60D66825" w14:textId="77777777" w:rsidR="00B0151F" w:rsidRDefault="00BE22D9">
      <w:pPr>
        <w:pStyle w:val="ListParagraph"/>
        <w:numPr>
          <w:ilvl w:val="0"/>
          <w:numId w:val="2"/>
        </w:numPr>
        <w:spacing w:after="80"/>
      </w:pPr>
      <w:r>
        <w:t>Sessions per Station</w:t>
      </w:r>
    </w:p>
    <w:p w14:paraId="60D66826" w14:textId="77777777" w:rsidR="00B0151F" w:rsidRDefault="00BE22D9">
      <w:pPr>
        <w:pStyle w:val="ListParagraph"/>
        <w:numPr>
          <w:ilvl w:val="0"/>
          <w:numId w:val="2"/>
        </w:numPr>
        <w:spacing w:after="80"/>
      </w:pPr>
      <w:r>
        <w:t>Sessions per Plug</w:t>
      </w:r>
    </w:p>
    <w:p w14:paraId="60D66827" w14:textId="77777777" w:rsidR="00B0151F" w:rsidRDefault="00BE22D9">
      <w:pPr>
        <w:pStyle w:val="ListParagraph"/>
        <w:numPr>
          <w:ilvl w:val="0"/>
          <w:numId w:val="2"/>
        </w:numPr>
        <w:spacing w:after="80"/>
      </w:pPr>
      <w:r>
        <w:t>Average kWh per Station</w:t>
      </w:r>
    </w:p>
    <w:p w14:paraId="60D66828" w14:textId="77777777" w:rsidR="00B0151F" w:rsidRDefault="00BE22D9">
      <w:pPr>
        <w:pStyle w:val="ListParagraph"/>
        <w:numPr>
          <w:ilvl w:val="0"/>
          <w:numId w:val="2"/>
        </w:numPr>
        <w:spacing w:after="80"/>
      </w:pPr>
      <w:r>
        <w:t>District-wise Station Density</w:t>
      </w:r>
    </w:p>
    <w:p w14:paraId="60D66829" w14:textId="77777777" w:rsidR="00B0151F" w:rsidRDefault="00BE22D9">
      <w:pPr>
        <w:spacing w:after="160" w:line="276" w:lineRule="auto"/>
      </w:pPr>
      <w:r>
        <w:t>The existing network contains 65 stations, and each station currently has 6 plugs in the dataset.</w:t>
      </w:r>
    </w:p>
    <w:p w14:paraId="60D6682A" w14:textId="77777777" w:rsidR="00B0151F" w:rsidRDefault="00BE22D9">
      <w:pPr>
        <w:spacing w:before="60" w:after="100"/>
      </w:pPr>
      <w:r>
        <w:rPr>
          <w:b/>
          <w:bCs/>
        </w:rPr>
        <w:t>This analysis helps identify:</w:t>
      </w:r>
    </w:p>
    <w:p w14:paraId="60D6682B" w14:textId="77777777" w:rsidR="00B0151F" w:rsidRDefault="00BE22D9">
      <w:pPr>
        <w:pStyle w:val="ListParagraph"/>
        <w:numPr>
          <w:ilvl w:val="0"/>
          <w:numId w:val="2"/>
        </w:numPr>
        <w:spacing w:after="80"/>
      </w:pPr>
      <w:r>
        <w:t>Overutilized stations</w:t>
      </w:r>
    </w:p>
    <w:p w14:paraId="60D6682C" w14:textId="77777777" w:rsidR="00B0151F" w:rsidRDefault="00BE22D9">
      <w:pPr>
        <w:pStyle w:val="ListParagraph"/>
        <w:numPr>
          <w:ilvl w:val="0"/>
          <w:numId w:val="2"/>
        </w:numPr>
        <w:spacing w:after="80"/>
      </w:pPr>
      <w:r>
        <w:t>Underutilized stations</w:t>
      </w:r>
    </w:p>
    <w:p w14:paraId="60D6682D" w14:textId="77777777" w:rsidR="00B0151F" w:rsidRDefault="00BE22D9">
      <w:pPr>
        <w:pStyle w:val="ListParagraph"/>
        <w:numPr>
          <w:ilvl w:val="0"/>
          <w:numId w:val="2"/>
        </w:numPr>
        <w:spacing w:after="80"/>
      </w:pPr>
      <w:r>
        <w:t>Capacity imbalance across districts</w:t>
      </w:r>
    </w:p>
    <w:p w14:paraId="60D6682E" w14:textId="77777777" w:rsidR="00B0151F" w:rsidRDefault="00BE22D9">
      <w:pPr>
        <w:pBdr>
          <w:bottom w:val="single" w:sz="6" w:space="4" w:color="D97706"/>
        </w:pBdr>
        <w:spacing w:before="220" w:after="120"/>
      </w:pPr>
      <w:r>
        <w:rPr>
          <w:b/>
          <w:bCs/>
          <w:color w:val="134E7C"/>
          <w:sz w:val="24"/>
          <w:szCs w:val="24"/>
        </w:rPr>
        <w:t>E.  Financial Feasibility</w:t>
      </w:r>
    </w:p>
    <w:p w14:paraId="60D6682F" w14:textId="77777777" w:rsidR="00B0151F" w:rsidRDefault="00BE22D9">
      <w:pPr>
        <w:spacing w:after="160" w:line="276" w:lineRule="auto"/>
      </w:pPr>
      <w:r>
        <w:t>The ROI dataset evaluates 98 proposed charging projects.</w:t>
      </w:r>
    </w:p>
    <w:p w14:paraId="60D66830" w14:textId="77777777" w:rsidR="00B0151F" w:rsidRDefault="00BE22D9">
      <w:pPr>
        <w:spacing w:before="60" w:after="100"/>
      </w:pPr>
      <w:r>
        <w:rPr>
          <w:b/>
          <w:bCs/>
        </w:rPr>
        <w:t>Key financial metrics include:</w:t>
      </w:r>
    </w:p>
    <w:p w14:paraId="60D66831" w14:textId="77777777" w:rsidR="00B0151F" w:rsidRDefault="00BE22D9">
      <w:pPr>
        <w:pStyle w:val="ListParagraph"/>
        <w:numPr>
          <w:ilvl w:val="0"/>
          <w:numId w:val="2"/>
        </w:numPr>
        <w:spacing w:after="80"/>
      </w:pPr>
      <w:r>
        <w:t>Total CAPEX</w:t>
      </w:r>
    </w:p>
    <w:p w14:paraId="60D66832" w14:textId="77777777" w:rsidR="00B0151F" w:rsidRDefault="00BE22D9">
      <w:pPr>
        <w:pStyle w:val="ListParagraph"/>
        <w:numPr>
          <w:ilvl w:val="0"/>
          <w:numId w:val="2"/>
        </w:numPr>
        <w:spacing w:after="80"/>
      </w:pPr>
      <w:r>
        <w:t>Annual Revenue</w:t>
      </w:r>
    </w:p>
    <w:p w14:paraId="60D66833" w14:textId="77777777" w:rsidR="00B0151F" w:rsidRDefault="00BE22D9">
      <w:pPr>
        <w:pStyle w:val="ListParagraph"/>
        <w:numPr>
          <w:ilvl w:val="0"/>
          <w:numId w:val="2"/>
        </w:numPr>
        <w:spacing w:after="80"/>
      </w:pPr>
      <w:r>
        <w:t>Annual EBITDA</w:t>
      </w:r>
    </w:p>
    <w:p w14:paraId="60D66834" w14:textId="77777777" w:rsidR="00B0151F" w:rsidRDefault="00BE22D9">
      <w:pPr>
        <w:pStyle w:val="ListParagraph"/>
        <w:numPr>
          <w:ilvl w:val="0"/>
          <w:numId w:val="2"/>
        </w:numPr>
        <w:spacing w:after="80"/>
      </w:pPr>
      <w:r>
        <w:t>Payback Period</w:t>
      </w:r>
    </w:p>
    <w:p w14:paraId="60D66835" w14:textId="77777777" w:rsidR="00B0151F" w:rsidRDefault="00BE22D9">
      <w:pPr>
        <w:pStyle w:val="ListParagraph"/>
        <w:numPr>
          <w:ilvl w:val="0"/>
          <w:numId w:val="2"/>
        </w:numPr>
        <w:spacing w:after="80"/>
      </w:pPr>
      <w:r>
        <w:t>Adjusted Payback</w:t>
      </w:r>
    </w:p>
    <w:p w14:paraId="60D66836" w14:textId="77777777" w:rsidR="00B0151F" w:rsidRDefault="00BE22D9">
      <w:pPr>
        <w:pStyle w:val="ListParagraph"/>
        <w:numPr>
          <w:ilvl w:val="0"/>
          <w:numId w:val="2"/>
        </w:numPr>
        <w:spacing w:after="80"/>
      </w:pPr>
      <w:r>
        <w:t>5-Year ROI</w:t>
      </w:r>
    </w:p>
    <w:p w14:paraId="60D66837" w14:textId="77777777" w:rsidR="00B0151F" w:rsidRDefault="00BE22D9">
      <w:pPr>
        <w:pStyle w:val="ListParagraph"/>
        <w:numPr>
          <w:ilvl w:val="0"/>
          <w:numId w:val="2"/>
        </w:numPr>
        <w:spacing w:after="80"/>
      </w:pPr>
      <w:r>
        <w:t>Government Subsidy</w:t>
      </w:r>
    </w:p>
    <w:p w14:paraId="60D66838" w14:textId="77777777" w:rsidR="00B0151F" w:rsidRDefault="00BE22D9">
      <w:pPr>
        <w:spacing w:before="160" w:after="100"/>
      </w:pPr>
      <w:r>
        <w:rPr>
          <w:b/>
          <w:bCs/>
          <w:color w:val="D97706"/>
          <w:spacing w:val="12"/>
          <w:sz w:val="19"/>
          <w:szCs w:val="19"/>
        </w:rPr>
        <w:t>ROI RANGE</w:t>
      </w:r>
    </w:p>
    <w:p w14:paraId="60D66839" w14:textId="77777777" w:rsidR="00B0151F" w:rsidRDefault="00BE22D9">
      <w:pPr>
        <w:spacing w:after="160" w:line="276" w:lineRule="auto"/>
      </w:pPr>
      <w:r>
        <w:t>The dataset contains projects ranging from -57.5% ROI to +213% ROI over five years.</w:t>
      </w:r>
    </w:p>
    <w:p w14:paraId="60D6683A" w14:textId="77777777" w:rsidR="00B0151F" w:rsidRDefault="00BE22D9">
      <w:pPr>
        <w:pStyle w:val="Heading1"/>
        <w:shd w:val="clear" w:color="auto" w:fill="0B3556"/>
        <w:spacing w:before="400" w:after="240"/>
      </w:pPr>
      <w:r>
        <w:rPr>
          <w:b/>
          <w:bCs/>
          <w:color w:val="F2A65A"/>
          <w:sz w:val="30"/>
          <w:szCs w:val="30"/>
        </w:rPr>
        <w:t xml:space="preserve">  6   </w:t>
      </w:r>
      <w:r>
        <w:rPr>
          <w:b/>
          <w:bCs/>
          <w:color w:val="FFFFFF"/>
          <w:sz w:val="30"/>
          <w:szCs w:val="30"/>
        </w:rPr>
        <w:t>District Expansion Analysis</w:t>
      </w:r>
      <w:r>
        <w:rPr>
          <w:sz w:val="30"/>
          <w:szCs w:val="30"/>
        </w:rPr>
        <w:t xml:space="preserve">   </w:t>
      </w:r>
    </w:p>
    <w:p w14:paraId="60D6683B" w14:textId="77777777" w:rsidR="00B0151F" w:rsidRDefault="00BE22D9">
      <w:pPr>
        <w:spacing w:after="160" w:line="276" w:lineRule="auto"/>
      </w:pPr>
      <w:r>
        <w:t>Your final Pivot Table ranked districts by Average 5-Year ROI, which directly supports expansion planning.</w:t>
      </w:r>
    </w:p>
    <w:p w14:paraId="60D6683C" w14:textId="77777777" w:rsidR="00B0151F" w:rsidRDefault="00BE22D9">
      <w:pPr>
        <w:pBdr>
          <w:bottom w:val="single" w:sz="6" w:space="4" w:color="D97706"/>
        </w:pBdr>
        <w:spacing w:before="220" w:after="120"/>
      </w:pPr>
      <w:r>
        <w:rPr>
          <w:b/>
          <w:bCs/>
          <w:color w:val="134E7C"/>
          <w:sz w:val="24"/>
          <w:szCs w:val="24"/>
        </w:rPr>
        <w:t>Highest-Priority Districts</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2800"/>
        <w:gridCol w:w="1800"/>
        <w:gridCol w:w="2200"/>
        <w:gridCol w:w="2226"/>
      </w:tblGrid>
      <w:tr w:rsidR="00B0151F" w14:paraId="60D66841" w14:textId="77777777">
        <w:trPr>
          <w:tblHeader/>
        </w:trPr>
        <w:tc>
          <w:tcPr>
            <w:tcW w:w="2800" w:type="dxa"/>
            <w:shd w:val="clear" w:color="auto" w:fill="0B3556"/>
            <w:tcMar>
              <w:top w:w="100" w:type="dxa"/>
              <w:left w:w="120" w:type="dxa"/>
              <w:bottom w:w="100" w:type="dxa"/>
              <w:right w:w="120" w:type="dxa"/>
            </w:tcMar>
            <w:vAlign w:val="center"/>
          </w:tcPr>
          <w:p w14:paraId="60D6683D" w14:textId="77777777" w:rsidR="00B0151F" w:rsidRDefault="00BE22D9">
            <w:pPr>
              <w:spacing w:before="40" w:after="40"/>
            </w:pPr>
            <w:r>
              <w:rPr>
                <w:b/>
                <w:bCs/>
                <w:color w:val="FFFFFF"/>
                <w:sz w:val="20"/>
                <w:szCs w:val="20"/>
              </w:rPr>
              <w:t>District</w:t>
            </w:r>
          </w:p>
        </w:tc>
        <w:tc>
          <w:tcPr>
            <w:tcW w:w="1800" w:type="dxa"/>
            <w:shd w:val="clear" w:color="auto" w:fill="0B3556"/>
            <w:tcMar>
              <w:top w:w="100" w:type="dxa"/>
              <w:left w:w="120" w:type="dxa"/>
              <w:bottom w:w="100" w:type="dxa"/>
              <w:right w:w="120" w:type="dxa"/>
            </w:tcMar>
            <w:vAlign w:val="center"/>
          </w:tcPr>
          <w:p w14:paraId="60D6683E" w14:textId="77777777" w:rsidR="00B0151F" w:rsidRDefault="00BE22D9">
            <w:pPr>
              <w:spacing w:before="40" w:after="40"/>
            </w:pPr>
            <w:r>
              <w:rPr>
                <w:b/>
                <w:bCs/>
                <w:color w:val="FFFFFF"/>
                <w:sz w:val="20"/>
                <w:szCs w:val="20"/>
              </w:rPr>
              <w:t>Avg ROI</w:t>
            </w:r>
          </w:p>
        </w:tc>
        <w:tc>
          <w:tcPr>
            <w:tcW w:w="2200" w:type="dxa"/>
            <w:shd w:val="clear" w:color="auto" w:fill="0B3556"/>
            <w:tcMar>
              <w:top w:w="100" w:type="dxa"/>
              <w:left w:w="120" w:type="dxa"/>
              <w:bottom w:w="100" w:type="dxa"/>
              <w:right w:w="120" w:type="dxa"/>
            </w:tcMar>
            <w:vAlign w:val="center"/>
          </w:tcPr>
          <w:p w14:paraId="60D6683F" w14:textId="77777777" w:rsidR="00B0151F" w:rsidRDefault="00BE22D9">
            <w:pPr>
              <w:spacing w:before="40" w:after="40"/>
            </w:pPr>
            <w:r>
              <w:rPr>
                <w:b/>
                <w:bCs/>
                <w:color w:val="FFFFFF"/>
                <w:sz w:val="20"/>
                <w:szCs w:val="20"/>
              </w:rPr>
              <w:t>Projected EVs</w:t>
            </w:r>
          </w:p>
        </w:tc>
        <w:tc>
          <w:tcPr>
            <w:tcW w:w="2226" w:type="dxa"/>
            <w:shd w:val="clear" w:color="auto" w:fill="0B3556"/>
            <w:tcMar>
              <w:top w:w="100" w:type="dxa"/>
              <w:left w:w="120" w:type="dxa"/>
              <w:bottom w:w="100" w:type="dxa"/>
              <w:right w:w="120" w:type="dxa"/>
            </w:tcMar>
            <w:vAlign w:val="center"/>
          </w:tcPr>
          <w:p w14:paraId="60D66840" w14:textId="77777777" w:rsidR="00B0151F" w:rsidRDefault="00BE22D9">
            <w:pPr>
              <w:spacing w:before="40" w:after="40"/>
            </w:pPr>
            <w:r>
              <w:rPr>
                <w:b/>
                <w:bCs/>
                <w:color w:val="FFFFFF"/>
                <w:sz w:val="20"/>
                <w:szCs w:val="20"/>
              </w:rPr>
              <w:t>Station Density</w:t>
            </w:r>
          </w:p>
        </w:tc>
      </w:tr>
      <w:tr w:rsidR="00B0151F" w14:paraId="60D66846" w14:textId="77777777">
        <w:tc>
          <w:tcPr>
            <w:tcW w:w="2800" w:type="dxa"/>
            <w:tcMar>
              <w:top w:w="90" w:type="dxa"/>
              <w:left w:w="120" w:type="dxa"/>
              <w:bottom w:w="90" w:type="dxa"/>
              <w:right w:w="120" w:type="dxa"/>
            </w:tcMar>
            <w:vAlign w:val="center"/>
          </w:tcPr>
          <w:p w14:paraId="60D66842" w14:textId="77777777" w:rsidR="00B0151F" w:rsidRDefault="00BE22D9">
            <w:pPr>
              <w:spacing w:before="40" w:after="40"/>
            </w:pPr>
            <w:r>
              <w:rPr>
                <w:b/>
                <w:bCs/>
                <w:sz w:val="20"/>
                <w:szCs w:val="20"/>
              </w:rPr>
              <w:t>Bommanahalli</w:t>
            </w:r>
          </w:p>
        </w:tc>
        <w:tc>
          <w:tcPr>
            <w:tcW w:w="1800" w:type="dxa"/>
            <w:tcMar>
              <w:top w:w="90" w:type="dxa"/>
              <w:left w:w="120" w:type="dxa"/>
              <w:bottom w:w="90" w:type="dxa"/>
              <w:right w:w="120" w:type="dxa"/>
            </w:tcMar>
            <w:vAlign w:val="center"/>
          </w:tcPr>
          <w:p w14:paraId="60D66843" w14:textId="77777777" w:rsidR="00B0151F" w:rsidRDefault="00BE22D9">
            <w:pPr>
              <w:spacing w:before="40" w:after="40"/>
            </w:pPr>
            <w:r>
              <w:rPr>
                <w:color w:val="1B7A3D"/>
                <w:sz w:val="20"/>
                <w:szCs w:val="20"/>
              </w:rPr>
              <w:t>144.7%</w:t>
            </w:r>
          </w:p>
        </w:tc>
        <w:tc>
          <w:tcPr>
            <w:tcW w:w="2200" w:type="dxa"/>
            <w:tcMar>
              <w:top w:w="90" w:type="dxa"/>
              <w:left w:w="120" w:type="dxa"/>
              <w:bottom w:w="90" w:type="dxa"/>
              <w:right w:w="120" w:type="dxa"/>
            </w:tcMar>
            <w:vAlign w:val="center"/>
          </w:tcPr>
          <w:p w14:paraId="60D66844" w14:textId="77777777" w:rsidR="00B0151F" w:rsidRDefault="00BE22D9">
            <w:pPr>
              <w:spacing w:before="40" w:after="40"/>
            </w:pPr>
            <w:r>
              <w:rPr>
                <w:sz w:val="20"/>
                <w:szCs w:val="20"/>
              </w:rPr>
              <w:t>1,200</w:t>
            </w:r>
          </w:p>
        </w:tc>
        <w:tc>
          <w:tcPr>
            <w:tcW w:w="2226" w:type="dxa"/>
            <w:tcMar>
              <w:top w:w="90" w:type="dxa"/>
              <w:left w:w="120" w:type="dxa"/>
              <w:bottom w:w="90" w:type="dxa"/>
              <w:right w:w="120" w:type="dxa"/>
            </w:tcMar>
            <w:vAlign w:val="center"/>
          </w:tcPr>
          <w:p w14:paraId="60D66845" w14:textId="77777777" w:rsidR="00B0151F" w:rsidRDefault="00BE22D9">
            <w:pPr>
              <w:spacing w:before="40" w:after="40"/>
            </w:pPr>
            <w:r>
              <w:rPr>
                <w:sz w:val="20"/>
                <w:szCs w:val="20"/>
              </w:rPr>
              <w:t>3</w:t>
            </w:r>
          </w:p>
        </w:tc>
      </w:tr>
      <w:tr w:rsidR="00B0151F" w14:paraId="60D6684B" w14:textId="77777777">
        <w:tc>
          <w:tcPr>
            <w:tcW w:w="2800" w:type="dxa"/>
            <w:shd w:val="clear" w:color="auto" w:fill="F6F9FB"/>
            <w:tcMar>
              <w:top w:w="90" w:type="dxa"/>
              <w:left w:w="120" w:type="dxa"/>
              <w:bottom w:w="90" w:type="dxa"/>
              <w:right w:w="120" w:type="dxa"/>
            </w:tcMar>
            <w:vAlign w:val="center"/>
          </w:tcPr>
          <w:p w14:paraId="60D66847" w14:textId="77777777" w:rsidR="00B0151F" w:rsidRDefault="00BE22D9">
            <w:pPr>
              <w:spacing w:before="40" w:after="40"/>
            </w:pPr>
            <w:r>
              <w:rPr>
                <w:b/>
                <w:bCs/>
                <w:sz w:val="20"/>
                <w:szCs w:val="20"/>
              </w:rPr>
              <w:t>Marathahalli</w:t>
            </w:r>
          </w:p>
        </w:tc>
        <w:tc>
          <w:tcPr>
            <w:tcW w:w="1800" w:type="dxa"/>
            <w:shd w:val="clear" w:color="auto" w:fill="F6F9FB"/>
            <w:tcMar>
              <w:top w:w="90" w:type="dxa"/>
              <w:left w:w="120" w:type="dxa"/>
              <w:bottom w:w="90" w:type="dxa"/>
              <w:right w:w="120" w:type="dxa"/>
            </w:tcMar>
            <w:vAlign w:val="center"/>
          </w:tcPr>
          <w:p w14:paraId="60D66848" w14:textId="77777777" w:rsidR="00B0151F" w:rsidRDefault="00BE22D9">
            <w:pPr>
              <w:spacing w:before="40" w:after="40"/>
            </w:pPr>
            <w:r>
              <w:rPr>
                <w:color w:val="1B7A3D"/>
                <w:sz w:val="20"/>
                <w:szCs w:val="20"/>
              </w:rPr>
              <w:t>82.4%</w:t>
            </w:r>
          </w:p>
        </w:tc>
        <w:tc>
          <w:tcPr>
            <w:tcW w:w="2200" w:type="dxa"/>
            <w:shd w:val="clear" w:color="auto" w:fill="F6F9FB"/>
            <w:tcMar>
              <w:top w:w="90" w:type="dxa"/>
              <w:left w:w="120" w:type="dxa"/>
              <w:bottom w:w="90" w:type="dxa"/>
              <w:right w:w="120" w:type="dxa"/>
            </w:tcMar>
            <w:vAlign w:val="center"/>
          </w:tcPr>
          <w:p w14:paraId="60D66849" w14:textId="77777777" w:rsidR="00B0151F" w:rsidRDefault="00BE22D9">
            <w:pPr>
              <w:spacing w:before="40" w:after="40"/>
            </w:pPr>
            <w:r>
              <w:rPr>
                <w:sz w:val="20"/>
                <w:szCs w:val="20"/>
              </w:rPr>
              <w:t>1,700</w:t>
            </w:r>
          </w:p>
        </w:tc>
        <w:tc>
          <w:tcPr>
            <w:tcW w:w="2226" w:type="dxa"/>
            <w:shd w:val="clear" w:color="auto" w:fill="F6F9FB"/>
            <w:tcMar>
              <w:top w:w="90" w:type="dxa"/>
              <w:left w:w="120" w:type="dxa"/>
              <w:bottom w:w="90" w:type="dxa"/>
              <w:right w:w="120" w:type="dxa"/>
            </w:tcMar>
            <w:vAlign w:val="center"/>
          </w:tcPr>
          <w:p w14:paraId="60D6684A" w14:textId="77777777" w:rsidR="00B0151F" w:rsidRDefault="00BE22D9">
            <w:pPr>
              <w:spacing w:before="40" w:after="40"/>
            </w:pPr>
            <w:r>
              <w:rPr>
                <w:sz w:val="20"/>
                <w:szCs w:val="20"/>
              </w:rPr>
              <w:t>4</w:t>
            </w:r>
          </w:p>
        </w:tc>
      </w:tr>
      <w:tr w:rsidR="00B0151F" w14:paraId="60D66850" w14:textId="77777777">
        <w:tc>
          <w:tcPr>
            <w:tcW w:w="2800" w:type="dxa"/>
            <w:tcMar>
              <w:top w:w="90" w:type="dxa"/>
              <w:left w:w="120" w:type="dxa"/>
              <w:bottom w:w="90" w:type="dxa"/>
              <w:right w:w="120" w:type="dxa"/>
            </w:tcMar>
            <w:vAlign w:val="center"/>
          </w:tcPr>
          <w:p w14:paraId="60D6684C" w14:textId="77777777" w:rsidR="00B0151F" w:rsidRDefault="00BE22D9">
            <w:pPr>
              <w:spacing w:before="40" w:after="40"/>
            </w:pPr>
            <w:r>
              <w:rPr>
                <w:b/>
                <w:bCs/>
                <w:sz w:val="20"/>
                <w:szCs w:val="20"/>
              </w:rPr>
              <w:lastRenderedPageBreak/>
              <w:t>Banashankari</w:t>
            </w:r>
          </w:p>
        </w:tc>
        <w:tc>
          <w:tcPr>
            <w:tcW w:w="1800" w:type="dxa"/>
            <w:tcMar>
              <w:top w:w="90" w:type="dxa"/>
              <w:left w:w="120" w:type="dxa"/>
              <w:bottom w:w="90" w:type="dxa"/>
              <w:right w:w="120" w:type="dxa"/>
            </w:tcMar>
            <w:vAlign w:val="center"/>
          </w:tcPr>
          <w:p w14:paraId="60D6684D" w14:textId="77777777" w:rsidR="00B0151F" w:rsidRDefault="00BE22D9">
            <w:pPr>
              <w:spacing w:before="40" w:after="40"/>
            </w:pPr>
            <w:r>
              <w:rPr>
                <w:color w:val="1B7A3D"/>
                <w:sz w:val="20"/>
                <w:szCs w:val="20"/>
              </w:rPr>
              <w:t>80.2%</w:t>
            </w:r>
          </w:p>
        </w:tc>
        <w:tc>
          <w:tcPr>
            <w:tcW w:w="2200" w:type="dxa"/>
            <w:tcMar>
              <w:top w:w="90" w:type="dxa"/>
              <w:left w:w="120" w:type="dxa"/>
              <w:bottom w:w="90" w:type="dxa"/>
              <w:right w:w="120" w:type="dxa"/>
            </w:tcMar>
            <w:vAlign w:val="center"/>
          </w:tcPr>
          <w:p w14:paraId="60D6684E" w14:textId="77777777" w:rsidR="00B0151F" w:rsidRDefault="00BE22D9">
            <w:pPr>
              <w:spacing w:before="40" w:after="40"/>
            </w:pPr>
            <w:r>
              <w:rPr>
                <w:sz w:val="20"/>
                <w:szCs w:val="20"/>
              </w:rPr>
              <w:t>2,500</w:t>
            </w:r>
          </w:p>
        </w:tc>
        <w:tc>
          <w:tcPr>
            <w:tcW w:w="2226" w:type="dxa"/>
            <w:tcMar>
              <w:top w:w="90" w:type="dxa"/>
              <w:left w:w="120" w:type="dxa"/>
              <w:bottom w:w="90" w:type="dxa"/>
              <w:right w:w="120" w:type="dxa"/>
            </w:tcMar>
            <w:vAlign w:val="center"/>
          </w:tcPr>
          <w:p w14:paraId="60D6684F" w14:textId="77777777" w:rsidR="00B0151F" w:rsidRDefault="00BE22D9">
            <w:pPr>
              <w:spacing w:before="40" w:after="40"/>
            </w:pPr>
            <w:r>
              <w:rPr>
                <w:sz w:val="20"/>
                <w:szCs w:val="20"/>
              </w:rPr>
              <w:t>4</w:t>
            </w:r>
          </w:p>
        </w:tc>
      </w:tr>
      <w:tr w:rsidR="00B0151F" w14:paraId="60D66855" w14:textId="77777777">
        <w:tc>
          <w:tcPr>
            <w:tcW w:w="2800" w:type="dxa"/>
            <w:shd w:val="clear" w:color="auto" w:fill="F6F9FB"/>
            <w:tcMar>
              <w:top w:w="90" w:type="dxa"/>
              <w:left w:w="120" w:type="dxa"/>
              <w:bottom w:w="90" w:type="dxa"/>
              <w:right w:w="120" w:type="dxa"/>
            </w:tcMar>
            <w:vAlign w:val="center"/>
          </w:tcPr>
          <w:p w14:paraId="60D66851" w14:textId="77777777" w:rsidR="00B0151F" w:rsidRDefault="00BE22D9">
            <w:pPr>
              <w:spacing w:before="40" w:after="40"/>
            </w:pPr>
            <w:r>
              <w:rPr>
                <w:b/>
                <w:bCs/>
                <w:sz w:val="20"/>
                <w:szCs w:val="20"/>
              </w:rPr>
              <w:t>Electronic City</w:t>
            </w:r>
          </w:p>
        </w:tc>
        <w:tc>
          <w:tcPr>
            <w:tcW w:w="1800" w:type="dxa"/>
            <w:shd w:val="clear" w:color="auto" w:fill="F6F9FB"/>
            <w:tcMar>
              <w:top w:w="90" w:type="dxa"/>
              <w:left w:w="120" w:type="dxa"/>
              <w:bottom w:w="90" w:type="dxa"/>
              <w:right w:w="120" w:type="dxa"/>
            </w:tcMar>
            <w:vAlign w:val="center"/>
          </w:tcPr>
          <w:p w14:paraId="60D66852" w14:textId="77777777" w:rsidR="00B0151F" w:rsidRDefault="00BE22D9">
            <w:pPr>
              <w:spacing w:before="40" w:after="40"/>
            </w:pPr>
            <w:r>
              <w:rPr>
                <w:color w:val="1B7A3D"/>
                <w:sz w:val="20"/>
                <w:szCs w:val="20"/>
              </w:rPr>
              <w:t>75.0%</w:t>
            </w:r>
          </w:p>
        </w:tc>
        <w:tc>
          <w:tcPr>
            <w:tcW w:w="2200" w:type="dxa"/>
            <w:shd w:val="clear" w:color="auto" w:fill="F6F9FB"/>
            <w:tcMar>
              <w:top w:w="90" w:type="dxa"/>
              <w:left w:w="120" w:type="dxa"/>
              <w:bottom w:w="90" w:type="dxa"/>
              <w:right w:w="120" w:type="dxa"/>
            </w:tcMar>
            <w:vAlign w:val="center"/>
          </w:tcPr>
          <w:p w14:paraId="60D66853" w14:textId="77777777" w:rsidR="00B0151F" w:rsidRDefault="00BE22D9">
            <w:pPr>
              <w:spacing w:before="40" w:after="40"/>
            </w:pPr>
            <w:r>
              <w:rPr>
                <w:sz w:val="20"/>
                <w:szCs w:val="20"/>
              </w:rPr>
              <w:t>1,100</w:t>
            </w:r>
          </w:p>
        </w:tc>
        <w:tc>
          <w:tcPr>
            <w:tcW w:w="2226" w:type="dxa"/>
            <w:shd w:val="clear" w:color="auto" w:fill="F6F9FB"/>
            <w:tcMar>
              <w:top w:w="90" w:type="dxa"/>
              <w:left w:w="120" w:type="dxa"/>
              <w:bottom w:w="90" w:type="dxa"/>
              <w:right w:w="120" w:type="dxa"/>
            </w:tcMar>
            <w:vAlign w:val="center"/>
          </w:tcPr>
          <w:p w14:paraId="60D66854" w14:textId="77777777" w:rsidR="00B0151F" w:rsidRDefault="00BE22D9">
            <w:pPr>
              <w:spacing w:before="40" w:after="40"/>
            </w:pPr>
            <w:r>
              <w:rPr>
                <w:sz w:val="20"/>
                <w:szCs w:val="20"/>
              </w:rPr>
              <w:t>4</w:t>
            </w:r>
          </w:p>
        </w:tc>
      </w:tr>
    </w:tbl>
    <w:p w14:paraId="60D66856" w14:textId="77777777" w:rsidR="00B0151F" w:rsidRDefault="00B0151F">
      <w:pPr>
        <w:spacing w:after="160"/>
      </w:pPr>
    </w:p>
    <w:p w14:paraId="60D66857" w14:textId="77777777" w:rsidR="00B0151F" w:rsidRDefault="00BE22D9">
      <w:pPr>
        <w:spacing w:after="160" w:line="276" w:lineRule="auto"/>
      </w:pPr>
      <w:r>
        <w:t>These districts combine strong financial returns with meaningful future demand.</w:t>
      </w:r>
    </w:p>
    <w:p w14:paraId="60D66858" w14:textId="77777777" w:rsidR="00B0151F" w:rsidRDefault="00BE22D9">
      <w:pPr>
        <w:pBdr>
          <w:bottom w:val="single" w:sz="6" w:space="4" w:color="D97706"/>
        </w:pBdr>
        <w:spacing w:before="220" w:after="120"/>
      </w:pPr>
      <w:r>
        <w:rPr>
          <w:b/>
          <w:bCs/>
          <w:color w:val="134E7C"/>
          <w:sz w:val="24"/>
          <w:szCs w:val="24"/>
        </w:rPr>
        <w:t>High-Demand Opportunity Districts</w:t>
      </w:r>
    </w:p>
    <w:p w14:paraId="60D66859" w14:textId="77777777" w:rsidR="00B0151F" w:rsidRDefault="00BE22D9">
      <w:pPr>
        <w:spacing w:after="160" w:line="276" w:lineRule="auto"/>
      </w:pPr>
      <w:r>
        <w:t>Some districts have exceptionally large projected EV populations.</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4513"/>
        <w:gridCol w:w="4513"/>
      </w:tblGrid>
      <w:tr w:rsidR="00B0151F" w14:paraId="60D6685C" w14:textId="77777777">
        <w:trPr>
          <w:tblHeader/>
        </w:trPr>
        <w:tc>
          <w:tcPr>
            <w:tcW w:w="4513" w:type="dxa"/>
            <w:shd w:val="clear" w:color="auto" w:fill="0B3556"/>
            <w:tcMar>
              <w:top w:w="100" w:type="dxa"/>
              <w:left w:w="120" w:type="dxa"/>
              <w:bottom w:w="100" w:type="dxa"/>
              <w:right w:w="120" w:type="dxa"/>
            </w:tcMar>
            <w:vAlign w:val="center"/>
          </w:tcPr>
          <w:p w14:paraId="60D6685A" w14:textId="77777777" w:rsidR="00B0151F" w:rsidRDefault="00BE22D9">
            <w:pPr>
              <w:spacing w:before="40" w:after="40"/>
            </w:pPr>
            <w:r>
              <w:rPr>
                <w:b/>
                <w:bCs/>
                <w:color w:val="FFFFFF"/>
                <w:sz w:val="20"/>
                <w:szCs w:val="20"/>
              </w:rPr>
              <w:t>District</w:t>
            </w:r>
          </w:p>
        </w:tc>
        <w:tc>
          <w:tcPr>
            <w:tcW w:w="4513" w:type="dxa"/>
            <w:shd w:val="clear" w:color="auto" w:fill="0B3556"/>
            <w:tcMar>
              <w:top w:w="100" w:type="dxa"/>
              <w:left w:w="120" w:type="dxa"/>
              <w:bottom w:w="100" w:type="dxa"/>
              <w:right w:w="120" w:type="dxa"/>
            </w:tcMar>
            <w:vAlign w:val="center"/>
          </w:tcPr>
          <w:p w14:paraId="60D6685B" w14:textId="77777777" w:rsidR="00B0151F" w:rsidRDefault="00BE22D9">
            <w:pPr>
              <w:spacing w:before="40" w:after="40"/>
            </w:pPr>
            <w:r>
              <w:rPr>
                <w:b/>
                <w:bCs/>
                <w:color w:val="FFFFFF"/>
                <w:sz w:val="20"/>
                <w:szCs w:val="20"/>
              </w:rPr>
              <w:t>Projected EVs</w:t>
            </w:r>
          </w:p>
        </w:tc>
      </w:tr>
      <w:tr w:rsidR="00B0151F" w14:paraId="60D6685F" w14:textId="77777777">
        <w:tc>
          <w:tcPr>
            <w:tcW w:w="4513" w:type="dxa"/>
            <w:tcMar>
              <w:top w:w="90" w:type="dxa"/>
              <w:left w:w="120" w:type="dxa"/>
              <w:bottom w:w="90" w:type="dxa"/>
              <w:right w:w="120" w:type="dxa"/>
            </w:tcMar>
            <w:vAlign w:val="center"/>
          </w:tcPr>
          <w:p w14:paraId="60D6685D" w14:textId="77777777" w:rsidR="00B0151F" w:rsidRDefault="00BE22D9">
            <w:pPr>
              <w:spacing w:before="40" w:after="40"/>
            </w:pPr>
            <w:r>
              <w:rPr>
                <w:b/>
                <w:bCs/>
                <w:sz w:val="20"/>
                <w:szCs w:val="20"/>
              </w:rPr>
              <w:t>Jayanagar</w:t>
            </w:r>
          </w:p>
        </w:tc>
        <w:tc>
          <w:tcPr>
            <w:tcW w:w="4513" w:type="dxa"/>
            <w:tcMar>
              <w:top w:w="90" w:type="dxa"/>
              <w:left w:w="120" w:type="dxa"/>
              <w:bottom w:w="90" w:type="dxa"/>
              <w:right w:w="120" w:type="dxa"/>
            </w:tcMar>
            <w:vAlign w:val="center"/>
          </w:tcPr>
          <w:p w14:paraId="60D6685E" w14:textId="77777777" w:rsidR="00B0151F" w:rsidRDefault="00BE22D9">
            <w:pPr>
              <w:spacing w:before="40" w:after="40"/>
            </w:pPr>
            <w:r>
              <w:rPr>
                <w:sz w:val="20"/>
                <w:szCs w:val="20"/>
              </w:rPr>
              <w:t>3,600</w:t>
            </w:r>
          </w:p>
        </w:tc>
      </w:tr>
      <w:tr w:rsidR="00B0151F" w14:paraId="60D66862" w14:textId="77777777">
        <w:tc>
          <w:tcPr>
            <w:tcW w:w="4513" w:type="dxa"/>
            <w:shd w:val="clear" w:color="auto" w:fill="F6F9FB"/>
            <w:tcMar>
              <w:top w:w="90" w:type="dxa"/>
              <w:left w:w="120" w:type="dxa"/>
              <w:bottom w:w="90" w:type="dxa"/>
              <w:right w:w="120" w:type="dxa"/>
            </w:tcMar>
            <w:vAlign w:val="center"/>
          </w:tcPr>
          <w:p w14:paraId="60D66860" w14:textId="77777777" w:rsidR="00B0151F" w:rsidRDefault="00BE22D9">
            <w:pPr>
              <w:spacing w:before="40" w:after="40"/>
            </w:pPr>
            <w:r>
              <w:rPr>
                <w:b/>
                <w:bCs/>
                <w:sz w:val="20"/>
                <w:szCs w:val="20"/>
              </w:rPr>
              <w:t>Rajajinagar</w:t>
            </w:r>
          </w:p>
        </w:tc>
        <w:tc>
          <w:tcPr>
            <w:tcW w:w="4513" w:type="dxa"/>
            <w:shd w:val="clear" w:color="auto" w:fill="F6F9FB"/>
            <w:tcMar>
              <w:top w:w="90" w:type="dxa"/>
              <w:left w:w="120" w:type="dxa"/>
              <w:bottom w:w="90" w:type="dxa"/>
              <w:right w:w="120" w:type="dxa"/>
            </w:tcMar>
            <w:vAlign w:val="center"/>
          </w:tcPr>
          <w:p w14:paraId="60D66861" w14:textId="77777777" w:rsidR="00B0151F" w:rsidRDefault="00BE22D9">
            <w:pPr>
              <w:spacing w:before="40" w:after="40"/>
            </w:pPr>
            <w:r>
              <w:rPr>
                <w:sz w:val="20"/>
                <w:szCs w:val="20"/>
              </w:rPr>
              <w:t>3,400</w:t>
            </w:r>
          </w:p>
        </w:tc>
      </w:tr>
      <w:tr w:rsidR="00B0151F" w14:paraId="60D66865" w14:textId="77777777">
        <w:tc>
          <w:tcPr>
            <w:tcW w:w="4513" w:type="dxa"/>
            <w:tcMar>
              <w:top w:w="90" w:type="dxa"/>
              <w:left w:w="120" w:type="dxa"/>
              <w:bottom w:w="90" w:type="dxa"/>
              <w:right w:w="120" w:type="dxa"/>
            </w:tcMar>
            <w:vAlign w:val="center"/>
          </w:tcPr>
          <w:p w14:paraId="60D66863" w14:textId="77777777" w:rsidR="00B0151F" w:rsidRDefault="00BE22D9">
            <w:pPr>
              <w:spacing w:before="40" w:after="40"/>
            </w:pPr>
            <w:r>
              <w:rPr>
                <w:b/>
                <w:bCs/>
                <w:sz w:val="20"/>
                <w:szCs w:val="20"/>
              </w:rPr>
              <w:t>Indiranagar</w:t>
            </w:r>
          </w:p>
        </w:tc>
        <w:tc>
          <w:tcPr>
            <w:tcW w:w="4513" w:type="dxa"/>
            <w:tcMar>
              <w:top w:w="90" w:type="dxa"/>
              <w:left w:w="120" w:type="dxa"/>
              <w:bottom w:w="90" w:type="dxa"/>
              <w:right w:w="120" w:type="dxa"/>
            </w:tcMar>
            <w:vAlign w:val="center"/>
          </w:tcPr>
          <w:p w14:paraId="60D66864" w14:textId="77777777" w:rsidR="00B0151F" w:rsidRDefault="00BE22D9">
            <w:pPr>
              <w:spacing w:before="40" w:after="40"/>
            </w:pPr>
            <w:r>
              <w:rPr>
                <w:sz w:val="20"/>
                <w:szCs w:val="20"/>
              </w:rPr>
              <w:t>3,200</w:t>
            </w:r>
          </w:p>
        </w:tc>
      </w:tr>
      <w:tr w:rsidR="00B0151F" w14:paraId="60D66868" w14:textId="77777777">
        <w:tc>
          <w:tcPr>
            <w:tcW w:w="4513" w:type="dxa"/>
            <w:shd w:val="clear" w:color="auto" w:fill="F6F9FB"/>
            <w:tcMar>
              <w:top w:w="90" w:type="dxa"/>
              <w:left w:w="120" w:type="dxa"/>
              <w:bottom w:w="90" w:type="dxa"/>
              <w:right w:w="120" w:type="dxa"/>
            </w:tcMar>
            <w:vAlign w:val="center"/>
          </w:tcPr>
          <w:p w14:paraId="60D66866" w14:textId="77777777" w:rsidR="00B0151F" w:rsidRDefault="00BE22D9">
            <w:pPr>
              <w:spacing w:before="40" w:after="40"/>
            </w:pPr>
            <w:r>
              <w:rPr>
                <w:b/>
                <w:bCs/>
                <w:sz w:val="20"/>
                <w:szCs w:val="20"/>
              </w:rPr>
              <w:t>HSR Layout</w:t>
            </w:r>
          </w:p>
        </w:tc>
        <w:tc>
          <w:tcPr>
            <w:tcW w:w="4513" w:type="dxa"/>
            <w:shd w:val="clear" w:color="auto" w:fill="F6F9FB"/>
            <w:tcMar>
              <w:top w:w="90" w:type="dxa"/>
              <w:left w:w="120" w:type="dxa"/>
              <w:bottom w:w="90" w:type="dxa"/>
              <w:right w:w="120" w:type="dxa"/>
            </w:tcMar>
            <w:vAlign w:val="center"/>
          </w:tcPr>
          <w:p w14:paraId="60D66867" w14:textId="77777777" w:rsidR="00B0151F" w:rsidRDefault="00BE22D9">
            <w:pPr>
              <w:spacing w:before="40" w:after="40"/>
            </w:pPr>
            <w:r>
              <w:rPr>
                <w:sz w:val="20"/>
                <w:szCs w:val="20"/>
              </w:rPr>
              <w:t>3,100</w:t>
            </w:r>
          </w:p>
        </w:tc>
      </w:tr>
    </w:tbl>
    <w:p w14:paraId="60D66869" w14:textId="77777777" w:rsidR="00B0151F" w:rsidRDefault="00B0151F">
      <w:pPr>
        <w:spacing w:after="160"/>
      </w:pPr>
    </w:p>
    <w:p w14:paraId="60D6686A" w14:textId="77777777" w:rsidR="00B0151F" w:rsidRDefault="00BE22D9">
      <w:pPr>
        <w:spacing w:after="160" w:line="276" w:lineRule="auto"/>
      </w:pPr>
      <w:r>
        <w:t>These districts represent attractive long-term expansion opportunities.</w:t>
      </w:r>
    </w:p>
    <w:p w14:paraId="60D6686B" w14:textId="77777777" w:rsidR="00B0151F" w:rsidRDefault="00BE22D9">
      <w:pPr>
        <w:pBdr>
          <w:bottom w:val="single" w:sz="6" w:space="4" w:color="D97706"/>
        </w:pBdr>
        <w:spacing w:before="220" w:after="120"/>
      </w:pPr>
      <w:r>
        <w:rPr>
          <w:b/>
          <w:bCs/>
          <w:color w:val="134E7C"/>
          <w:sz w:val="24"/>
          <w:szCs w:val="24"/>
        </w:rPr>
        <w:t>Lower-Priority Districts</w:t>
      </w:r>
    </w:p>
    <w:p w14:paraId="60D6686C" w14:textId="77777777" w:rsidR="00B0151F" w:rsidRDefault="00BE22D9">
      <w:pPr>
        <w:spacing w:after="160" w:line="276" w:lineRule="auto"/>
      </w:pPr>
      <w:r>
        <w:t>Negative ROI indicates weaker financial performance.</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4513"/>
        <w:gridCol w:w="4513"/>
      </w:tblGrid>
      <w:tr w:rsidR="00B0151F" w14:paraId="60D6686F" w14:textId="77777777">
        <w:trPr>
          <w:tblHeader/>
        </w:trPr>
        <w:tc>
          <w:tcPr>
            <w:tcW w:w="4513" w:type="dxa"/>
            <w:shd w:val="clear" w:color="auto" w:fill="0B3556"/>
            <w:tcMar>
              <w:top w:w="100" w:type="dxa"/>
              <w:left w:w="120" w:type="dxa"/>
              <w:bottom w:w="100" w:type="dxa"/>
              <w:right w:w="120" w:type="dxa"/>
            </w:tcMar>
            <w:vAlign w:val="center"/>
          </w:tcPr>
          <w:p w14:paraId="60D6686D" w14:textId="77777777" w:rsidR="00B0151F" w:rsidRDefault="00BE22D9">
            <w:pPr>
              <w:spacing w:before="40" w:after="40"/>
            </w:pPr>
            <w:r>
              <w:rPr>
                <w:b/>
                <w:bCs/>
                <w:color w:val="FFFFFF"/>
                <w:sz w:val="20"/>
                <w:szCs w:val="20"/>
              </w:rPr>
              <w:t>District</w:t>
            </w:r>
          </w:p>
        </w:tc>
        <w:tc>
          <w:tcPr>
            <w:tcW w:w="4513" w:type="dxa"/>
            <w:shd w:val="clear" w:color="auto" w:fill="0B3556"/>
            <w:tcMar>
              <w:top w:w="100" w:type="dxa"/>
              <w:left w:w="120" w:type="dxa"/>
              <w:bottom w:w="100" w:type="dxa"/>
              <w:right w:w="120" w:type="dxa"/>
            </w:tcMar>
            <w:vAlign w:val="center"/>
          </w:tcPr>
          <w:p w14:paraId="60D6686E" w14:textId="77777777" w:rsidR="00B0151F" w:rsidRDefault="00BE22D9">
            <w:pPr>
              <w:spacing w:before="40" w:after="40"/>
            </w:pPr>
            <w:r>
              <w:rPr>
                <w:b/>
                <w:bCs/>
                <w:color w:val="FFFFFF"/>
                <w:sz w:val="20"/>
                <w:szCs w:val="20"/>
              </w:rPr>
              <w:t>Avg ROI</w:t>
            </w:r>
          </w:p>
        </w:tc>
      </w:tr>
      <w:tr w:rsidR="00B0151F" w14:paraId="60D66872" w14:textId="77777777">
        <w:tc>
          <w:tcPr>
            <w:tcW w:w="4513" w:type="dxa"/>
            <w:tcMar>
              <w:top w:w="90" w:type="dxa"/>
              <w:left w:w="120" w:type="dxa"/>
              <w:bottom w:w="90" w:type="dxa"/>
              <w:right w:w="120" w:type="dxa"/>
            </w:tcMar>
            <w:vAlign w:val="center"/>
          </w:tcPr>
          <w:p w14:paraId="60D66870" w14:textId="77777777" w:rsidR="00B0151F" w:rsidRDefault="00BE22D9">
            <w:pPr>
              <w:spacing w:before="40" w:after="40"/>
            </w:pPr>
            <w:r>
              <w:rPr>
                <w:b/>
                <w:bCs/>
                <w:sz w:val="20"/>
                <w:szCs w:val="20"/>
              </w:rPr>
              <w:t>Dasarahalli</w:t>
            </w:r>
          </w:p>
        </w:tc>
        <w:tc>
          <w:tcPr>
            <w:tcW w:w="4513" w:type="dxa"/>
            <w:tcMar>
              <w:top w:w="90" w:type="dxa"/>
              <w:left w:w="120" w:type="dxa"/>
              <w:bottom w:w="90" w:type="dxa"/>
              <w:right w:w="120" w:type="dxa"/>
            </w:tcMar>
            <w:vAlign w:val="center"/>
          </w:tcPr>
          <w:p w14:paraId="60D66871" w14:textId="77777777" w:rsidR="00B0151F" w:rsidRDefault="00BE22D9">
            <w:pPr>
              <w:spacing w:before="40" w:after="40"/>
            </w:pPr>
            <w:r>
              <w:rPr>
                <w:color w:val="B3261E"/>
                <w:sz w:val="20"/>
                <w:szCs w:val="20"/>
              </w:rPr>
              <w:t>-21.8%</w:t>
            </w:r>
          </w:p>
        </w:tc>
      </w:tr>
      <w:tr w:rsidR="00B0151F" w14:paraId="60D66875" w14:textId="77777777">
        <w:tc>
          <w:tcPr>
            <w:tcW w:w="4513" w:type="dxa"/>
            <w:shd w:val="clear" w:color="auto" w:fill="F6F9FB"/>
            <w:tcMar>
              <w:top w:w="90" w:type="dxa"/>
              <w:left w:w="120" w:type="dxa"/>
              <w:bottom w:w="90" w:type="dxa"/>
              <w:right w:w="120" w:type="dxa"/>
            </w:tcMar>
            <w:vAlign w:val="center"/>
          </w:tcPr>
          <w:p w14:paraId="60D66873" w14:textId="77777777" w:rsidR="00B0151F" w:rsidRDefault="00BE22D9">
            <w:pPr>
              <w:spacing w:before="40" w:after="40"/>
            </w:pPr>
            <w:r>
              <w:rPr>
                <w:b/>
                <w:bCs/>
                <w:sz w:val="20"/>
                <w:szCs w:val="20"/>
              </w:rPr>
              <w:t>Kengeri</w:t>
            </w:r>
          </w:p>
        </w:tc>
        <w:tc>
          <w:tcPr>
            <w:tcW w:w="4513" w:type="dxa"/>
            <w:shd w:val="clear" w:color="auto" w:fill="F6F9FB"/>
            <w:tcMar>
              <w:top w:w="90" w:type="dxa"/>
              <w:left w:w="120" w:type="dxa"/>
              <w:bottom w:w="90" w:type="dxa"/>
              <w:right w:w="120" w:type="dxa"/>
            </w:tcMar>
            <w:vAlign w:val="center"/>
          </w:tcPr>
          <w:p w14:paraId="60D66874" w14:textId="77777777" w:rsidR="00B0151F" w:rsidRDefault="00BE22D9">
            <w:pPr>
              <w:spacing w:before="40" w:after="40"/>
            </w:pPr>
            <w:r>
              <w:rPr>
                <w:color w:val="B3261E"/>
                <w:sz w:val="20"/>
                <w:szCs w:val="20"/>
              </w:rPr>
              <w:t>-12.8%</w:t>
            </w:r>
          </w:p>
        </w:tc>
      </w:tr>
      <w:tr w:rsidR="00B0151F" w14:paraId="60D66878" w14:textId="77777777">
        <w:tc>
          <w:tcPr>
            <w:tcW w:w="4513" w:type="dxa"/>
            <w:tcMar>
              <w:top w:w="90" w:type="dxa"/>
              <w:left w:w="120" w:type="dxa"/>
              <w:bottom w:w="90" w:type="dxa"/>
              <w:right w:w="120" w:type="dxa"/>
            </w:tcMar>
            <w:vAlign w:val="center"/>
          </w:tcPr>
          <w:p w14:paraId="60D66876" w14:textId="77777777" w:rsidR="00B0151F" w:rsidRDefault="00BE22D9">
            <w:pPr>
              <w:spacing w:before="40" w:after="40"/>
            </w:pPr>
            <w:r>
              <w:rPr>
                <w:b/>
                <w:bCs/>
                <w:sz w:val="20"/>
                <w:szCs w:val="20"/>
              </w:rPr>
              <w:t>Anekal</w:t>
            </w:r>
          </w:p>
        </w:tc>
        <w:tc>
          <w:tcPr>
            <w:tcW w:w="4513" w:type="dxa"/>
            <w:tcMar>
              <w:top w:w="90" w:type="dxa"/>
              <w:left w:w="120" w:type="dxa"/>
              <w:bottom w:w="90" w:type="dxa"/>
              <w:right w:w="120" w:type="dxa"/>
            </w:tcMar>
            <w:vAlign w:val="center"/>
          </w:tcPr>
          <w:p w14:paraId="60D66877" w14:textId="77777777" w:rsidR="00B0151F" w:rsidRDefault="00BE22D9">
            <w:pPr>
              <w:spacing w:before="40" w:after="40"/>
            </w:pPr>
            <w:r>
              <w:rPr>
                <w:color w:val="B3261E"/>
                <w:sz w:val="20"/>
                <w:szCs w:val="20"/>
              </w:rPr>
              <w:t>-7.3%</w:t>
            </w:r>
          </w:p>
        </w:tc>
      </w:tr>
      <w:tr w:rsidR="00B0151F" w14:paraId="60D6687B" w14:textId="77777777">
        <w:tc>
          <w:tcPr>
            <w:tcW w:w="4513" w:type="dxa"/>
            <w:shd w:val="clear" w:color="auto" w:fill="F6F9FB"/>
            <w:tcMar>
              <w:top w:w="90" w:type="dxa"/>
              <w:left w:w="120" w:type="dxa"/>
              <w:bottom w:w="90" w:type="dxa"/>
              <w:right w:w="120" w:type="dxa"/>
            </w:tcMar>
            <w:vAlign w:val="center"/>
          </w:tcPr>
          <w:p w14:paraId="60D66879" w14:textId="77777777" w:rsidR="00B0151F" w:rsidRDefault="00BE22D9">
            <w:pPr>
              <w:spacing w:before="40" w:after="40"/>
            </w:pPr>
            <w:r>
              <w:rPr>
                <w:b/>
                <w:bCs/>
                <w:sz w:val="20"/>
                <w:szCs w:val="20"/>
              </w:rPr>
              <w:t>Koramangala</w:t>
            </w:r>
          </w:p>
        </w:tc>
        <w:tc>
          <w:tcPr>
            <w:tcW w:w="4513" w:type="dxa"/>
            <w:shd w:val="clear" w:color="auto" w:fill="F6F9FB"/>
            <w:tcMar>
              <w:top w:w="90" w:type="dxa"/>
              <w:left w:w="120" w:type="dxa"/>
              <w:bottom w:w="90" w:type="dxa"/>
              <w:right w:w="120" w:type="dxa"/>
            </w:tcMar>
            <w:vAlign w:val="center"/>
          </w:tcPr>
          <w:p w14:paraId="60D6687A" w14:textId="77777777" w:rsidR="00B0151F" w:rsidRDefault="00BE22D9">
            <w:pPr>
              <w:spacing w:before="40" w:after="40"/>
            </w:pPr>
            <w:r>
              <w:rPr>
                <w:color w:val="B3261E"/>
                <w:sz w:val="20"/>
                <w:szCs w:val="20"/>
              </w:rPr>
              <w:t>-4.0%</w:t>
            </w:r>
          </w:p>
        </w:tc>
      </w:tr>
    </w:tbl>
    <w:p w14:paraId="60D6687C" w14:textId="77777777" w:rsidR="00B0151F" w:rsidRDefault="00B0151F">
      <w:pPr>
        <w:spacing w:after="160"/>
      </w:pPr>
    </w:p>
    <w:p w14:paraId="60D6687D" w14:textId="77777777" w:rsidR="00B0151F" w:rsidRDefault="00BE22D9">
      <w:pPr>
        <w:spacing w:after="160" w:line="276" w:lineRule="auto"/>
      </w:pPr>
      <w:r>
        <w:t>According to the data dictionary, negative ROI projects belong in the Low Priority investment category.</w:t>
      </w:r>
    </w:p>
    <w:p w14:paraId="60D6687E" w14:textId="77777777" w:rsidR="00B0151F" w:rsidRDefault="00BE22D9">
      <w:pPr>
        <w:pStyle w:val="Heading1"/>
        <w:shd w:val="clear" w:color="auto" w:fill="0B3556"/>
        <w:spacing w:before="400" w:after="240"/>
      </w:pPr>
      <w:r>
        <w:rPr>
          <w:b/>
          <w:bCs/>
          <w:color w:val="F2A65A"/>
          <w:sz w:val="30"/>
          <w:szCs w:val="30"/>
        </w:rPr>
        <w:t xml:space="preserve">  7   </w:t>
      </w:r>
      <w:r>
        <w:rPr>
          <w:b/>
          <w:bCs/>
          <w:color w:val="FFFFFF"/>
          <w:sz w:val="30"/>
          <w:szCs w:val="30"/>
        </w:rPr>
        <w:t>Key Findings</w:t>
      </w:r>
      <w:r>
        <w:rPr>
          <w:sz w:val="30"/>
          <w:szCs w:val="30"/>
        </w:rPr>
        <w:t xml:space="preserve">   </w:t>
      </w:r>
    </w:p>
    <w:p w14:paraId="60D6687F" w14:textId="77777777" w:rsidR="00B0151F" w:rsidRDefault="00BE22D9">
      <w:pPr>
        <w:pStyle w:val="ListParagraph"/>
        <w:numPr>
          <w:ilvl w:val="0"/>
          <w:numId w:val="2"/>
        </w:numPr>
        <w:spacing w:after="80"/>
      </w:pPr>
      <w:r>
        <w:t>The project integrates operational, customer, infrastructure, and financial data into one analytical model.</w:t>
      </w:r>
    </w:p>
    <w:p w14:paraId="60D66880" w14:textId="77777777" w:rsidR="00B0151F" w:rsidRDefault="00BE22D9">
      <w:pPr>
        <w:pStyle w:val="ListParagraph"/>
        <w:numPr>
          <w:ilvl w:val="0"/>
          <w:numId w:val="2"/>
        </w:numPr>
        <w:spacing w:after="80"/>
      </w:pPr>
      <w:r>
        <w:t>EV demand varies significantly across Bengaluru districts.</w:t>
      </w:r>
    </w:p>
    <w:p w14:paraId="60D66881" w14:textId="77777777" w:rsidR="00B0151F" w:rsidRDefault="00BE22D9">
      <w:pPr>
        <w:pStyle w:val="ListParagraph"/>
        <w:numPr>
          <w:ilvl w:val="0"/>
          <w:numId w:val="2"/>
        </w:numPr>
        <w:spacing w:after="80"/>
      </w:pPr>
      <w:r>
        <w:t>Revenue generation is closely linked to charging tariffs and energy consumption.</w:t>
      </w:r>
    </w:p>
    <w:p w14:paraId="60D66882" w14:textId="77777777" w:rsidR="00B0151F" w:rsidRDefault="00BE22D9">
      <w:pPr>
        <w:pStyle w:val="ListParagraph"/>
        <w:numPr>
          <w:ilvl w:val="0"/>
          <w:numId w:val="2"/>
        </w:numPr>
        <w:spacing w:after="80"/>
      </w:pPr>
      <w:r>
        <w:t>Station utilization analysis highlights opportunities for infrastructure optimization.</w:t>
      </w:r>
    </w:p>
    <w:p w14:paraId="60D66883" w14:textId="77777777" w:rsidR="00B0151F" w:rsidRDefault="00BE22D9">
      <w:pPr>
        <w:pStyle w:val="ListParagraph"/>
        <w:numPr>
          <w:ilvl w:val="0"/>
          <w:numId w:val="2"/>
        </w:numPr>
        <w:spacing w:after="80"/>
      </w:pPr>
      <w:r>
        <w:t>Customer segmentation reveals differences across income tiers and vehicle models.</w:t>
      </w:r>
    </w:p>
    <w:p w14:paraId="60D66884" w14:textId="77777777" w:rsidR="00B0151F" w:rsidRDefault="00BE22D9">
      <w:pPr>
        <w:pStyle w:val="ListParagraph"/>
        <w:numPr>
          <w:ilvl w:val="0"/>
          <w:numId w:val="2"/>
        </w:numPr>
        <w:spacing w:after="80"/>
      </w:pPr>
      <w:r>
        <w:lastRenderedPageBreak/>
        <w:t>ROI-based ranking provides a practical framework for prioritizing future charging station investments.</w:t>
      </w:r>
    </w:p>
    <w:p w14:paraId="60D66885" w14:textId="77777777" w:rsidR="00B0151F" w:rsidRDefault="00BE22D9">
      <w:pPr>
        <w:pStyle w:val="Heading1"/>
        <w:shd w:val="clear" w:color="auto" w:fill="0B3556"/>
        <w:spacing w:before="400" w:after="240"/>
      </w:pPr>
      <w:r>
        <w:rPr>
          <w:b/>
          <w:bCs/>
          <w:color w:val="F2A65A"/>
          <w:sz w:val="30"/>
          <w:szCs w:val="30"/>
        </w:rPr>
        <w:t xml:space="preserve">  8   </w:t>
      </w:r>
      <w:r>
        <w:rPr>
          <w:b/>
          <w:bCs/>
          <w:color w:val="FFFFFF"/>
          <w:sz w:val="30"/>
          <w:szCs w:val="30"/>
        </w:rPr>
        <w:t>Business Recommendations</w:t>
      </w:r>
      <w:r>
        <w:rPr>
          <w:sz w:val="30"/>
          <w:szCs w:val="30"/>
        </w:rPr>
        <w:t xml:space="preserve">   </w:t>
      </w:r>
    </w:p>
    <w:p w14:paraId="60D66886" w14:textId="77777777" w:rsidR="00B0151F" w:rsidRDefault="00BE22D9">
      <w:pPr>
        <w:pStyle w:val="ListParagraph"/>
        <w:numPr>
          <w:ilvl w:val="0"/>
          <w:numId w:val="2"/>
        </w:numPr>
        <w:spacing w:after="80"/>
      </w:pPr>
      <w:r>
        <w:t>Prioritize expansion in districts with high projected EV demand and strong positive ROI, such as Bommanahalli, Marathahalli, and Banashankari.</w:t>
      </w:r>
    </w:p>
    <w:p w14:paraId="60D66887" w14:textId="77777777" w:rsidR="00B0151F" w:rsidRDefault="00BE22D9">
      <w:pPr>
        <w:pStyle w:val="ListParagraph"/>
        <w:numPr>
          <w:ilvl w:val="0"/>
          <w:numId w:val="2"/>
        </w:numPr>
        <w:spacing w:after="80"/>
      </w:pPr>
      <w:r>
        <w:t>Increase charging infrastructure in high-demand districts where station density is relatively limited.</w:t>
      </w:r>
    </w:p>
    <w:p w14:paraId="60D66888" w14:textId="77777777" w:rsidR="00B0151F" w:rsidRDefault="00BE22D9">
      <w:pPr>
        <w:pStyle w:val="ListParagraph"/>
        <w:numPr>
          <w:ilvl w:val="0"/>
          <w:numId w:val="2"/>
        </w:numPr>
        <w:spacing w:after="80"/>
      </w:pPr>
      <w:r>
        <w:t>Monitor districts with negative ROI before committing large capital investments.</w:t>
      </w:r>
    </w:p>
    <w:p w14:paraId="60D66889" w14:textId="77777777" w:rsidR="00B0151F" w:rsidRDefault="00BE22D9">
      <w:pPr>
        <w:pStyle w:val="ListParagraph"/>
        <w:numPr>
          <w:ilvl w:val="0"/>
          <w:numId w:val="2"/>
        </w:numPr>
        <w:spacing w:after="80"/>
      </w:pPr>
      <w:r>
        <w:t>Continue tracking customer behavior across income segments and vehicle models to improve utilization and revenue generation.</w:t>
      </w:r>
    </w:p>
    <w:p w14:paraId="60D6688A" w14:textId="77777777" w:rsidR="00B0151F" w:rsidRDefault="00BE22D9">
      <w:pPr>
        <w:pStyle w:val="ListParagraph"/>
        <w:numPr>
          <w:ilvl w:val="0"/>
          <w:numId w:val="2"/>
        </w:numPr>
        <w:spacing w:after="80"/>
      </w:pPr>
      <w:r>
        <w:t>Use district-level ROI and demand metrics together for future expansion decisions rather than relying on a single financial indicator.</w:t>
      </w:r>
    </w:p>
    <w:p w14:paraId="60D6688B" w14:textId="77777777" w:rsidR="00B0151F" w:rsidRDefault="00BE22D9">
      <w:pPr>
        <w:pStyle w:val="Heading1"/>
        <w:shd w:val="clear" w:color="auto" w:fill="0B3556"/>
        <w:spacing w:before="400" w:after="240"/>
      </w:pPr>
      <w:r>
        <w:rPr>
          <w:b/>
          <w:bCs/>
          <w:color w:val="F2A65A"/>
          <w:sz w:val="30"/>
          <w:szCs w:val="30"/>
        </w:rPr>
        <w:t xml:space="preserve">  9   </w:t>
      </w:r>
      <w:r>
        <w:rPr>
          <w:b/>
          <w:bCs/>
          <w:color w:val="FFFFFF"/>
          <w:sz w:val="30"/>
          <w:szCs w:val="30"/>
        </w:rPr>
        <w:t>Dashboard Deliverables</w:t>
      </w:r>
      <w:r>
        <w:rPr>
          <w:sz w:val="30"/>
          <w:szCs w:val="30"/>
        </w:rPr>
        <w:t xml:space="preserve">   </w:t>
      </w:r>
    </w:p>
    <w:tbl>
      <w:tblPr>
        <w:tblW w:w="9026" w:type="dxa"/>
        <w:tblBorders>
          <w:top w:val="single" w:sz="4" w:space="0" w:color="C9D3DA"/>
          <w:left w:val="single" w:sz="4" w:space="0" w:color="C9D3DA"/>
          <w:bottom w:val="single" w:sz="4" w:space="0" w:color="C9D3DA"/>
          <w:right w:val="single" w:sz="4" w:space="0" w:color="C9D3DA"/>
          <w:insideH w:val="single" w:sz="3" w:space="0" w:color="C9D3DA"/>
          <w:insideV w:val="single" w:sz="3" w:space="0" w:color="C9D3DA"/>
        </w:tblBorders>
        <w:tblLayout w:type="fixed"/>
        <w:tblCellMar>
          <w:left w:w="10" w:type="dxa"/>
          <w:right w:w="10" w:type="dxa"/>
        </w:tblCellMar>
        <w:tblLook w:val="0000" w:firstRow="0" w:lastRow="0" w:firstColumn="0" w:lastColumn="0" w:noHBand="0" w:noVBand="0"/>
      </w:tblPr>
      <w:tblGrid>
        <w:gridCol w:w="4513"/>
        <w:gridCol w:w="4513"/>
      </w:tblGrid>
      <w:tr w:rsidR="00B0151F" w14:paraId="60D6688E" w14:textId="77777777">
        <w:trPr>
          <w:tblHeader/>
        </w:trPr>
        <w:tc>
          <w:tcPr>
            <w:tcW w:w="4513" w:type="dxa"/>
            <w:shd w:val="clear" w:color="auto" w:fill="0B3556"/>
            <w:tcMar>
              <w:top w:w="100" w:type="dxa"/>
              <w:left w:w="120" w:type="dxa"/>
              <w:bottom w:w="100" w:type="dxa"/>
              <w:right w:w="120" w:type="dxa"/>
            </w:tcMar>
            <w:vAlign w:val="center"/>
          </w:tcPr>
          <w:p w14:paraId="60D6688C" w14:textId="77777777" w:rsidR="00B0151F" w:rsidRDefault="00BE22D9">
            <w:pPr>
              <w:spacing w:before="40" w:after="40"/>
            </w:pPr>
            <w:r>
              <w:rPr>
                <w:b/>
                <w:bCs/>
                <w:color w:val="FFFFFF"/>
                <w:sz w:val="20"/>
                <w:szCs w:val="20"/>
              </w:rPr>
              <w:t>Dashboard</w:t>
            </w:r>
          </w:p>
        </w:tc>
        <w:tc>
          <w:tcPr>
            <w:tcW w:w="4513" w:type="dxa"/>
            <w:shd w:val="clear" w:color="auto" w:fill="0B3556"/>
            <w:tcMar>
              <w:top w:w="100" w:type="dxa"/>
              <w:left w:w="120" w:type="dxa"/>
              <w:bottom w:w="100" w:type="dxa"/>
              <w:right w:w="120" w:type="dxa"/>
            </w:tcMar>
            <w:vAlign w:val="center"/>
          </w:tcPr>
          <w:p w14:paraId="60D6688D" w14:textId="77777777" w:rsidR="00B0151F" w:rsidRDefault="00BE22D9">
            <w:pPr>
              <w:spacing w:before="40" w:after="40"/>
            </w:pPr>
            <w:r>
              <w:rPr>
                <w:b/>
                <w:bCs/>
                <w:color w:val="FFFFFF"/>
                <w:sz w:val="20"/>
                <w:szCs w:val="20"/>
              </w:rPr>
              <w:t>Purpose</w:t>
            </w:r>
          </w:p>
        </w:tc>
      </w:tr>
      <w:tr w:rsidR="00B0151F" w14:paraId="60D66891" w14:textId="77777777">
        <w:tc>
          <w:tcPr>
            <w:tcW w:w="4513" w:type="dxa"/>
            <w:tcMar>
              <w:top w:w="90" w:type="dxa"/>
              <w:left w:w="120" w:type="dxa"/>
              <w:bottom w:w="90" w:type="dxa"/>
              <w:right w:w="120" w:type="dxa"/>
            </w:tcMar>
            <w:vAlign w:val="center"/>
          </w:tcPr>
          <w:p w14:paraId="60D6688F" w14:textId="77777777" w:rsidR="00B0151F" w:rsidRDefault="00BE22D9">
            <w:pPr>
              <w:spacing w:before="40" w:after="40"/>
            </w:pPr>
            <w:r>
              <w:rPr>
                <w:b/>
                <w:bCs/>
                <w:sz w:val="20"/>
                <w:szCs w:val="20"/>
              </w:rPr>
              <w:t>Business &amp; Usage Overview</w:t>
            </w:r>
          </w:p>
        </w:tc>
        <w:tc>
          <w:tcPr>
            <w:tcW w:w="4513" w:type="dxa"/>
            <w:tcMar>
              <w:top w:w="90" w:type="dxa"/>
              <w:left w:w="120" w:type="dxa"/>
              <w:bottom w:w="90" w:type="dxa"/>
              <w:right w:w="120" w:type="dxa"/>
            </w:tcMar>
            <w:vAlign w:val="center"/>
          </w:tcPr>
          <w:p w14:paraId="60D66890" w14:textId="77777777" w:rsidR="00B0151F" w:rsidRDefault="00BE22D9">
            <w:pPr>
              <w:spacing w:before="40" w:after="40"/>
            </w:pPr>
            <w:r>
              <w:rPr>
                <w:sz w:val="20"/>
                <w:szCs w:val="20"/>
              </w:rPr>
              <w:t>Charging demand and revenue trends</w:t>
            </w:r>
          </w:p>
        </w:tc>
      </w:tr>
      <w:tr w:rsidR="00B0151F" w14:paraId="60D66894" w14:textId="77777777">
        <w:tc>
          <w:tcPr>
            <w:tcW w:w="4513" w:type="dxa"/>
            <w:shd w:val="clear" w:color="auto" w:fill="F6F9FB"/>
            <w:tcMar>
              <w:top w:w="90" w:type="dxa"/>
              <w:left w:w="120" w:type="dxa"/>
              <w:bottom w:w="90" w:type="dxa"/>
              <w:right w:w="120" w:type="dxa"/>
            </w:tcMar>
            <w:vAlign w:val="center"/>
          </w:tcPr>
          <w:p w14:paraId="60D66892" w14:textId="77777777" w:rsidR="00B0151F" w:rsidRDefault="00BE22D9">
            <w:pPr>
              <w:spacing w:before="40" w:after="40"/>
            </w:pPr>
            <w:r>
              <w:rPr>
                <w:b/>
                <w:bCs/>
                <w:sz w:val="20"/>
                <w:szCs w:val="20"/>
              </w:rPr>
              <w:t>Station Utilization</w:t>
            </w:r>
          </w:p>
        </w:tc>
        <w:tc>
          <w:tcPr>
            <w:tcW w:w="4513" w:type="dxa"/>
            <w:shd w:val="clear" w:color="auto" w:fill="F6F9FB"/>
            <w:tcMar>
              <w:top w:w="90" w:type="dxa"/>
              <w:left w:w="120" w:type="dxa"/>
              <w:bottom w:w="90" w:type="dxa"/>
              <w:right w:w="120" w:type="dxa"/>
            </w:tcMar>
            <w:vAlign w:val="center"/>
          </w:tcPr>
          <w:p w14:paraId="60D66893" w14:textId="77777777" w:rsidR="00B0151F" w:rsidRDefault="00BE22D9">
            <w:pPr>
              <w:spacing w:before="40" w:after="40"/>
            </w:pPr>
            <w:r>
              <w:rPr>
                <w:sz w:val="20"/>
                <w:szCs w:val="20"/>
              </w:rPr>
              <w:t>Operational efficiency</w:t>
            </w:r>
          </w:p>
        </w:tc>
      </w:tr>
      <w:tr w:rsidR="00B0151F" w14:paraId="60D66897" w14:textId="77777777">
        <w:tc>
          <w:tcPr>
            <w:tcW w:w="4513" w:type="dxa"/>
            <w:tcMar>
              <w:top w:w="90" w:type="dxa"/>
              <w:left w:w="120" w:type="dxa"/>
              <w:bottom w:w="90" w:type="dxa"/>
              <w:right w:w="120" w:type="dxa"/>
            </w:tcMar>
            <w:vAlign w:val="center"/>
          </w:tcPr>
          <w:p w14:paraId="60D66895" w14:textId="77777777" w:rsidR="00B0151F" w:rsidRDefault="00BE22D9">
            <w:pPr>
              <w:spacing w:before="40" w:after="40"/>
            </w:pPr>
            <w:r>
              <w:rPr>
                <w:b/>
                <w:bCs/>
                <w:sz w:val="20"/>
                <w:szCs w:val="20"/>
              </w:rPr>
              <w:t>Customer &amp; Demand Behavior</w:t>
            </w:r>
          </w:p>
        </w:tc>
        <w:tc>
          <w:tcPr>
            <w:tcW w:w="4513" w:type="dxa"/>
            <w:tcMar>
              <w:top w:w="90" w:type="dxa"/>
              <w:left w:w="120" w:type="dxa"/>
              <w:bottom w:w="90" w:type="dxa"/>
              <w:right w:w="120" w:type="dxa"/>
            </w:tcMar>
            <w:vAlign w:val="center"/>
          </w:tcPr>
          <w:p w14:paraId="60D66896" w14:textId="77777777" w:rsidR="00B0151F" w:rsidRDefault="00BE22D9">
            <w:pPr>
              <w:spacing w:before="40" w:after="40"/>
            </w:pPr>
            <w:r>
              <w:rPr>
                <w:sz w:val="20"/>
                <w:szCs w:val="20"/>
              </w:rPr>
              <w:t>Customer segmentation</w:t>
            </w:r>
          </w:p>
        </w:tc>
      </w:tr>
      <w:tr w:rsidR="00B0151F" w14:paraId="60D6689A" w14:textId="77777777">
        <w:tc>
          <w:tcPr>
            <w:tcW w:w="4513" w:type="dxa"/>
            <w:shd w:val="clear" w:color="auto" w:fill="F6F9FB"/>
            <w:tcMar>
              <w:top w:w="90" w:type="dxa"/>
              <w:left w:w="120" w:type="dxa"/>
              <w:bottom w:w="90" w:type="dxa"/>
              <w:right w:w="120" w:type="dxa"/>
            </w:tcMar>
            <w:vAlign w:val="center"/>
          </w:tcPr>
          <w:p w14:paraId="60D66898" w14:textId="77777777" w:rsidR="00B0151F" w:rsidRDefault="00BE22D9">
            <w:pPr>
              <w:spacing w:before="40" w:after="40"/>
            </w:pPr>
            <w:r>
              <w:rPr>
                <w:b/>
                <w:bCs/>
                <w:sz w:val="20"/>
                <w:szCs w:val="20"/>
              </w:rPr>
              <w:t>Financial Performance &amp; Expansion Strategy</w:t>
            </w:r>
          </w:p>
        </w:tc>
        <w:tc>
          <w:tcPr>
            <w:tcW w:w="4513" w:type="dxa"/>
            <w:shd w:val="clear" w:color="auto" w:fill="F6F9FB"/>
            <w:tcMar>
              <w:top w:w="90" w:type="dxa"/>
              <w:left w:w="120" w:type="dxa"/>
              <w:bottom w:w="90" w:type="dxa"/>
              <w:right w:w="120" w:type="dxa"/>
            </w:tcMar>
            <w:vAlign w:val="center"/>
          </w:tcPr>
          <w:p w14:paraId="60D66899" w14:textId="77777777" w:rsidR="00B0151F" w:rsidRDefault="00BE22D9">
            <w:pPr>
              <w:spacing w:before="40" w:after="40"/>
            </w:pPr>
            <w:r>
              <w:rPr>
                <w:sz w:val="20"/>
                <w:szCs w:val="20"/>
              </w:rPr>
              <w:t>ROI-driven investment planning</w:t>
            </w:r>
          </w:p>
        </w:tc>
      </w:tr>
    </w:tbl>
    <w:p w14:paraId="60D6689B" w14:textId="77777777" w:rsidR="00B0151F" w:rsidRDefault="00B0151F">
      <w:pPr>
        <w:spacing w:after="160"/>
      </w:pPr>
    </w:p>
    <w:p w14:paraId="60D6689C" w14:textId="77777777" w:rsidR="00B0151F" w:rsidRDefault="00BE22D9">
      <w:pPr>
        <w:spacing w:after="160" w:line="276" w:lineRule="auto"/>
      </w:pPr>
      <w:r>
        <w:t>These dashboards together provide a complete view of Tata Power's EV charging ecosystem and support data-driven decisions on infrastructure expansion, customer engagement, and investment prioritization.</w:t>
      </w:r>
    </w:p>
    <w:sectPr w:rsidR="00B0151F">
      <w:headerReference w:type="default" r:id="rId7"/>
      <w:footerReference w:type="default" r:id="rId8"/>
      <w:pgSz w:w="11906" w:h="16838"/>
      <w:pgMar w:top="9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C65A" w14:textId="77777777" w:rsidR="004B109A" w:rsidRDefault="004B109A">
      <w:r>
        <w:separator/>
      </w:r>
    </w:p>
  </w:endnote>
  <w:endnote w:type="continuationSeparator" w:id="0">
    <w:p w14:paraId="286B9008" w14:textId="77777777" w:rsidR="004B109A" w:rsidRDefault="004B1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689E" w14:textId="2431883A" w:rsidR="00B0151F" w:rsidRDefault="00BE22D9">
    <w:pPr>
      <w:jc w:val="center"/>
    </w:pPr>
    <w:r>
      <w:rPr>
        <w:color w:val="8A9199"/>
        <w:sz w:val="16"/>
        <w:szCs w:val="16"/>
      </w:rPr>
      <w:t xml:space="preserve">Page </w:t>
    </w:r>
    <w:r>
      <w:rPr>
        <w:color w:val="8A9199"/>
        <w:sz w:val="16"/>
        <w:szCs w:val="16"/>
      </w:rPr>
      <w:fldChar w:fldCharType="begin"/>
    </w:r>
    <w:r>
      <w:rPr>
        <w:color w:val="8A9199"/>
        <w:sz w:val="16"/>
        <w:szCs w:val="16"/>
      </w:rPr>
      <w:instrText>PAGE</w:instrText>
    </w:r>
    <w:r>
      <w:rPr>
        <w:color w:val="8A9199"/>
        <w:sz w:val="16"/>
        <w:szCs w:val="16"/>
      </w:rPr>
      <w:fldChar w:fldCharType="separate"/>
    </w:r>
    <w:r w:rsidR="00BC5818">
      <w:rPr>
        <w:noProof/>
        <w:color w:val="8A9199"/>
        <w:sz w:val="16"/>
        <w:szCs w:val="16"/>
      </w:rPr>
      <w:t>3</w:t>
    </w:r>
    <w:r>
      <w:rPr>
        <w:color w:val="8A9199"/>
        <w:sz w:val="16"/>
        <w:szCs w:val="16"/>
      </w:rPr>
      <w:fldChar w:fldCharType="end"/>
    </w:r>
    <w:r>
      <w:rPr>
        <w:color w:val="8A9199"/>
        <w:sz w:val="16"/>
        <w:szCs w:val="16"/>
      </w:rPr>
      <w:t xml:space="preserve"> of </w:t>
    </w:r>
    <w:r>
      <w:rPr>
        <w:color w:val="8A9199"/>
        <w:sz w:val="16"/>
        <w:szCs w:val="16"/>
      </w:rPr>
      <w:fldChar w:fldCharType="begin"/>
    </w:r>
    <w:r>
      <w:rPr>
        <w:color w:val="8A9199"/>
        <w:sz w:val="16"/>
        <w:szCs w:val="16"/>
      </w:rPr>
      <w:instrText>NUMPAGES</w:instrText>
    </w:r>
    <w:r>
      <w:rPr>
        <w:color w:val="8A9199"/>
        <w:sz w:val="16"/>
        <w:szCs w:val="16"/>
      </w:rPr>
      <w:fldChar w:fldCharType="separate"/>
    </w:r>
    <w:r w:rsidR="00BC5818">
      <w:rPr>
        <w:noProof/>
        <w:color w:val="8A9199"/>
        <w:sz w:val="16"/>
        <w:szCs w:val="16"/>
      </w:rPr>
      <w:t>4</w:t>
    </w:r>
    <w:r>
      <w:rPr>
        <w:color w:val="8A91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242C" w14:textId="77777777" w:rsidR="004B109A" w:rsidRDefault="004B109A">
      <w:r>
        <w:separator/>
      </w:r>
    </w:p>
  </w:footnote>
  <w:footnote w:type="continuationSeparator" w:id="0">
    <w:p w14:paraId="1C43FB52" w14:textId="77777777" w:rsidR="004B109A" w:rsidRDefault="004B1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689D" w14:textId="77777777" w:rsidR="00B0151F" w:rsidRDefault="00BE22D9">
    <w:pPr>
      <w:pBdr>
        <w:bottom w:val="single" w:sz="4" w:space="6" w:color="C9D3DA"/>
      </w:pBdr>
      <w:jc w:val="right"/>
    </w:pPr>
    <w:r>
      <w:rPr>
        <w:color w:val="8A9199"/>
        <w:sz w:val="16"/>
        <w:szCs w:val="16"/>
      </w:rPr>
      <w:t xml:space="preserve">Tata Power EV </w:t>
    </w:r>
    <w:proofErr w:type="gramStart"/>
    <w:r>
      <w:rPr>
        <w:color w:val="8A9199"/>
        <w:sz w:val="16"/>
        <w:szCs w:val="16"/>
      </w:rPr>
      <w:t>Charging  ·</w:t>
    </w:r>
    <w:proofErr w:type="gramEnd"/>
    <w:r>
      <w:rPr>
        <w:color w:val="8A9199"/>
        <w:sz w:val="16"/>
        <w:szCs w:val="16"/>
      </w:rPr>
      <w:t xml:space="preserve">  EDA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3D86"/>
    <w:multiLevelType w:val="hybridMultilevel"/>
    <w:tmpl w:val="BE38FAE2"/>
    <w:lvl w:ilvl="0" w:tplc="3B3E2F26">
      <w:start w:val="1"/>
      <w:numFmt w:val="bullet"/>
      <w:lvlText w:val="●"/>
      <w:lvlJc w:val="left"/>
      <w:pPr>
        <w:ind w:left="720" w:hanging="360"/>
      </w:pPr>
    </w:lvl>
    <w:lvl w:ilvl="1" w:tplc="28EC42F0">
      <w:start w:val="1"/>
      <w:numFmt w:val="bullet"/>
      <w:lvlText w:val="○"/>
      <w:lvlJc w:val="left"/>
      <w:pPr>
        <w:ind w:left="1440" w:hanging="360"/>
      </w:pPr>
    </w:lvl>
    <w:lvl w:ilvl="2" w:tplc="86DC0A8A">
      <w:start w:val="1"/>
      <w:numFmt w:val="bullet"/>
      <w:lvlText w:val="■"/>
      <w:lvlJc w:val="left"/>
      <w:pPr>
        <w:ind w:left="2160" w:hanging="360"/>
      </w:pPr>
    </w:lvl>
    <w:lvl w:ilvl="3" w:tplc="C6BA56FA">
      <w:start w:val="1"/>
      <w:numFmt w:val="bullet"/>
      <w:lvlText w:val="●"/>
      <w:lvlJc w:val="left"/>
      <w:pPr>
        <w:ind w:left="2880" w:hanging="360"/>
      </w:pPr>
    </w:lvl>
    <w:lvl w:ilvl="4" w:tplc="26304812">
      <w:start w:val="1"/>
      <w:numFmt w:val="bullet"/>
      <w:lvlText w:val="○"/>
      <w:lvlJc w:val="left"/>
      <w:pPr>
        <w:ind w:left="3600" w:hanging="360"/>
      </w:pPr>
    </w:lvl>
    <w:lvl w:ilvl="5" w:tplc="441407A8">
      <w:start w:val="1"/>
      <w:numFmt w:val="bullet"/>
      <w:lvlText w:val="■"/>
      <w:lvlJc w:val="left"/>
      <w:pPr>
        <w:ind w:left="4320" w:hanging="360"/>
      </w:pPr>
    </w:lvl>
    <w:lvl w:ilvl="6" w:tplc="1C6A758A">
      <w:start w:val="1"/>
      <w:numFmt w:val="bullet"/>
      <w:lvlText w:val="●"/>
      <w:lvlJc w:val="left"/>
      <w:pPr>
        <w:ind w:left="5040" w:hanging="360"/>
      </w:pPr>
    </w:lvl>
    <w:lvl w:ilvl="7" w:tplc="B8EA8480">
      <w:start w:val="1"/>
      <w:numFmt w:val="bullet"/>
      <w:lvlText w:val="●"/>
      <w:lvlJc w:val="left"/>
      <w:pPr>
        <w:ind w:left="5760" w:hanging="360"/>
      </w:pPr>
    </w:lvl>
    <w:lvl w:ilvl="8" w:tplc="BDF29EF8">
      <w:start w:val="1"/>
      <w:numFmt w:val="bullet"/>
      <w:lvlText w:val="●"/>
      <w:lvlJc w:val="left"/>
      <w:pPr>
        <w:ind w:left="6480" w:hanging="360"/>
      </w:pPr>
    </w:lvl>
  </w:abstractNum>
  <w:abstractNum w:abstractNumId="1" w15:restartNumberingAfterBreak="0">
    <w:nsid w:val="4E7A5CA8"/>
    <w:multiLevelType w:val="hybridMultilevel"/>
    <w:tmpl w:val="D08868AA"/>
    <w:lvl w:ilvl="0" w:tplc="AD9CB130">
      <w:start w:val="1"/>
      <w:numFmt w:val="bullet"/>
      <w:lvlText w:val="•"/>
      <w:lvlJc w:val="left"/>
      <w:pPr>
        <w:ind w:left="504" w:hanging="259"/>
      </w:pPr>
      <w:rPr>
        <w:rFonts w:ascii="Calibri" w:eastAsia="Calibri" w:hAnsi="Calibri" w:cs="Calibri"/>
        <w:color w:val="134E7C"/>
      </w:rPr>
    </w:lvl>
    <w:lvl w:ilvl="1" w:tplc="0E2E7110">
      <w:start w:val="1"/>
      <w:numFmt w:val="bullet"/>
      <w:lvlText w:val="–"/>
      <w:lvlJc w:val="left"/>
      <w:pPr>
        <w:ind w:left="1008" w:hanging="259"/>
      </w:pPr>
    </w:lvl>
    <w:lvl w:ilvl="2" w:tplc="E05008A0">
      <w:numFmt w:val="decimal"/>
      <w:lvlText w:val=""/>
      <w:lvlJc w:val="left"/>
    </w:lvl>
    <w:lvl w:ilvl="3" w:tplc="30381C62">
      <w:numFmt w:val="decimal"/>
      <w:lvlText w:val=""/>
      <w:lvlJc w:val="left"/>
    </w:lvl>
    <w:lvl w:ilvl="4" w:tplc="45B001CE">
      <w:numFmt w:val="decimal"/>
      <w:lvlText w:val=""/>
      <w:lvlJc w:val="left"/>
    </w:lvl>
    <w:lvl w:ilvl="5" w:tplc="9BFCB638">
      <w:numFmt w:val="decimal"/>
      <w:lvlText w:val=""/>
      <w:lvlJc w:val="left"/>
    </w:lvl>
    <w:lvl w:ilvl="6" w:tplc="1F5679C8">
      <w:numFmt w:val="decimal"/>
      <w:lvlText w:val=""/>
      <w:lvlJc w:val="left"/>
    </w:lvl>
    <w:lvl w:ilvl="7" w:tplc="5AC83334">
      <w:numFmt w:val="decimal"/>
      <w:lvlText w:val=""/>
      <w:lvlJc w:val="left"/>
    </w:lvl>
    <w:lvl w:ilvl="8" w:tplc="AA5E7A7C">
      <w:numFmt w:val="decimal"/>
      <w:lvlText w:val=""/>
      <w:lvlJc w:val="left"/>
    </w:lvl>
  </w:abstractNum>
  <w:num w:numId="1" w16cid:durableId="527375152">
    <w:abstractNumId w:val="0"/>
    <w:lvlOverride w:ilvl="0">
      <w:startOverride w:val="1"/>
    </w:lvlOverride>
  </w:num>
  <w:num w:numId="2" w16cid:durableId="106595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51F"/>
    <w:rsid w:val="00334FAB"/>
    <w:rsid w:val="004B109A"/>
    <w:rsid w:val="004C50E2"/>
    <w:rsid w:val="004F4A7C"/>
    <w:rsid w:val="009E6568"/>
    <w:rsid w:val="00A05E2D"/>
    <w:rsid w:val="00A84EEA"/>
    <w:rsid w:val="00B0151F"/>
    <w:rsid w:val="00B909DE"/>
    <w:rsid w:val="00BA5304"/>
    <w:rsid w:val="00BC5818"/>
    <w:rsid w:val="00BE2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67BC"/>
  <w15:docId w15:val="{45773846-67D6-4FE1-B02B-2D389F1F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F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jainpankhvi@gmail.com</cp:lastModifiedBy>
  <cp:revision>6</cp:revision>
  <dcterms:created xsi:type="dcterms:W3CDTF">2026-09-04T02:32:00Z</dcterms:created>
  <dcterms:modified xsi:type="dcterms:W3CDTF">2026-09-05T14:37:00Z</dcterms:modified>
</cp:coreProperties>
</file>