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002444"/>
          <w:sz w:val="32"/>
        </w:rPr>
        <w:t>H2-SHIFT Round 2: three-minute video pitch script and recording storyboard</w:t>
      </w:r>
    </w:p>
    <w:p>
      <w:pPr>
        <w:spacing w:after="80"/>
      </w:pPr>
      <w:r>
        <w:rPr>
          <w:b w:val="0"/>
          <w:i w:val="0"/>
          <w:color w:val="3D3D3B"/>
          <w:sz w:val="20"/>
        </w:rPr>
        <w:t>Team Wookies | Raunak Jain, Abhishek Aby, Divya | NIT Warangal</w:t>
      </w:r>
    </w:p>
    <w:p>
      <w:pPr>
        <w:spacing w:after="80"/>
      </w:pPr>
      <w:r>
        <w:rPr>
          <w:b w:val="0"/>
          <w:i w:val="0"/>
          <w:sz w:val="20"/>
        </w:rPr>
        <w:t>Length: 379 spoken words; planned duration 176 seconds (2 min 56 s) including pauses, about 129 words per minute. Read aloud once with a stopwatch; if it runs over 178 seconds, drop the second sentence of segment 3 (about 20 words).</w:t>
      </w:r>
    </w:p>
    <w:p>
      <w:pPr>
        <w:pStyle w:val="Heading2"/>
      </w:pPr>
      <w:r>
        <w:t>Script</w:t>
      </w:r>
    </w:p>
    <w:p>
      <w:pPr>
        <w:spacing w:after="120"/>
      </w:pPr>
      <w:r>
        <w:rPr>
          <w:b/>
          <w:color w:val="016F49"/>
        </w:rPr>
        <w:t xml:space="preserve">Slide 1 (12 s): </w:t>
      </w:r>
      <w:r>
        <w:t>Hello, we are Team Wookies from NIT Warangal. In Round 1 we proposed H2-SHIFT: convert India's CNG cars to hydrogen instead of building new ones. Round 2 tests that idea against the evidence.</w:t>
      </w:r>
    </w:p>
    <w:p>
      <w:pPr>
        <w:spacing w:after="120"/>
      </w:pPr>
      <w:r>
        <w:rPr>
          <w:b/>
          <w:color w:val="016F49"/>
        </w:rPr>
        <w:t xml:space="preserve">Slide 2 (22 s): </w:t>
      </w:r>
      <w:r>
        <w:t>India has 8.2 million CNG vehicles and Maruti sells seven lakh CNG cars a year. Our first customer is a captive institutional fleet in Faridabad, running Dzire Tour S CNG cars 150 to 200 kilometres a day beside India's only car-capable hydrogen dispensing point.</w:t>
      </w:r>
    </w:p>
    <w:p>
      <w:pPr>
        <w:spacing w:after="120"/>
      </w:pPr>
      <w:r>
        <w:rPr>
          <w:b/>
          <w:color w:val="016F49"/>
        </w:rPr>
        <w:t xml:space="preserve">Slide 3 (18 s): </w:t>
      </w:r>
      <w:r>
        <w:t>The route is hydrogen combustion with port injection and lean burn. A fuel-cell conversion would cost as much as a new BEV, and global experience shows depot fleets survive while retail networks retreat.</w:t>
      </w:r>
    </w:p>
    <w:p>
      <w:pPr>
        <w:spacing w:after="120"/>
      </w:pPr>
      <w:r>
        <w:rPr>
          <w:b/>
          <w:color w:val="016F49"/>
        </w:rPr>
        <w:t xml:space="preserve">Slide 4 (24 s): </w:t>
      </w:r>
      <w:r>
        <w:t>We replace the CNG cylinder with a 60-litre composite hydrogen cylinder, add a regulator, injectors, a dual-map ECU and twin leak sensors, and keep petrol as automatic backup. One fill gives about 60 kilometres, two depot fills about 120. Power drops by roughly half: a city car.</w:t>
      </w:r>
    </w:p>
    <w:p>
      <w:pPr>
        <w:spacing w:after="120"/>
      </w:pPr>
      <w:r>
        <w:rPr>
          <w:b/>
          <w:color w:val="016F49"/>
        </w:rPr>
        <w:t xml:space="preserve">Slide 5 (19 s): </w:t>
      </w:r>
      <w:r>
        <w:t>Safety is engineering we know: a sealed, vented boot, thermal relief, valve closure within a second, lean burn with a NOx trap. The real gap is approval: no route exists today for a hydrogen retrofit of a car. That is our first gate.</w:t>
      </w:r>
    </w:p>
    <w:p>
      <w:pPr>
        <w:spacing w:after="120"/>
      </w:pPr>
      <w:r>
        <w:rPr>
          <w:b/>
          <w:color w:val="016F49"/>
        </w:rPr>
        <w:t xml:space="preserve">Slide 6 (27 s): </w:t>
      </w:r>
      <w:r>
        <w:t>Now the honest economics. At 800 rupees a kilogram in 2028 the converted car costs about 14 rupees a kilometre, against 5 on CNG and 5.5 for a compact BEV including purchase. Fuel parity with CNG needs hydrogen below 190 rupees a kilogram, cheaper than any 2030 forecast we found. The retrofit is a decarbonisation cost, not a saving.</w:t>
      </w:r>
    </w:p>
    <w:p>
      <w:pPr>
        <w:spacing w:after="120"/>
      </w:pPr>
      <w:r>
        <w:rPr>
          <w:b/>
          <w:color w:val="016F49"/>
        </w:rPr>
        <w:t xml:space="preserve">Slide 7 (15 s): </w:t>
      </w:r>
      <w:r>
        <w:t>A 30-car pilot needs about 60 kilograms of hydrogen a day, delivered by tube trailer to a shared dispensing point in Faridabad: roughly 1,400 rupees a kilogram today, under 600 at a 2030 hub.</w:t>
      </w:r>
    </w:p>
    <w:p>
      <w:pPr>
        <w:spacing w:after="120"/>
      </w:pPr>
      <w:r>
        <w:rPr>
          <w:b/>
          <w:color w:val="016F49"/>
        </w:rPr>
        <w:t xml:space="preserve">Slide 8 (20 s): </w:t>
      </w:r>
      <w:r>
        <w:t>So we recommend an option, not a launch: four gated phases to 2030, 37.6 crore rupees, each ending in a proceed, redesign or stop decision, funded jointly by Suzuki, the MNRE pilot scheme, a fuel partner and the fleet.</w:t>
      </w:r>
    </w:p>
    <w:p>
      <w:pPr>
        <w:spacing w:after="120"/>
      </w:pPr>
      <w:r>
        <w:rPr>
          <w:b/>
          <w:color w:val="016F49"/>
        </w:rPr>
        <w:t xml:space="preserve">Slide 9 (19 s): </w:t>
      </w:r>
      <w:r>
        <w:t>The impact is real but small by 2030: about 1,400 cars, 3,600 tonnes of CO2 a year, and India's first approval route for hydrogen retrofits. We ask for 0.9 crore for Phase 0: it buys the facts that decide whether the rest is worth spending. Thank you.</w:t>
      </w:r>
    </w:p>
    <w:p>
      <w:pPr>
        <w:pStyle w:val="Heading2"/>
      </w:pPr>
      <w:r>
        <w:t>Timing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680"/>
        <w:gridCol w:w="1020"/>
        <w:gridCol w:w="3175"/>
        <w:gridCol w:w="3515"/>
      </w:tblGrid>
      <w:tr>
        <w:tc>
          <w:tcPr>
            <w:tcW w:type="dxa" w:w="1474"/>
            <w:shd w:val="clear" w:color="auto" w:fill="00244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Time window</w:t>
            </w:r>
          </w:p>
        </w:tc>
        <w:tc>
          <w:tcPr>
            <w:tcW w:type="dxa" w:w="680"/>
            <w:shd w:val="clear" w:color="auto" w:fill="00244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Slide</w:t>
            </w:r>
          </w:p>
        </w:tc>
        <w:tc>
          <w:tcPr>
            <w:tcW w:type="dxa" w:w="1020"/>
            <w:shd w:val="clear" w:color="auto" w:fill="00244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Spoken words</w:t>
            </w:r>
          </w:p>
        </w:tc>
        <w:tc>
          <w:tcPr>
            <w:tcW w:type="dxa" w:w="3175"/>
            <w:shd w:val="clear" w:color="auto" w:fill="00244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Presenter action</w:t>
            </w:r>
          </w:p>
        </w:tc>
        <w:tc>
          <w:tcPr>
            <w:tcW w:type="dxa" w:w="3515"/>
            <w:shd w:val="clear" w:color="auto" w:fill="00244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Visual emphasis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0:00 to 0:12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8"/>
              </w:rPr>
              <w:t>33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8"/>
              </w:rPr>
              <w:t>Look to camera, calm opening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8"/>
              </w:rPr>
              <w:t>Title slide unchanged</w:t>
            </w:r>
          </w:p>
        </w:tc>
      </w:tr>
      <w:tr>
        <w:tc>
          <w:tcPr>
            <w:tcW w:type="dxa" w:w="1474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0:12 to 0:34</w:t>
            </w:r>
          </w:p>
        </w:tc>
        <w:tc>
          <w:tcPr>
            <w:tcW w:type="dxa" w:w="68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02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44</w:t>
            </w:r>
          </w:p>
        </w:tc>
        <w:tc>
          <w:tcPr>
            <w:tcW w:type="dxa" w:w="317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Point to the funnel column</w:t>
            </w:r>
          </w:p>
        </w:tc>
        <w:tc>
          <w:tcPr>
            <w:tcW w:type="dxa" w:w="351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Funnel table: 8.2 million to about 1,400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0:34 to 0:52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8"/>
              </w:rPr>
              <w:t>33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8"/>
              </w:rPr>
              <w:t>Gesture across the comparison table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8"/>
              </w:rPr>
              <w:t>Highlighted H2-ICE column; global lessons panel</w:t>
            </w:r>
          </w:p>
        </w:tc>
      </w:tr>
      <w:tr>
        <w:tc>
          <w:tcPr>
            <w:tcW w:type="dxa" w:w="1474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0:52 to 1:16</w:t>
            </w:r>
          </w:p>
        </w:tc>
        <w:tc>
          <w:tcPr>
            <w:tcW w:type="dxa" w:w="68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02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47</w:t>
            </w:r>
          </w:p>
        </w:tc>
        <w:tc>
          <w:tcPr>
            <w:tcW w:type="dxa" w:w="317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Trace the flow in the architecture diagram</w:t>
            </w:r>
          </w:p>
        </w:tc>
        <w:tc>
          <w:tcPr>
            <w:tcW w:type="dxa" w:w="351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Stat tiles: 1.12 kg, 61 km, 42 PS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1:16 to 1:35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8"/>
              </w:rPr>
              <w:t>43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8"/>
              </w:rPr>
              <w:t>Slow down on 'no route exists'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8"/>
              </w:rPr>
              <w:t>Approval panel; gate 1 callout</w:t>
            </w:r>
          </w:p>
        </w:tc>
      </w:tr>
      <w:tr>
        <w:tc>
          <w:tcPr>
            <w:tcW w:type="dxa" w:w="1474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1:35 to 2:02</w:t>
            </w:r>
          </w:p>
        </w:tc>
        <w:tc>
          <w:tcPr>
            <w:tcW w:type="dxa" w:w="68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02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59</w:t>
            </w:r>
          </w:p>
        </w:tc>
        <w:tc>
          <w:tcPr>
            <w:tcW w:type="dxa" w:w="317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Pause after 'not a saving'</w:t>
            </w:r>
          </w:p>
        </w:tc>
        <w:tc>
          <w:tcPr>
            <w:tcW w:type="dxa" w:w="351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Bar chart; heat grid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2:02 to 2:17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8"/>
              </w:rPr>
              <w:t>34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8"/>
              </w:rPr>
              <w:t>Point to the stacked bars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8"/>
              </w:rPr>
              <w:t>Price build-up chart</w:t>
            </w:r>
          </w:p>
        </w:tc>
      </w:tr>
      <w:tr>
        <w:tc>
          <w:tcPr>
            <w:tcW w:type="dxa" w:w="1474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2:17 to 2:37</w:t>
            </w:r>
          </w:p>
        </w:tc>
        <w:tc>
          <w:tcPr>
            <w:tcW w:type="dxa" w:w="68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02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39</w:t>
            </w:r>
          </w:p>
        </w:tc>
        <w:tc>
          <w:tcPr>
            <w:tcW w:type="dxa" w:w="317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Sweep along the chevrons</w:t>
            </w:r>
          </w:p>
        </w:tc>
        <w:tc>
          <w:tcPr>
            <w:tcW w:type="dxa" w:w="351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Gate row of the roadmap table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2:37 to 2:56</w:t>
            </w:r>
          </w:p>
        </w:tc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8"/>
              </w:rPr>
              <w:t>47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sz w:val="18"/>
              </w:rPr>
              <w:t>Close to camera, hold two seconds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8"/>
              </w:rPr>
              <w:t>Decision panel; green banner</w:t>
            </w:r>
          </w:p>
        </w:tc>
      </w:tr>
      <w:tr>
        <w:tc>
          <w:tcPr>
            <w:tcW w:type="dxa" w:w="1474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Total</w:t>
            </w:r>
          </w:p>
        </w:tc>
        <w:tc>
          <w:tcPr>
            <w:tcW w:type="dxa" w:w="68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020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379</w:t>
            </w:r>
          </w:p>
        </w:tc>
        <w:tc>
          <w:tcPr>
            <w:tcW w:type="dxa" w:w="317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  <w:t>176 s</w:t>
            </w:r>
          </w:p>
        </w:tc>
        <w:tc>
          <w:tcPr>
            <w:tcW w:type="dxa" w:w="3515"/>
            <w:shd w:val="clear" w:color="auto" w:fill="F3F6F4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Recording layout and export settings</w:t>
      </w:r>
    </w:p>
    <w:p>
      <w:pPr>
        <w:pStyle w:val="ListBullet"/>
        <w:spacing w:after="40"/>
      </w:pPr>
      <w:r>
        <w:rPr>
          <w:sz w:val="20"/>
        </w:rPr>
        <w:t>Layout: split screen. The slide occupies the left 76 percent of the frame; the presenter occupies the right column (about 24 percent) with a plain background, so no chart label or table cell is covered. If the organiser's picture-in-picture layout is preferred (presenter bottom-right, about 24 percent wide and 38 percent tall as in the reference image), the deck was built so that footnotes sit bottom-left and only source lines fall under that zone.</w:t>
      </w:r>
    </w:p>
    <w:p>
      <w:pPr>
        <w:pStyle w:val="ListBullet"/>
        <w:spacing w:after="40"/>
      </w:pPr>
      <w:r>
        <w:rPr>
          <w:sz w:val="20"/>
        </w:rPr>
        <w:t>Both presenter and solution must be visible throughout; keep the presenter on screen during the title slide and the closing banner.</w:t>
      </w:r>
    </w:p>
    <w:p>
      <w:pPr>
        <w:pStyle w:val="ListBullet"/>
        <w:spacing w:after="40"/>
      </w:pPr>
      <w:r>
        <w:rPr>
          <w:sz w:val="20"/>
        </w:rPr>
        <w:t>Slides: use the PDF export (identical fonts on every machine); advance exactly at the timing-table boundaries.</w:t>
      </w:r>
    </w:p>
    <w:p>
      <w:pPr>
        <w:pStyle w:val="ListBullet"/>
        <w:spacing w:after="40"/>
      </w:pPr>
      <w:r>
        <w:rPr>
          <w:sz w:val="20"/>
        </w:rPr>
        <w:t>Video: 1920 x 1080, 25 or 30 fps, H.264 (MP4, High profile), 2-pass at 1.8 to 2.2 Mbit/s video; audio AAC 128 kbit/s stereo, 48 kHz; expected file size 40 to 48 MB for 176 s; verify below 50 MB before upload and reduce the video bitrate to 1.6 Mbit/s if needed.</w:t>
      </w:r>
    </w:p>
    <w:p>
      <w:pPr>
        <w:pStyle w:val="ListBullet"/>
        <w:spacing w:after="40"/>
      </w:pPr>
      <w:r>
        <w:rPr>
          <w:sz w:val="20"/>
        </w:rPr>
        <w:t>Audio: lapel or USB microphone 30 cm from the mouth, quiet room, record a 5-second silence for noise removal; peak level minus 6 dB.</w:t>
      </w:r>
    </w:p>
    <w:p>
      <w:pPr>
        <w:pStyle w:val="ListBullet"/>
        <w:spacing w:after="40"/>
      </w:pPr>
      <w:r>
        <w:rPr>
          <w:sz w:val="20"/>
        </w:rPr>
        <w:t>Check after export: actual duration between 170 and 180 s, file size below 50 MB, slide text legible at 100 percent, audio in sync at the slide changes on slides 4 and 6.</w:t>
      </w:r>
    </w:p>
    <w:p>
      <w:pPr>
        <w:pStyle w:val="ListBullet"/>
        <w:spacing w:after="40"/>
      </w:pPr>
      <w:r>
        <w:rPr>
          <w:sz w:val="20"/>
        </w:rPr>
        <w:t>Presenter recording is the remaining input: no video file has been produced; the script, storyboard, layout and export settings are complete.</w:t>
      </w:r>
    </w:p>
    <w:p>
      <w:pPr>
        <w:pStyle w:val="Heading2"/>
      </w:pPr>
      <w:r>
        <w:t>Do-not-say list (keeps the video consistent with the deck)</w:t>
      </w:r>
    </w:p>
    <w:p>
      <w:pPr>
        <w:pStyle w:val="ListBullet"/>
        <w:spacing w:after="40"/>
      </w:pPr>
      <w:r>
        <w:rPr>
          <w:sz w:val="20"/>
        </w:rPr>
        <w:t>No 'approved', 'fully safe', 'zero emission' (hydrogen combustion emits NOx), 'partnership' or 'letter of intent'.</w:t>
      </w:r>
    </w:p>
    <w:p>
      <w:pPr>
        <w:pStyle w:val="ListBullet"/>
        <w:spacing w:after="40"/>
      </w:pPr>
      <w:r>
        <w:rPr>
          <w:sz w:val="20"/>
        </w:rPr>
        <w:t>No numbers that are not on the slides; the pitch uses only slide figures rounded for speech.</w:t>
      </w:r>
    </w:p>
    <w:p>
      <w:pPr>
        <w:pStyle w:val="ListBullet"/>
        <w:spacing w:after="40"/>
      </w:pPr>
      <w:r>
        <w:rPr>
          <w:sz w:val="20"/>
        </w:rPr>
        <w:t>Say 'proposed partner' for IOCL, ARAI, fleets and Suzuki R&amp;D Center India.</w:t>
      </w:r>
    </w:p>
    <w:sectPr w:rsidR="00FC693F" w:rsidRPr="0006063C" w:rsidSect="00034616">
      <w:pgSz w:w="11906" w:h="16838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0024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16F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002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