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00"/>
      </w:pPr>
      <w:r>
        <w:drawing>
          <wp:inline distT="0" distB="0" distL="0" distR="0">
            <wp:extent cx="2190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647700"/>
                    </a:xfrm>
                    <a:prstGeom prst="rect">
                      <a:avLst/>
                    </a:prstGeom>
                  </pic:spPr>
                </pic:pic>
              </a:graphicData>
            </a:graphic>
          </wp:inline>
        </w:drawing>
      </w:r>
    </w:p>
    <w:p>
      <w:pPr>
        <w:spacing w:after="60" w:before="80"/>
      </w:pPr>
      <w:r>
        <w:rPr>
          <w:rFonts w:ascii="Arial" w:cs="Arial" w:eastAsia="Arial" w:hAnsi="Arial"/>
          <w:b/>
          <w:bCs/>
          <w:color w:val="075ABD"/>
          <w:spacing w:val="60"/>
          <w:sz w:val="19"/>
          <w:szCs w:val="19"/>
        </w:rPr>
        <w:t xml:space="preserve">PRODUCT REQUIREMENTS DOCUMENT</w:t>
      </w:r>
    </w:p>
    <w:p>
      <w:pPr>
        <w:pBdr>
          <w:bottom w:val="single" w:color="075ABD" w:sz="10" w:space="8"/>
        </w:pBdr>
        <w:spacing w:after="60"/>
      </w:pPr>
      <w:r>
        <w:rPr>
          <w:rFonts w:ascii="Arial" w:cs="Arial" w:eastAsia="Arial" w:hAnsi="Arial"/>
          <w:b/>
          <w:bCs/>
          <w:color w:val="054086"/>
          <w:sz w:val="50"/>
          <w:szCs w:val="50"/>
        </w:rPr>
        <w:t xml:space="preserve">Dual-Rail Cross-Border Neobank (UAE)</w:t>
      </w:r>
    </w:p>
    <w:p>
      <w:pPr>
        <w:spacing w:after="360" w:before="220"/>
      </w:pPr>
      <w:r>
        <w:rPr>
          <w:i/>
          <w:iCs/>
          <w:color w:val="334155"/>
          <w:sz w:val="24"/>
          <w:szCs w:val="24"/>
        </w:rPr>
        <w:t xml:space="preserve">A dual-rail money app: one balance across a USD account and a USDC wallet on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tcMar>
              <w:top w:type="dxa" w:w="40"/>
              <w:left w:type="dxa" w:w="0"/>
              <w:bottom w:type="dxa" w:w="40"/>
              <w:right w:type="dxa" w:w="120"/>
            </w:tcMar>
          </w:tcPr>
          <w:p>
            <w:r>
              <w:rPr>
                <w:b/>
                <w:bCs/>
                <w:color w:val="054086"/>
                <w:sz w:val="19"/>
                <w:szCs w:val="19"/>
              </w:rPr>
              <w:t xml:space="preserve">Status</w:t>
            </w:r>
          </w:p>
        </w:tc>
        <w:tc>
          <w:tcPr>
            <w:tcW w:type="dxa" w:w="7160"/>
            <w:tcBorders>
              <w:top w:val="none"/>
              <w:left w:val="none"/>
              <w:bottom w:val="none"/>
              <w:right w:val="none"/>
            </w:tcBorders>
            <w:tcMar>
              <w:top w:type="dxa" w:w="40"/>
              <w:left w:type="dxa" w:w="0"/>
              <w:bottom w:type="dxa" w:w="40"/>
              <w:right w:type="dxa" w:w="0"/>
            </w:tcMar>
          </w:tcPr>
          <w:p>
            <w:r>
              <w:rPr>
                <w:color w:val="0B1220"/>
                <w:sz w:val="19"/>
                <w:szCs w:val="19"/>
              </w:rPr>
              <w:t xml:space="preserve">Draft v0.3 (decisions resolved; activity trail added)</w:t>
            </w:r>
          </w:p>
        </w:tc>
      </w:tr>
      <w:tr>
        <w:tc>
          <w:tcPr>
            <w:tcW w:type="dxa" w:w="2200"/>
            <w:tcBorders>
              <w:top w:val="none"/>
              <w:left w:val="none"/>
              <w:bottom w:val="none"/>
              <w:right w:val="none"/>
            </w:tcBorders>
            <w:tcMar>
              <w:top w:type="dxa" w:w="40"/>
              <w:left w:type="dxa" w:w="0"/>
              <w:bottom w:type="dxa" w:w="40"/>
              <w:right w:type="dxa" w:w="120"/>
            </w:tcMar>
          </w:tcPr>
          <w:p>
            <w:r>
              <w:rPr>
                <w:b/>
                <w:bCs/>
                <w:color w:val="054086"/>
                <w:sz w:val="19"/>
                <w:szCs w:val="19"/>
              </w:rPr>
              <w:t xml:space="preserve">Owner</w:t>
            </w:r>
          </w:p>
        </w:tc>
        <w:tc>
          <w:tcPr>
            <w:tcW w:type="dxa" w:w="7160"/>
            <w:tcBorders>
              <w:top w:val="none"/>
              <w:left w:val="none"/>
              <w:bottom w:val="none"/>
              <w:right w:val="none"/>
            </w:tcBorders>
            <w:tcMar>
              <w:top w:type="dxa" w:w="40"/>
              <w:left w:type="dxa" w:w="0"/>
              <w:bottom w:type="dxa" w:w="40"/>
              <w:right w:type="dxa" w:w="0"/>
            </w:tcMar>
          </w:tcPr>
          <w:p>
            <w:r>
              <w:rPr>
                <w:color w:val="0B1220"/>
                <w:sz w:val="19"/>
                <w:szCs w:val="19"/>
              </w:rPr>
              <w:t xml:space="preserve">Product</w:t>
            </w:r>
          </w:p>
        </w:tc>
      </w:tr>
      <w:tr>
        <w:tc>
          <w:tcPr>
            <w:tcW w:type="dxa" w:w="2200"/>
            <w:tcBorders>
              <w:top w:val="none"/>
              <w:left w:val="none"/>
              <w:bottom w:val="none"/>
              <w:right w:val="none"/>
            </w:tcBorders>
            <w:tcMar>
              <w:top w:type="dxa" w:w="40"/>
              <w:left w:type="dxa" w:w="0"/>
              <w:bottom w:type="dxa" w:w="40"/>
              <w:right w:type="dxa" w:w="120"/>
            </w:tcMar>
          </w:tcPr>
          <w:p>
            <w:r>
              <w:rPr>
                <w:b/>
                <w:bCs/>
                <w:color w:val="054086"/>
                <w:sz w:val="19"/>
                <w:szCs w:val="19"/>
              </w:rPr>
              <w:t xml:space="preserve">Working name</w:t>
            </w:r>
          </w:p>
        </w:tc>
        <w:tc>
          <w:tcPr>
            <w:tcW w:type="dxa" w:w="7160"/>
            <w:tcBorders>
              <w:top w:val="none"/>
              <w:left w:val="none"/>
              <w:bottom w:val="none"/>
              <w:right w:val="none"/>
            </w:tcBorders>
            <w:tcMar>
              <w:top w:type="dxa" w:w="40"/>
              <w:left w:type="dxa" w:w="0"/>
              <w:bottom w:type="dxa" w:w="40"/>
              <w:right w:type="dxa" w:w="0"/>
            </w:tcMar>
          </w:tcPr>
          <w:p>
            <w:r>
              <w:rPr>
                <w:color w:val="0B1220"/>
                <w:sz w:val="19"/>
                <w:szCs w:val="19"/>
              </w:rPr>
              <w:t xml:space="preserve">TBD (referred to as "the app")</w:t>
            </w:r>
          </w:p>
        </w:tc>
      </w:tr>
      <w:tr>
        <w:tc>
          <w:tcPr>
            <w:tcW w:type="dxa" w:w="2200"/>
            <w:tcBorders>
              <w:top w:val="none"/>
              <w:left w:val="none"/>
              <w:bottom w:val="none"/>
              <w:right w:val="none"/>
            </w:tcBorders>
            <w:tcMar>
              <w:top w:type="dxa" w:w="40"/>
              <w:left w:type="dxa" w:w="0"/>
              <w:bottom w:type="dxa" w:w="40"/>
              <w:right w:type="dxa" w:w="120"/>
            </w:tcMar>
          </w:tcPr>
          <w:p>
            <w:r>
              <w:rPr>
                <w:b/>
                <w:bCs/>
                <w:color w:val="054086"/>
                <w:sz w:val="19"/>
                <w:szCs w:val="19"/>
              </w:rPr>
              <w:t xml:space="preserve">Last updated</w:t>
            </w:r>
          </w:p>
        </w:tc>
        <w:tc>
          <w:tcPr>
            <w:tcW w:type="dxa" w:w="7160"/>
            <w:tcBorders>
              <w:top w:val="none"/>
              <w:left w:val="none"/>
              <w:bottom w:val="none"/>
              <w:right w:val="none"/>
            </w:tcBorders>
            <w:tcMar>
              <w:top w:type="dxa" w:w="40"/>
              <w:left w:type="dxa" w:w="0"/>
              <w:bottom w:type="dxa" w:w="40"/>
              <w:right w:type="dxa" w:w="0"/>
            </w:tcMar>
          </w:tcPr>
          <w:p>
            <w:r>
              <w:rPr>
                <w:color w:val="0B1220"/>
                <w:sz w:val="19"/>
                <w:szCs w:val="19"/>
              </w:rPr>
              <w:t xml:space="preserve">5 Jun 2026</w:t>
            </w:r>
          </w:p>
        </w:tc>
      </w:tr>
    </w:tbl>
    <w:p>
      <w:r>
        <w:br w:type="page"/>
      </w:r>
    </w:p>
    <w:p>
      <w:pPr>
        <w:spacing w:after="160"/>
      </w:pPr>
      <w:r>
        <w:rPr>
          <w:rFonts w:ascii="Arial" w:cs="Arial" w:eastAsia="Arial" w:hAnsi="Arial"/>
          <w:b/>
          <w:bCs/>
          <w:color w:val="075ABD"/>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w:t>
      </w:r>
    </w:p>
    <w:p>
      <w:pPr>
        <w:spacing w:after="120"/>
      </w:pPr>
      <w:r>
        <w:rPr>
          <w:sz w:val="21"/>
          <w:szCs w:val="21"/>
        </w:rPr>
        <w:t xml:space="preserve">A consumer neobanking app for the UAE that gives every user two synchronized money rails behind one balance: a </w:t>
      </w:r>
      <w:r>
        <w:rPr>
          <w:b/>
          <w:bCs/>
          <w:sz w:val="21"/>
          <w:szCs w:val="21"/>
        </w:rPr>
        <w:t xml:space="preserve">USD fiat account</w:t>
      </w:r>
      <w:r>
        <w:rPr>
          <w:sz w:val="21"/>
          <w:szCs w:val="21"/>
        </w:rPr>
        <w:t xml:space="preserve"> and a </w:t>
      </w:r>
      <w:r>
        <w:rPr>
          <w:b/>
          <w:bCs/>
          <w:sz w:val="21"/>
          <w:szCs w:val="21"/>
        </w:rPr>
        <w:t xml:space="preserve">USDC wallet on Base</w:t>
      </w:r>
      <w:r>
        <w:rPr>
          <w:sz w:val="21"/>
          <w:szCs w:val="21"/>
        </w:rPr>
        <w:t xml:space="preserve">. After a single KYC pass, both are provisioned. Users fund either rail (SWIFT and AED→USD onramp for fiat, USDC deposit for crypto), move between them in one tap via </w:t>
      </w:r>
      <w:r>
        <w:rPr>
          <w:b/>
          <w:bCs/>
          <w:sz w:val="21"/>
          <w:szCs w:val="21"/>
        </w:rPr>
        <w:t xml:space="preserve">Convert</w:t>
      </w:r>
      <w:r>
        <w:rPr>
          <w:sz w:val="21"/>
          <w:szCs w:val="21"/>
        </w:rPr>
        <w:t xml:space="preserve">, spend from each rail on its own card, </w:t>
      </w:r>
      <w:r>
        <w:rPr>
          <w:b/>
          <w:bCs/>
          <w:sz w:val="21"/>
          <w:szCs w:val="21"/>
        </w:rPr>
        <w:t xml:space="preserve">invest</w:t>
      </w:r>
      <w:r>
        <w:rPr>
          <w:sz w:val="21"/>
          <w:szCs w:val="21"/>
        </w:rPr>
        <w:t xml:space="preserve"> in US equities (fiat) and tokenized equities/commodities (stablecoin), trade </w:t>
      </w:r>
      <w:r>
        <w:rPr>
          <w:b/>
          <w:bCs/>
          <w:sz w:val="21"/>
          <w:szCs w:val="21"/>
        </w:rPr>
        <w:t xml:space="preserve">futures</w:t>
      </w:r>
      <w:r>
        <w:rPr>
          <w:sz w:val="21"/>
          <w:szCs w:val="21"/>
        </w:rPr>
        <w:t xml:space="preserve"> on stocks/commodities/pre-IPO via Hyperliquid builder codes, and </w:t>
      </w:r>
      <w:r>
        <w:rPr>
          <w:b/>
          <w:bCs/>
          <w:sz w:val="21"/>
          <w:szCs w:val="21"/>
        </w:rPr>
        <w:t xml:space="preserve">earn</w:t>
      </w:r>
      <w:r>
        <w:rPr>
          <w:sz w:val="21"/>
          <w:szCs w:val="21"/>
        </w:rPr>
        <w:t xml:space="preserve"> yield on idle balances on both rails.</w:t>
      </w:r>
    </w:p>
    <w:p>
      <w:pPr>
        <w:spacing w:after="120"/>
      </w:pPr>
      <w:r>
        <w:rPr>
          <w:sz w:val="21"/>
          <w:szCs w:val="21"/>
        </w:rPr>
        <w:t xml:space="preserve">The product thesis: a UAE user should hold dollars — bank dollars or stable dollars — and never have to think about which rail they're on. The app abstracts the rail; the user sees one net worth.</w:t>
      </w:r>
    </w:p>
    <w:p>
      <w:pPr>
        <w:pStyle w:val="Heading1"/>
      </w:pPr>
      <w:r>
        <w:t xml:space="preserve">2. Goals and non-goals</w:t>
      </w:r>
    </w:p>
    <w:p>
      <w:pPr>
        <w:spacing w:after="60" w:before="100"/>
      </w:pPr>
      <w:r>
        <w:rPr>
          <w:b/>
          <w:bCs/>
          <w:color w:val="054086"/>
          <w:sz w:val="22"/>
          <w:szCs w:val="22"/>
        </w:rPr>
        <w:t xml:space="preserve">Goals</w:t>
      </w:r>
    </w:p>
    <w:p>
      <w:pPr>
        <w:pStyle w:val="ListParagraph"/>
        <w:numPr>
          <w:ilvl w:val="0"/>
          <w:numId w:val="2"/>
        </w:numPr>
        <w:spacing w:after="60"/>
      </w:pPr>
      <w:r>
        <w:rPr>
          <w:sz w:val="21"/>
          <w:szCs w:val="21"/>
        </w:rPr>
        <w:t xml:space="preserve">One identity, one onboarding, two rails provisioned automatically.</w:t>
      </w:r>
    </w:p>
    <w:p>
      <w:pPr>
        <w:pStyle w:val="ListParagraph"/>
        <w:numPr>
          <w:ilvl w:val="0"/>
          <w:numId w:val="2"/>
        </w:numPr>
        <w:spacing w:after="60"/>
      </w:pPr>
      <w:r>
        <w:rPr>
          <w:sz w:val="21"/>
          <w:szCs w:val="21"/>
        </w:rPr>
        <w:t xml:space="preserve">A single unified balance view (fiat + stablecoin shown as one USD figure) and a single portfolio/net-worth view across Cash, Invest, and Earn.</w:t>
      </w:r>
    </w:p>
    <w:p>
      <w:pPr>
        <w:pStyle w:val="ListParagraph"/>
        <w:numPr>
          <w:ilvl w:val="0"/>
          <w:numId w:val="2"/>
        </w:numPr>
        <w:spacing w:after="60"/>
      </w:pPr>
      <w:r>
        <w:rPr>
          <w:sz w:val="21"/>
          <w:szCs w:val="21"/>
        </w:rPr>
        <w:t xml:space="preserve">One-tap movement between rails (Convert) at near-1:1, settling on rail confirmation with honest states.</w:t>
      </w:r>
    </w:p>
    <w:p>
      <w:pPr>
        <w:pStyle w:val="ListParagraph"/>
        <w:numPr>
          <w:ilvl w:val="0"/>
          <w:numId w:val="2"/>
        </w:numPr>
        <w:spacing w:after="60"/>
      </w:pPr>
      <w:r>
        <w:rPr>
          <w:sz w:val="21"/>
          <w:szCs w:val="21"/>
        </w:rPr>
        <w:t xml:space="preserve">Spend, invest, and earn available on </w:t>
      </w:r>
      <w:r>
        <w:rPr>
          <w:i/>
          <w:iCs/>
          <w:sz w:val="21"/>
          <w:szCs w:val="21"/>
        </w:rPr>
        <w:t xml:space="preserve">both</w:t>
      </w:r>
      <w:r>
        <w:rPr>
          <w:sz w:val="21"/>
          <w:szCs w:val="21"/>
        </w:rPr>
        <w:t xml:space="preserve"> rails, with the rail choice mostly invisible to the user.</w:t>
      </w:r>
    </w:p>
    <w:p>
      <w:pPr>
        <w:spacing w:after="60" w:before="100"/>
      </w:pPr>
      <w:r>
        <w:rPr>
          <w:b/>
          <w:bCs/>
          <w:color w:val="054086"/>
          <w:sz w:val="22"/>
          <w:szCs w:val="22"/>
        </w:rPr>
        <w:t xml:space="preserve">Non-goals (this version)</w:t>
      </w:r>
    </w:p>
    <w:p>
      <w:pPr>
        <w:pStyle w:val="ListParagraph"/>
        <w:numPr>
          <w:ilvl w:val="0"/>
          <w:numId w:val="2"/>
        </w:numPr>
        <w:spacing w:after="60"/>
      </w:pPr>
      <w:r>
        <w:rPr>
          <w:sz w:val="21"/>
          <w:szCs w:val="21"/>
        </w:rPr>
        <w:t xml:space="preserve">AED-denominated current accounts or local salary/WPS payroll. USD is the base unit of account; AED is a funding source only.</w:t>
      </w:r>
    </w:p>
    <w:p>
      <w:pPr>
        <w:pStyle w:val="ListParagraph"/>
        <w:numPr>
          <w:ilvl w:val="0"/>
          <w:numId w:val="2"/>
        </w:numPr>
        <w:spacing w:after="60"/>
      </w:pPr>
      <w:r>
        <w:rPr>
          <w:sz w:val="21"/>
          <w:szCs w:val="21"/>
        </w:rPr>
        <w:t xml:space="preserve">Multi-currency beyond USD/USDC.</w:t>
      </w:r>
    </w:p>
    <w:p>
      <w:pPr>
        <w:pStyle w:val="ListParagraph"/>
        <w:numPr>
          <w:ilvl w:val="0"/>
          <w:numId w:val="2"/>
        </w:numPr>
        <w:spacing w:after="60"/>
      </w:pPr>
      <w:r>
        <w:rPr>
          <w:sz w:val="21"/>
          <w:szCs w:val="21"/>
        </w:rPr>
        <w:t xml:space="preserve">Custodial wallets / app-held keys. Custody is </w:t>
      </w:r>
      <w:r>
        <w:rPr>
          <w:b/>
          <w:bCs/>
          <w:sz w:val="21"/>
          <w:szCs w:val="21"/>
        </w:rPr>
        <w:t xml:space="preserve">self-custody with recovery</w:t>
      </w:r>
      <w:r>
        <w:rPr>
          <w:sz w:val="21"/>
          <w:szCs w:val="21"/>
        </w:rPr>
        <w:t xml:space="preserve"> (see §6.2).</w:t>
      </w:r>
    </w:p>
    <w:p>
      <w:pPr>
        <w:pStyle w:val="ListParagraph"/>
        <w:numPr>
          <w:ilvl w:val="0"/>
          <w:numId w:val="2"/>
        </w:numPr>
        <w:spacing w:after="60"/>
      </w:pPr>
      <w:r>
        <w:rPr>
          <w:sz w:val="21"/>
          <w:szCs w:val="21"/>
        </w:rPr>
        <w:t xml:space="preserve">P2P transfers between users (fast-follow candidate, not in scope here).</w:t>
      </w:r>
    </w:p>
    <w:p>
      <w:pPr>
        <w:pStyle w:val="ListParagraph"/>
        <w:numPr>
          <w:ilvl w:val="0"/>
          <w:numId w:val="2"/>
        </w:numPr>
        <w:spacing w:after="60"/>
      </w:pPr>
      <w:r>
        <w:rPr>
          <w:sz w:val="21"/>
          <w:szCs w:val="21"/>
        </w:rPr>
        <w:t xml:space="preserve">Lending </w:t>
      </w:r>
      <w:r>
        <w:rPr>
          <w:i/>
          <w:iCs/>
          <w:sz w:val="21"/>
          <w:szCs w:val="21"/>
        </w:rPr>
        <w:t xml:space="preserve">to</w:t>
      </w:r>
      <w:r>
        <w:rPr>
          <w:sz w:val="21"/>
          <w:szCs w:val="21"/>
        </w:rPr>
        <w:t xml:space="preserve"> the user (credit/BNPL). Earn is the user lending out, not borrowing.</w:t>
      </w:r>
    </w:p>
    <w:p>
      <w:pPr>
        <w:pStyle w:val="Heading1"/>
      </w:pPr>
      <w:r>
        <w:t xml:space="preserve">3. Target user</w:t>
      </w:r>
    </w:p>
    <w:p>
      <w:pPr>
        <w:spacing w:after="120"/>
      </w:pPr>
      <w:r>
        <w:rPr>
          <w:sz w:val="21"/>
          <w:szCs w:val="21"/>
        </w:rPr>
        <w:t xml:space="preserve">Primary persona: a UAE-based individual who already thinks in dollars — expats with offshore income, dollar savers hedging AED, and active retail traders who want stablecoin rails alongside a real bank balance.</w:t>
      </w:r>
    </w:p>
    <w:p>
      <w:pPr>
        <w:spacing w:after="120"/>
      </w:pPr>
      <w:r>
        <w:rPr>
          <w:b/>
          <w:bCs/>
          <w:sz w:val="21"/>
          <w:szCs w:val="21"/>
        </w:rPr>
        <w:t xml:space="preserve">Eligibility:</w:t>
      </w:r>
      <w:r>
        <w:rPr>
          <w:sz w:val="21"/>
          <w:szCs w:val="21"/>
        </w:rPr>
        <w:t xml:space="preserve"> UAE residents with a valid Emirates ID. (Not nationals-only.) This sets the KYC ruleset and the addressable base.</w:t>
      </w:r>
    </w:p>
    <w:p>
      <w:pPr>
        <w:pStyle w:val="Heading1"/>
      </w:pPr>
      <w:r>
        <w:t xml:space="preserve">4. Regulatory and licensing surface (UAE)</w:t>
      </w:r>
    </w:p>
    <w:p>
      <w:pPr>
        <w:spacing w:after="120"/>
      </w:pPr>
      <w:r>
        <w:rPr>
          <w:sz w:val="21"/>
          <w:szCs w:val="21"/>
        </w:rPr>
        <w:t xml:space="preserve">Not a legal opinion — a map of the activities and the regimes they touch, so build sequencing respects approvals. You'll know these better than I do; flagging for completeness and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Activity</w:t>
            </w:r>
          </w:p>
        </w:tc>
        <w:tc>
          <w:tcPr>
            <w:tcW w:type="dxa" w:w="480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Likely regime</w:t>
            </w:r>
          </w:p>
        </w:tc>
      </w:tr>
      <w:tr>
        <w:trPr>
          <w:tblHeader w:val="false"/>
        </w:trPr>
        <w:tc>
          <w:tcPr>
            <w:tcW w:type="dxa" w:w="456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Holding/transferring user fiat (USD), stored value, cards</w:t>
            </w:r>
          </w:p>
        </w:tc>
        <w:tc>
          <w:tcPr>
            <w:tcW w:type="dxa" w:w="48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CBUAE (payments / stored value) — typically via a licensed banking or EMI/issuing partner</w:t>
            </w:r>
          </w:p>
        </w:tc>
      </w:tr>
      <w:tr>
        <w:trPr>
          <w:tblHeader w:val="false"/>
        </w:trPr>
        <w:tc>
          <w:tcPr>
            <w:tcW w:type="dxa" w:w="456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USDC custody, Convert (on/off-ramp), lending</w:t>
            </w:r>
          </w:p>
        </w:tc>
        <w:tc>
          <w:tcPr>
            <w:tcW w:type="dxa" w:w="48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VARA VASP authorization for the relevant activities</w:t>
            </w:r>
          </w:p>
        </w:tc>
      </w:tr>
      <w:tr>
        <w:trPr>
          <w:tblHeader w:val="false"/>
        </w:trPr>
        <w:tc>
          <w:tcPr>
            <w:tcW w:type="dxa" w:w="456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 equities + tokenized securities</w:t>
            </w:r>
          </w:p>
        </w:tc>
        <w:tc>
          <w:tcPr>
            <w:tcW w:type="dxa" w:w="48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SCA (securities) — typically via a licensed brokerage partner; tokenized-securities treatment is the open item</w:t>
            </w:r>
          </w:p>
        </w:tc>
      </w:tr>
      <w:tr>
        <w:trPr>
          <w:tblHeader w:val="false"/>
        </w:trPr>
        <w:tc>
          <w:tcPr>
            <w:tcW w:type="dxa" w:w="456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Futures / perps (Hyperliquid)</w:t>
            </w:r>
          </w:p>
        </w:tc>
        <w:tc>
          <w:tcPr>
            <w:tcW w:type="dxa" w:w="48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Highest scrutiny; derivatives + crypto. Treat as a separate regulatory track</w:t>
            </w:r>
          </w:p>
        </w:tc>
      </w:tr>
      <w:tr>
        <w:trPr>
          <w:tblHeader w:val="false"/>
        </w:trPr>
        <w:tc>
          <w:tcPr>
            <w:tcW w:type="dxa" w:w="456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AML/CFT, sanctions, Travel Rule</w:t>
            </w:r>
          </w:p>
        </w:tc>
        <w:tc>
          <w:tcPr>
            <w:tcW w:type="dxa" w:w="48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Applies across both rails; on-chain Travel Rule on USDC flows</w:t>
            </w:r>
          </w:p>
        </w:tc>
      </w:tr>
    </w:tbl>
    <w:p>
      <w:pPr>
        <w:spacing w:after="80"/>
      </w:pPr>
    </w:p>
    <w:p>
      <w:pPr>
        <w:spacing w:after="120"/>
      </w:pPr>
      <w:r>
        <w:rPr>
          <w:b/>
          <w:bCs/>
          <w:sz w:val="21"/>
          <w:szCs w:val="21"/>
        </w:rPr>
        <w:t xml:space="preserve">Implication for phasing:</w:t>
      </w:r>
      <w:r>
        <w:rPr>
          <w:sz w:val="21"/>
          <w:szCs w:val="21"/>
        </w:rPr>
        <w:t xml:space="preserve"> Cash + Convert + Cards can ship first; Earn next; Invest after securities cover is in place; Futures last and on its own track.</w:t>
      </w:r>
    </w:p>
    <w:p>
      <w:pPr>
        <w:pStyle w:val="Heading1"/>
      </w:pPr>
      <w:r>
        <w:t xml:space="preserve">5. The dual-rail model (core concept)</w:t>
      </w:r>
    </w:p>
    <w:p>
      <w:pPr>
        <w:spacing w:after="120"/>
      </w:pPr>
      <w:r>
        <w:rPr>
          <w:sz w:val="21"/>
          <w:szCs w:val="21"/>
        </w:rPr>
        <w:t xml:space="preserve">Everything hangs off one principle: </w:t>
      </w:r>
      <w:r>
        <w:rPr>
          <w:b/>
          <w:bCs/>
          <w:sz w:val="21"/>
          <w:szCs w:val="21"/>
        </w:rPr>
        <w:t xml:space="preserve">a single internal ledger is the source of truth</w:t>
      </w:r>
      <w:r>
        <w:rPr>
          <w:sz w:val="21"/>
          <w:szCs w:val="21"/>
        </w:rPr>
        <w:t xml:space="preserve">, abstracting two external settlement layers.</w:t>
      </w:r>
    </w:p>
    <w:p>
      <w:pPr>
        <w:pStyle w:val="ListParagraph"/>
        <w:numPr>
          <w:ilvl w:val="0"/>
          <w:numId w:val="2"/>
        </w:numPr>
        <w:spacing w:after="60"/>
      </w:pPr>
      <w:r>
        <w:rPr>
          <w:b/>
          <w:bCs/>
          <w:sz w:val="21"/>
          <w:szCs w:val="21"/>
        </w:rPr>
        <w:t xml:space="preserve">Fiat rail:</w:t>
      </w:r>
      <w:r>
        <w:rPr>
          <w:sz w:val="21"/>
          <w:szCs w:val="21"/>
        </w:rPr>
        <w:t xml:space="preserve"> USD held at a banking/EMI partner. Ideally a virtual IBAN/account per user for clean SWIFT attribution.</w:t>
      </w:r>
    </w:p>
    <w:p>
      <w:pPr>
        <w:pStyle w:val="ListParagraph"/>
        <w:numPr>
          <w:ilvl w:val="0"/>
          <w:numId w:val="2"/>
        </w:numPr>
        <w:spacing w:after="60"/>
      </w:pPr>
      <w:r>
        <w:rPr>
          <w:b/>
          <w:bCs/>
          <w:sz w:val="21"/>
          <w:szCs w:val="21"/>
        </w:rPr>
        <w:t xml:space="preserve">Crypto rail:</w:t>
      </w:r>
      <w:r>
        <w:rPr>
          <w:sz w:val="21"/>
          <w:szCs w:val="21"/>
        </w:rPr>
        <w:t xml:space="preserve"> USDC on Base in a per-user </w:t>
      </w:r>
      <w:r>
        <w:rPr>
          <w:b/>
          <w:bCs/>
          <w:sz w:val="21"/>
          <w:szCs w:val="21"/>
        </w:rPr>
        <w:t xml:space="preserve">self-custodial</w:t>
      </w:r>
      <w:r>
        <w:rPr>
          <w:sz w:val="21"/>
          <w:szCs w:val="21"/>
        </w:rPr>
        <w:t xml:space="preserve"> wallet (embedded-wallet model — see §6.2).</w:t>
      </w:r>
    </w:p>
    <w:p>
      <w:pPr>
        <w:pStyle w:val="ListParagraph"/>
        <w:numPr>
          <w:ilvl w:val="0"/>
          <w:numId w:val="2"/>
        </w:numPr>
        <w:spacing w:after="60"/>
      </w:pPr>
      <w:r>
        <w:rPr>
          <w:b/>
          <w:bCs/>
          <w:sz w:val="21"/>
          <w:szCs w:val="21"/>
        </w:rPr>
        <w:t xml:space="preserve">Unified balance:</w:t>
      </w:r>
      <w:r>
        <w:rPr>
          <w:sz w:val="21"/>
          <w:szCs w:val="21"/>
        </w:rPr>
        <w:t xml:space="preserve"> the headline "USD balance" = fiat USD + USDC face value. USDC is displayed at $1.00 with de-peg handling (see §7.7).</w:t>
      </w:r>
    </w:p>
    <w:p>
      <w:pPr>
        <w:pStyle w:val="ListParagraph"/>
        <w:numPr>
          <w:ilvl w:val="0"/>
          <w:numId w:val="2"/>
        </w:numPr>
        <w:spacing w:after="60"/>
      </w:pPr>
      <w:r>
        <w:rPr>
          <w:b/>
          <w:bCs/>
          <w:sz w:val="21"/>
          <w:szCs w:val="21"/>
        </w:rPr>
        <w:t xml:space="preserve">Double-entry ledger:</w:t>
      </w:r>
      <w:r>
        <w:rPr>
          <w:sz w:val="21"/>
          <w:szCs w:val="21"/>
        </w:rPr>
        <w:t xml:space="preserve"> every movement (deposit, convert, card auth, invest, earn) posts to the internal ledger first; external settlement reconciles against it. Daily three-way reconciliation: ledger ↔ banking partner ↔ on-chain (+ brokerage/venue for invest/earn).</w:t>
      </w:r>
    </w:p>
    <w:p>
      <w:pPr>
        <w:spacing w:after="120"/>
      </w:pPr>
      <w:r>
        <w:rPr>
          <w:sz w:val="21"/>
          <w:szCs w:val="21"/>
        </w:rPr>
        <w:t xml:space="preserve">This ledger is the most important thing to get right and the easiest to underbuild. It is a Phase-0 requirement, not a feature.</w:t>
      </w:r>
    </w:p>
    <w:p>
      <w:pPr>
        <w:pStyle w:val="Heading1"/>
      </w:pPr>
      <w:r>
        <w:t xml:space="preserve">6. Functional requirements by module</w:t>
      </w:r>
    </w:p>
    <w:p>
      <w:pPr>
        <w:spacing w:after="120"/>
      </w:pPr>
      <w:r>
        <w:rPr>
          <w:sz w:val="21"/>
          <w:szCs w:val="21"/>
        </w:rPr>
        <w:t xml:space="preserve">Requirement IDs (FR-x.y) are for tracking. "Must" = MVP; "Should" = fast-follow; "Could" = later.</w:t>
      </w:r>
    </w:p>
    <w:p>
      <w:pPr>
        <w:pStyle w:val="Heading2"/>
      </w:pPr>
      <w:r>
        <w:t xml:space="preserve">6.1 Onboarding &amp; KYC</w:t>
      </w:r>
    </w:p>
    <w:p>
      <w:pPr>
        <w:pStyle w:val="ListParagraph"/>
        <w:numPr>
          <w:ilvl w:val="0"/>
          <w:numId w:val="2"/>
        </w:numPr>
        <w:spacing w:after="60"/>
      </w:pPr>
      <w:r>
        <w:rPr>
          <w:b/>
          <w:bCs/>
          <w:sz w:val="21"/>
          <w:szCs w:val="21"/>
        </w:rPr>
        <w:t xml:space="preserve">FR-1.1 (Must):</w:t>
      </w:r>
      <w:r>
        <w:rPr>
          <w:sz w:val="21"/>
          <w:szCs w:val="21"/>
        </w:rPr>
        <w:t xml:space="preserve"> Single onboarding flow → identity capture (Emirates ID + liveness/biometric), sanctions/PEP screening, risk scoring.</w:t>
      </w:r>
    </w:p>
    <w:p>
      <w:pPr>
        <w:pStyle w:val="ListParagraph"/>
        <w:numPr>
          <w:ilvl w:val="0"/>
          <w:numId w:val="2"/>
        </w:numPr>
        <w:spacing w:after="60"/>
      </w:pPr>
      <w:r>
        <w:rPr>
          <w:b/>
          <w:bCs/>
          <w:sz w:val="21"/>
          <w:szCs w:val="21"/>
        </w:rPr>
        <w:t xml:space="preserve">FR-1.2 (Must):</w:t>
      </w:r>
      <w:r>
        <w:rPr>
          <w:sz w:val="21"/>
          <w:szCs w:val="21"/>
        </w:rPr>
        <w:t xml:space="preserve"> On KYC pass, </w:t>
      </w:r>
      <w:r>
        <w:rPr>
          <w:b/>
          <w:bCs/>
          <w:sz w:val="21"/>
          <w:szCs w:val="21"/>
        </w:rPr>
        <w:t xml:space="preserve">atomically provision both</w:t>
      </w:r>
      <w:r>
        <w:rPr>
          <w:sz w:val="21"/>
          <w:szCs w:val="21"/>
        </w:rPr>
        <w:t xml:space="preserve"> the USD account and the USDC wallet. Treat as a saga: if one side fails, the account is pending, not partially live; retry/alert, never leave the user with one rail silently missing.</w:t>
      </w:r>
    </w:p>
    <w:p>
      <w:pPr>
        <w:pStyle w:val="ListParagraph"/>
        <w:numPr>
          <w:ilvl w:val="0"/>
          <w:numId w:val="2"/>
        </w:numPr>
        <w:spacing w:after="60"/>
      </w:pPr>
      <w:r>
        <w:rPr>
          <w:b/>
          <w:bCs/>
          <w:sz w:val="21"/>
          <w:szCs w:val="21"/>
        </w:rPr>
        <w:t xml:space="preserve">FR-1.3 (Must):</w:t>
      </w:r>
      <w:r>
        <w:rPr>
          <w:sz w:val="21"/>
          <w:szCs w:val="21"/>
        </w:rPr>
        <w:t xml:space="preserve"> KYC tiers. Base tier enables Cash + Convert + Cards. Enhanced due diligence gates higher limits and is </w:t>
      </w:r>
      <w:r>
        <w:rPr>
          <w:b/>
          <w:bCs/>
          <w:sz w:val="21"/>
          <w:szCs w:val="21"/>
        </w:rPr>
        <w:t xml:space="preserve">required</w:t>
      </w:r>
      <w:r>
        <w:rPr>
          <w:sz w:val="21"/>
          <w:szCs w:val="21"/>
        </w:rPr>
        <w:t xml:space="preserve"> before Invest/Futures (suitability/appropriateness on top).</w:t>
      </w:r>
    </w:p>
    <w:p>
      <w:pPr>
        <w:pStyle w:val="ListParagraph"/>
        <w:numPr>
          <w:ilvl w:val="0"/>
          <w:numId w:val="2"/>
        </w:numPr>
        <w:spacing w:after="60"/>
      </w:pPr>
      <w:r>
        <w:rPr>
          <w:b/>
          <w:bCs/>
          <w:sz w:val="21"/>
          <w:szCs w:val="21"/>
        </w:rPr>
        <w:t xml:space="preserve">FR-1.4 (Should):</w:t>
      </w:r>
      <w:r>
        <w:rPr>
          <w:sz w:val="21"/>
          <w:szCs w:val="21"/>
        </w:rPr>
        <w:t xml:space="preserve"> Re-KYC / periodic refresh and ongoing monitoring hooks.</w:t>
      </w:r>
    </w:p>
    <w:p>
      <w:pPr>
        <w:pStyle w:val="Heading2"/>
      </w:pPr>
      <w:r>
        <w:t xml:space="preserve">6.2 Accounts, Wallet &amp; Custody</w:t>
      </w:r>
    </w:p>
    <w:p>
      <w:pPr>
        <w:pStyle w:val="ListParagraph"/>
        <w:numPr>
          <w:ilvl w:val="0"/>
          <w:numId w:val="2"/>
        </w:numPr>
        <w:spacing w:after="60"/>
      </w:pPr>
      <w:r>
        <w:rPr>
          <w:b/>
          <w:bCs/>
          <w:sz w:val="21"/>
          <w:szCs w:val="21"/>
        </w:rPr>
        <w:t xml:space="preserve">FR-2.1 (Must):</w:t>
      </w:r>
      <w:r>
        <w:rPr>
          <w:sz w:val="21"/>
          <w:szCs w:val="21"/>
        </w:rPr>
        <w:t xml:space="preserve"> USD account with attributable inbound details (virtual IBAN preferred over a shared account + reference).</w:t>
      </w:r>
    </w:p>
    <w:p>
      <w:pPr>
        <w:pStyle w:val="ListParagraph"/>
        <w:numPr>
          <w:ilvl w:val="0"/>
          <w:numId w:val="2"/>
        </w:numPr>
        <w:spacing w:after="60"/>
      </w:pPr>
      <w:r>
        <w:rPr>
          <w:b/>
          <w:bCs/>
          <w:sz w:val="21"/>
          <w:szCs w:val="21"/>
        </w:rPr>
        <w:t xml:space="preserve">FR-2.2 (Must):</w:t>
      </w:r>
      <w:r>
        <w:rPr>
          <w:sz w:val="21"/>
          <w:szCs w:val="21"/>
        </w:rPr>
        <w:t xml:space="preserve"> USDC wallet on Base, </w:t>
      </w:r>
      <w:r>
        <w:rPr>
          <w:b/>
          <w:bCs/>
          <w:sz w:val="21"/>
          <w:szCs w:val="21"/>
        </w:rPr>
        <w:t xml:space="preserve">self-custodial</w:t>
      </w:r>
      <w:r>
        <w:rPr>
          <w:sz w:val="21"/>
          <w:szCs w:val="21"/>
        </w:rPr>
        <w:t xml:space="preserve"> via an embedded-wallet model. The user holds the keys; the private key is </w:t>
      </w:r>
      <w:r>
        <w:rPr>
          <w:b/>
          <w:bCs/>
          <w:sz w:val="21"/>
          <w:szCs w:val="21"/>
        </w:rPr>
        <w:t xml:space="preserve">recoverable and exportable in Settings</w:t>
      </w:r>
      <w:r>
        <w:rPr>
          <w:sz w:val="21"/>
          <w:szCs w:val="21"/>
        </w:rPr>
        <w:t xml:space="preserve">. Day-to-day signing and recovery are gated by </w:t>
      </w:r>
      <w:r>
        <w:rPr>
          <w:b/>
          <w:bCs/>
          <w:sz w:val="21"/>
          <w:szCs w:val="21"/>
        </w:rPr>
        <w:t xml:space="preserve">password + OTP</w:t>
      </w:r>
      <w:r>
        <w:rPr>
          <w:sz w:val="21"/>
          <w:szCs w:val="21"/>
        </w:rPr>
        <w:t xml:space="preserve">, so the UX feels like a normal app login while custody stays non-custodial (provider class: Privy / Turnkey / Web3Auth / equivalent).</w:t>
      </w:r>
    </w:p>
    <w:p>
      <w:pPr>
        <w:pStyle w:val="ListParagraph"/>
        <w:numPr>
          <w:ilvl w:val="0"/>
          <w:numId w:val="3"/>
        </w:numPr>
        <w:spacing w:after="60"/>
      </w:pPr>
      <w:r>
        <w:rPr>
          <w:sz w:val="21"/>
          <w:szCs w:val="21"/>
        </w:rPr>
        <w:t xml:space="preserve">Implications: key-loss recovery flow, export-key warning/education, and a clear liability boundary (user controls funds). Step-up auth (OTP) on signing and on key export.</w:t>
      </w:r>
    </w:p>
    <w:p>
      <w:pPr>
        <w:pStyle w:val="ListParagraph"/>
        <w:numPr>
          <w:ilvl w:val="0"/>
          <w:numId w:val="3"/>
        </w:numPr>
        <w:spacing w:after="60"/>
      </w:pPr>
      <w:r>
        <w:rPr>
          <w:sz w:val="21"/>
          <w:szCs w:val="21"/>
        </w:rPr>
        <w:t xml:space="preserve">Travel Rule and screening still apply to USDC flows even under self-custody (§7.3).</w:t>
      </w:r>
    </w:p>
    <w:p>
      <w:pPr>
        <w:pStyle w:val="ListParagraph"/>
        <w:numPr>
          <w:ilvl w:val="0"/>
          <w:numId w:val="2"/>
        </w:numPr>
        <w:spacing w:after="60"/>
      </w:pPr>
      <w:r>
        <w:rPr>
          <w:b/>
          <w:bCs/>
          <w:sz w:val="21"/>
          <w:szCs w:val="21"/>
        </w:rPr>
        <w:t xml:space="preserve">FR-2.3 (Must):</w:t>
      </w:r>
      <w:r>
        <w:rPr>
          <w:sz w:val="21"/>
          <w:szCs w:val="21"/>
        </w:rPr>
        <w:t xml:space="preserve"> Each wallet exposes a deposit address for external USDC inbound (Base only at launch; reject/warn on wrong-chain sends).</w:t>
      </w:r>
    </w:p>
    <w:p>
      <w:pPr>
        <w:pStyle w:val="ListParagraph"/>
        <w:numPr>
          <w:ilvl w:val="0"/>
          <w:numId w:val="2"/>
        </w:numPr>
        <w:spacing w:after="60"/>
      </w:pPr>
      <w:r>
        <w:rPr>
          <w:b/>
          <w:bCs/>
          <w:sz w:val="21"/>
          <w:szCs w:val="21"/>
        </w:rPr>
        <w:t xml:space="preserve">FR-2.4 (Should):</w:t>
      </w:r>
      <w:r>
        <w:rPr>
          <w:sz w:val="21"/>
          <w:szCs w:val="21"/>
        </w:rPr>
        <w:t xml:space="preserve"> Account statements (combined and per-rail), exportable.</w:t>
      </w:r>
    </w:p>
    <w:p>
      <w:pPr>
        <w:pStyle w:val="Heading2"/>
      </w:pPr>
      <w:r>
        <w:t xml:space="preserve">6.3 Fund / Load</w:t>
      </w:r>
    </w:p>
    <w:p>
      <w:pPr>
        <w:pStyle w:val="ListParagraph"/>
        <w:numPr>
          <w:ilvl w:val="0"/>
          <w:numId w:val="2"/>
        </w:numPr>
        <w:spacing w:after="60"/>
      </w:pPr>
      <w:r>
        <w:rPr>
          <w:b/>
          <w:bCs/>
          <w:sz w:val="21"/>
          <w:szCs w:val="21"/>
        </w:rPr>
        <w:t xml:space="preserve">FR-3.1 (Must):</w:t>
      </w:r>
      <w:r>
        <w:rPr>
          <w:sz w:val="21"/>
          <w:szCs w:val="21"/>
        </w:rPr>
        <w:t xml:space="preserve"> </w:t>
      </w:r>
      <w:r>
        <w:rPr>
          <w:b/>
          <w:bCs/>
          <w:sz w:val="21"/>
          <w:szCs w:val="21"/>
        </w:rPr>
        <w:t xml:space="preserve">SWIFT inbound USD</w:t>
      </w:r>
      <w:r>
        <w:rPr>
          <w:sz w:val="21"/>
          <w:szCs w:val="21"/>
        </w:rPr>
        <w:t xml:space="preserve"> → credits USD account; attribute via virtual IBAN; show pending → settled states.</w:t>
      </w:r>
    </w:p>
    <w:p>
      <w:pPr>
        <w:pStyle w:val="ListParagraph"/>
        <w:numPr>
          <w:ilvl w:val="0"/>
          <w:numId w:val="2"/>
        </w:numPr>
        <w:spacing w:after="60"/>
      </w:pPr>
      <w:r>
        <w:rPr>
          <w:b/>
          <w:bCs/>
          <w:sz w:val="21"/>
          <w:szCs w:val="21"/>
        </w:rPr>
        <w:t xml:space="preserve">FR-3.2 (Must):</w:t>
      </w:r>
      <w:r>
        <w:rPr>
          <w:sz w:val="21"/>
          <w:szCs w:val="21"/>
        </w:rPr>
        <w:t xml:space="preserve"> </w:t>
      </w:r>
      <w:r>
        <w:rPr>
          <w:b/>
          <w:bCs/>
          <w:sz w:val="21"/>
          <w:szCs w:val="21"/>
        </w:rPr>
        <w:t xml:space="preserve">AED → USD onramp.</w:t>
      </w:r>
      <w:r>
        <w:rPr>
          <w:sz w:val="21"/>
          <w:szCs w:val="21"/>
        </w:rPr>
        <w:t xml:space="preserve"> User funds in AED via local rail (instant payment / card / bank transfer), app FX's AED→USD and credits USD account. Show all-in rate and fee before confirm.</w:t>
      </w:r>
    </w:p>
    <w:p>
      <w:pPr>
        <w:pStyle w:val="ListParagraph"/>
        <w:numPr>
          <w:ilvl w:val="0"/>
          <w:numId w:val="2"/>
        </w:numPr>
        <w:spacing w:after="60"/>
      </w:pPr>
      <w:r>
        <w:rPr>
          <w:b/>
          <w:bCs/>
          <w:sz w:val="21"/>
          <w:szCs w:val="21"/>
        </w:rPr>
        <w:t xml:space="preserve">FR-3.3 (Must):</w:t>
      </w:r>
      <w:r>
        <w:rPr>
          <w:sz w:val="21"/>
          <w:szCs w:val="21"/>
        </w:rPr>
        <w:t xml:space="preserve"> </w:t>
      </w:r>
      <w:r>
        <w:rPr>
          <w:b/>
          <w:bCs/>
          <w:sz w:val="21"/>
          <w:szCs w:val="21"/>
        </w:rPr>
        <w:t xml:space="preserve">USDC deposit</w:t>
      </w:r>
      <w:r>
        <w:rPr>
          <w:sz w:val="21"/>
          <w:szCs w:val="21"/>
        </w:rPr>
        <w:t xml:space="preserve"> to the user's Base address; auto-credit on confirmation; clear confirmation-count/finality UX.</w:t>
      </w:r>
    </w:p>
    <w:p>
      <w:pPr>
        <w:pStyle w:val="ListParagraph"/>
        <w:numPr>
          <w:ilvl w:val="0"/>
          <w:numId w:val="2"/>
        </w:numPr>
        <w:spacing w:after="60"/>
      </w:pPr>
      <w:r>
        <w:rPr>
          <w:b/>
          <w:bCs/>
          <w:sz w:val="21"/>
          <w:szCs w:val="21"/>
        </w:rPr>
        <w:t xml:space="preserve">FR-3.4 (Should):</w:t>
      </w:r>
      <w:r>
        <w:rPr>
          <w:sz w:val="21"/>
          <w:szCs w:val="21"/>
        </w:rPr>
        <w:t xml:space="preserve"> AED → USDC direct (onramp straight to stablecoin) once Convert plumbing exists.</w:t>
      </w:r>
    </w:p>
    <w:p>
      <w:pPr>
        <w:pStyle w:val="ListParagraph"/>
        <w:numPr>
          <w:ilvl w:val="0"/>
          <w:numId w:val="2"/>
        </w:numPr>
        <w:spacing w:after="60"/>
      </w:pPr>
      <w:r>
        <w:rPr>
          <w:b/>
          <w:bCs/>
          <w:sz w:val="21"/>
          <w:szCs w:val="21"/>
        </w:rPr>
        <w:t xml:space="preserve">FR-3.5 (Could):</w:t>
      </w:r>
      <w:r>
        <w:rPr>
          <w:sz w:val="21"/>
          <w:szCs w:val="21"/>
        </w:rPr>
        <w:t xml:space="preserve"> Card-funded top-ups.</w:t>
      </w:r>
    </w:p>
    <w:p>
      <w:pPr>
        <w:pStyle w:val="Heading2"/>
      </w:pPr>
      <w:r>
        <w:t xml:space="preserve">6.4 Convert (USD ↔ USDC) — the signature flow</w:t>
      </w:r>
    </w:p>
    <w:p>
      <w:pPr>
        <w:pStyle w:val="ListParagraph"/>
        <w:numPr>
          <w:ilvl w:val="0"/>
          <w:numId w:val="2"/>
        </w:numPr>
        <w:spacing w:after="60"/>
      </w:pPr>
      <w:r>
        <w:rPr>
          <w:b/>
          <w:bCs/>
          <w:sz w:val="21"/>
          <w:szCs w:val="21"/>
        </w:rPr>
        <w:t xml:space="preserve">FR-4.1 (Must):</w:t>
      </w:r>
      <w:r>
        <w:rPr>
          <w:sz w:val="21"/>
          <w:szCs w:val="21"/>
        </w:rPr>
        <w:t xml:space="preserve"> One screen, two inputs, a single rate line, one button. USD→USDC and USDC→USD.</w:t>
      </w:r>
    </w:p>
    <w:p>
      <w:pPr>
        <w:pStyle w:val="ListParagraph"/>
        <w:numPr>
          <w:ilvl w:val="0"/>
          <w:numId w:val="2"/>
        </w:numPr>
        <w:spacing w:after="60"/>
      </w:pPr>
      <w:r>
        <w:rPr>
          <w:b/>
          <w:bCs/>
          <w:sz w:val="21"/>
          <w:szCs w:val="21"/>
        </w:rPr>
        <w:t xml:space="preserve">FR-4.2 (Must):</w:t>
      </w:r>
      <w:r>
        <w:rPr>
          <w:sz w:val="21"/>
          <w:szCs w:val="21"/>
        </w:rPr>
        <w:t xml:space="preserve"> Backend on/off-ramp executes (mint/redeem or buy/sell via partner — e.g., Bridge / BVNK / Zero Hash class of provider). User never sees the plumbing.</w:t>
      </w:r>
    </w:p>
    <w:p>
      <w:pPr>
        <w:pStyle w:val="ListParagraph"/>
        <w:numPr>
          <w:ilvl w:val="0"/>
          <w:numId w:val="2"/>
        </w:numPr>
        <w:spacing w:after="60"/>
      </w:pPr>
      <w:r>
        <w:rPr>
          <w:b/>
          <w:bCs/>
          <w:sz w:val="21"/>
          <w:szCs w:val="21"/>
        </w:rPr>
        <w:t xml:space="preserve">FR-4.3 (Must):</w:t>
      </w:r>
      <w:r>
        <w:rPr>
          <w:sz w:val="21"/>
          <w:szCs w:val="21"/>
        </w:rPr>
        <w:t xml:space="preserve"> Show effective rate and fee/spread before confirm; near-1:1; lock the quote for a short window.</w:t>
      </w:r>
    </w:p>
    <w:p>
      <w:pPr>
        <w:pStyle w:val="ListParagraph"/>
        <w:numPr>
          <w:ilvl w:val="0"/>
          <w:numId w:val="2"/>
        </w:numPr>
        <w:spacing w:after="60"/>
      </w:pPr>
      <w:r>
        <w:rPr>
          <w:b/>
          <w:bCs/>
          <w:sz w:val="21"/>
          <w:szCs w:val="21"/>
        </w:rPr>
        <w:t xml:space="preserve">FR-4.4 (Must):</w:t>
      </w:r>
      <w:r>
        <w:rPr>
          <w:sz w:val="21"/>
          <w:szCs w:val="21"/>
        </w:rPr>
        <w:t xml:space="preserve"> </w:t>
      </w:r>
      <w:r>
        <w:rPr>
          <w:b/>
          <w:bCs/>
          <w:sz w:val="21"/>
          <w:szCs w:val="21"/>
        </w:rPr>
        <w:t xml:space="preserve">Settle only when the rail confirms</w:t>
      </w:r>
      <w:r>
        <w:rPr>
          <w:sz w:val="21"/>
          <w:szCs w:val="21"/>
        </w:rPr>
        <w:t xml:space="preserve"> — no back-settlement float. The internal ledger posts when the on/off-ramp leg actually settles. UX shows honest, clear states (quoting → submitted → settling → done) rather than a fake-instant balance. Optimize perceived speed by picking fast rails and tight quote windows, not by fronting liquidity.</w:t>
      </w:r>
    </w:p>
    <w:p>
      <w:pPr>
        <w:pStyle w:val="ListParagraph"/>
        <w:numPr>
          <w:ilvl w:val="0"/>
          <w:numId w:val="2"/>
        </w:numPr>
        <w:spacing w:after="60"/>
      </w:pPr>
      <w:r>
        <w:rPr>
          <w:b/>
          <w:bCs/>
          <w:sz w:val="21"/>
          <w:szCs w:val="21"/>
        </w:rPr>
        <w:t xml:space="preserve">FR-4.5 (Should):</w:t>
      </w:r>
      <w:r>
        <w:rPr>
          <w:sz w:val="21"/>
          <w:szCs w:val="21"/>
        </w:rPr>
        <w:t xml:space="preserve"> Convert as a primitive other features reuse (e.g., crypto-card auth-time conversion, AED→USDC).</w:t>
      </w:r>
    </w:p>
    <w:p>
      <w:pPr>
        <w:pStyle w:val="Heading2"/>
      </w:pPr>
      <w:r>
        <w:t xml:space="preserve">6.5 Spend — Cards</w:t>
      </w:r>
    </w:p>
    <w:p>
      <w:pPr>
        <w:spacing w:after="120"/>
      </w:pPr>
      <w:r>
        <w:rPr>
          <w:sz w:val="21"/>
          <w:szCs w:val="21"/>
        </w:rPr>
        <w:t xml:space="preserve">Two cards, one per rail.</w:t>
      </w:r>
    </w:p>
    <w:p>
      <w:pPr>
        <w:pStyle w:val="ListParagraph"/>
        <w:numPr>
          <w:ilvl w:val="0"/>
          <w:numId w:val="2"/>
        </w:numPr>
        <w:spacing w:after="60"/>
      </w:pPr>
      <w:r>
        <w:rPr>
          <w:b/>
          <w:bCs/>
          <w:sz w:val="21"/>
          <w:szCs w:val="21"/>
        </w:rPr>
        <w:t xml:space="preserve">FR-5.1 (Must):</w:t>
      </w:r>
      <w:r>
        <w:rPr>
          <w:sz w:val="21"/>
          <w:szCs w:val="21"/>
        </w:rPr>
        <w:t xml:space="preserve"> </w:t>
      </w:r>
      <w:r>
        <w:rPr>
          <w:b/>
          <w:bCs/>
          <w:sz w:val="21"/>
          <w:szCs w:val="21"/>
        </w:rPr>
        <w:t xml:space="preserve">Fiat card</w:t>
      </w:r>
      <w:r>
        <w:rPr>
          <w:sz w:val="21"/>
          <w:szCs w:val="21"/>
        </w:rPr>
        <w:t xml:space="preserve"> settles directly from the USD account. Non-USD purchases FX at point of sale.</w:t>
      </w:r>
    </w:p>
    <w:p>
      <w:pPr>
        <w:pStyle w:val="ListParagraph"/>
        <w:numPr>
          <w:ilvl w:val="0"/>
          <w:numId w:val="2"/>
        </w:numPr>
        <w:spacing w:after="60"/>
      </w:pPr>
      <w:r>
        <w:rPr>
          <w:b/>
          <w:bCs/>
          <w:sz w:val="21"/>
          <w:szCs w:val="21"/>
        </w:rPr>
        <w:t xml:space="preserve">FR-5.2 (Must):</w:t>
      </w:r>
      <w:r>
        <w:rPr>
          <w:sz w:val="21"/>
          <w:szCs w:val="21"/>
        </w:rPr>
        <w:t xml:space="preserve"> </w:t>
      </w:r>
      <w:r>
        <w:rPr>
          <w:b/>
          <w:bCs/>
          <w:sz w:val="21"/>
          <w:szCs w:val="21"/>
        </w:rPr>
        <w:t xml:space="preserve">Crypto card</w:t>
      </w:r>
      <w:r>
        <w:rPr>
          <w:sz w:val="21"/>
          <w:szCs w:val="21"/>
        </w:rPr>
        <w:t xml:space="preserve"> spends USDC via </w:t>
      </w:r>
      <w:r>
        <w:rPr>
          <w:b/>
          <w:bCs/>
          <w:sz w:val="21"/>
          <w:szCs w:val="21"/>
        </w:rPr>
        <w:t xml:space="preserve">auth-time conversion</w:t>
      </w:r>
      <w:r>
        <w:rPr>
          <w:sz w:val="21"/>
          <w:szCs w:val="21"/>
        </w:rPr>
        <w:t xml:space="preserve">: at authorization, convert the needed USDC→USD so the merchant is paid in fiat and the user's USDC balance debits. User keeps holding USDC until the moment of spend.</w:t>
      </w:r>
    </w:p>
    <w:p>
      <w:pPr>
        <w:pStyle w:val="ListParagraph"/>
        <w:numPr>
          <w:ilvl w:val="0"/>
          <w:numId w:val="2"/>
        </w:numPr>
        <w:spacing w:after="60"/>
      </w:pPr>
      <w:r>
        <w:rPr>
          <w:b/>
          <w:bCs/>
          <w:sz w:val="21"/>
          <w:szCs w:val="21"/>
        </w:rPr>
        <w:t xml:space="preserve">FR-5.3 (Must):</w:t>
      </w:r>
      <w:r>
        <w:rPr>
          <w:sz w:val="21"/>
          <w:szCs w:val="21"/>
        </w:rPr>
        <w:t xml:space="preserve"> Issuing via card partner (e.g., Marqeta / regional issuer); virtual card instant at activation, physical optional.</w:t>
      </w:r>
    </w:p>
    <w:p>
      <w:pPr>
        <w:pStyle w:val="ListParagraph"/>
        <w:numPr>
          <w:ilvl w:val="0"/>
          <w:numId w:val="2"/>
        </w:numPr>
        <w:spacing w:after="60"/>
      </w:pPr>
      <w:r>
        <w:rPr>
          <w:b/>
          <w:bCs/>
          <w:sz w:val="21"/>
          <w:szCs w:val="21"/>
        </w:rPr>
        <w:t xml:space="preserve">FR-5.4 (Must):</w:t>
      </w:r>
      <w:r>
        <w:rPr>
          <w:sz w:val="21"/>
          <w:szCs w:val="21"/>
        </w:rPr>
        <w:t xml:space="preserve"> Per-card controls: freeze/unfreeze, limits, channel toggles, real-time notifications.</w:t>
      </w:r>
    </w:p>
    <w:p>
      <w:pPr>
        <w:pStyle w:val="ListParagraph"/>
        <w:numPr>
          <w:ilvl w:val="0"/>
          <w:numId w:val="2"/>
        </w:numPr>
        <w:spacing w:after="60"/>
      </w:pPr>
      <w:r>
        <w:rPr>
          <w:b/>
          <w:bCs/>
          <w:sz w:val="21"/>
          <w:szCs w:val="21"/>
        </w:rPr>
        <w:t xml:space="preserve">FR-5.5 (Should):</w:t>
      </w:r>
      <w:r>
        <w:rPr>
          <w:sz w:val="21"/>
          <w:szCs w:val="21"/>
        </w:rPr>
        <w:t xml:space="preserve"> Let the user set a default spend rail and switch per transaction.</w:t>
      </w:r>
    </w:p>
    <w:p>
      <w:pPr>
        <w:pStyle w:val="Heading2"/>
      </w:pPr>
      <w:r>
        <w:t xml:space="preserve">6.6 Invest</w:t>
      </w:r>
    </w:p>
    <w:p>
      <w:pPr>
        <w:spacing w:after="120"/>
      </w:pPr>
      <w:r>
        <w:rPr>
          <w:sz w:val="21"/>
          <w:szCs w:val="21"/>
        </w:rPr>
        <w:t xml:space="preserve">Mirrors the dual rail: fiat buys real securities, stablecoin buys tokenized ones.</w:t>
      </w:r>
    </w:p>
    <w:p>
      <w:pPr>
        <w:pStyle w:val="ListParagraph"/>
        <w:numPr>
          <w:ilvl w:val="0"/>
          <w:numId w:val="2"/>
        </w:numPr>
        <w:spacing w:after="60"/>
      </w:pPr>
      <w:r>
        <w:rPr>
          <w:b/>
          <w:bCs/>
          <w:sz w:val="21"/>
          <w:szCs w:val="21"/>
        </w:rPr>
        <w:t xml:space="preserve">FR-6.1 (Must):</w:t>
      </w:r>
      <w:r>
        <w:rPr>
          <w:sz w:val="21"/>
          <w:szCs w:val="21"/>
        </w:rPr>
        <w:t xml:space="preserve"> </w:t>
      </w:r>
      <w:r>
        <w:rPr>
          <w:b/>
          <w:bCs/>
          <w:sz w:val="21"/>
          <w:szCs w:val="21"/>
        </w:rPr>
        <w:t xml:space="preserve">US equities via fiat</w:t>
      </w:r>
      <w:r>
        <w:rPr>
          <w:sz w:val="21"/>
          <w:szCs w:val="21"/>
        </w:rPr>
        <w:t xml:space="preserve"> — fractional shares through a brokerage partner (e.g., Alpaca / InvestmentMarket-class). Funded from USD account.</w:t>
      </w:r>
    </w:p>
    <w:p>
      <w:pPr>
        <w:pStyle w:val="ListParagraph"/>
        <w:numPr>
          <w:ilvl w:val="0"/>
          <w:numId w:val="2"/>
        </w:numPr>
        <w:spacing w:after="60"/>
      </w:pPr>
      <w:r>
        <w:rPr>
          <w:b/>
          <w:bCs/>
          <w:sz w:val="21"/>
          <w:szCs w:val="21"/>
        </w:rPr>
        <w:t xml:space="preserve">FR-6.2 (Should):</w:t>
      </w:r>
      <w:r>
        <w:rPr>
          <w:sz w:val="21"/>
          <w:szCs w:val="21"/>
        </w:rPr>
        <w:t xml:space="preserve"> </w:t>
      </w:r>
      <w:r>
        <w:rPr>
          <w:b/>
          <w:bCs/>
          <w:sz w:val="21"/>
          <w:szCs w:val="21"/>
        </w:rPr>
        <w:t xml:space="preserve">Tokenized US equities + commodities via USDC</w:t>
      </w:r>
      <w:r>
        <w:rPr>
          <w:sz w:val="21"/>
          <w:szCs w:val="21"/>
        </w:rPr>
        <w:t xml:space="preserve"> — on-chain tokenized assets settled in USDC, via </w:t>
      </w:r>
      <w:r>
        <w:rPr>
          <w:b/>
          <w:bCs/>
          <w:sz w:val="21"/>
          <w:szCs w:val="21"/>
        </w:rPr>
        <w:t xml:space="preserve">xStocks</w:t>
      </w:r>
      <w:r>
        <w:rPr>
          <w:sz w:val="21"/>
          <w:szCs w:val="21"/>
        </w:rPr>
        <w:t xml:space="preserve"> as the tokenized-securities provider. SCA treatment of tokenized securities remains the regulatory item to close before launch.</w:t>
      </w:r>
    </w:p>
    <w:p>
      <w:pPr>
        <w:pStyle w:val="ListParagraph"/>
        <w:numPr>
          <w:ilvl w:val="0"/>
          <w:numId w:val="2"/>
        </w:numPr>
        <w:spacing w:after="60"/>
      </w:pPr>
      <w:r>
        <w:rPr>
          <w:b/>
          <w:bCs/>
          <w:sz w:val="21"/>
          <w:szCs w:val="21"/>
        </w:rPr>
        <w:t xml:space="preserve">FR-6.3 (Must):</w:t>
      </w:r>
      <w:r>
        <w:rPr>
          <w:sz w:val="21"/>
          <w:szCs w:val="21"/>
        </w:rPr>
        <w:t xml:space="preserve"> Appropriateness/suitability gate + risk disclosures before first trade; enhanced KYC required.</w:t>
      </w:r>
    </w:p>
    <w:p>
      <w:pPr>
        <w:pStyle w:val="ListParagraph"/>
        <w:numPr>
          <w:ilvl w:val="0"/>
          <w:numId w:val="2"/>
        </w:numPr>
        <w:spacing w:after="60"/>
      </w:pPr>
      <w:r>
        <w:rPr>
          <w:b/>
          <w:bCs/>
          <w:sz w:val="21"/>
          <w:szCs w:val="21"/>
        </w:rPr>
        <w:t xml:space="preserve">FR-6.4 (Must):</w:t>
      </w:r>
      <w:r>
        <w:rPr>
          <w:sz w:val="21"/>
          <w:szCs w:val="21"/>
        </w:rPr>
        <w:t xml:space="preserve"> Holdings, cost basis, P&amp;L; positions feed the unified portfolio view.</w:t>
      </w:r>
    </w:p>
    <w:p>
      <w:pPr>
        <w:pStyle w:val="ListParagraph"/>
        <w:numPr>
          <w:ilvl w:val="0"/>
          <w:numId w:val="2"/>
        </w:numPr>
        <w:spacing w:after="60"/>
      </w:pPr>
      <w:r>
        <w:rPr>
          <w:b/>
          <w:bCs/>
          <w:sz w:val="21"/>
          <w:szCs w:val="21"/>
        </w:rPr>
        <w:t xml:space="preserve">FR-6.5 (Should):</w:t>
      </w:r>
      <w:r>
        <w:rPr>
          <w:sz w:val="21"/>
          <w:szCs w:val="21"/>
        </w:rPr>
        <w:t xml:space="preserve"> Reconcile both sub-rails into one "Invest" portfolio line regardless of underlying instrument type.</w:t>
      </w:r>
    </w:p>
    <w:p>
      <w:pPr>
        <w:pStyle w:val="Heading2"/>
      </w:pPr>
      <w:r>
        <w:t xml:space="preserve">6.7 Futures (Hyperliquid builder codes)</w:t>
      </w:r>
    </w:p>
    <w:p>
      <w:pPr>
        <w:pStyle w:val="ListParagraph"/>
        <w:numPr>
          <w:ilvl w:val="0"/>
          <w:numId w:val="2"/>
        </w:numPr>
        <w:spacing w:after="60"/>
      </w:pPr>
      <w:r>
        <w:rPr>
          <w:b/>
          <w:bCs/>
          <w:sz w:val="21"/>
          <w:szCs w:val="21"/>
        </w:rPr>
        <w:t xml:space="preserve">FR-7.1 (Confirmed; later phase):</w:t>
      </w:r>
      <w:r>
        <w:rPr>
          <w:sz w:val="21"/>
          <w:szCs w:val="21"/>
        </w:rPr>
        <w:t xml:space="preserve"> Trade </w:t>
      </w:r>
      <w:r>
        <w:rPr>
          <w:b/>
          <w:bCs/>
          <w:sz w:val="21"/>
          <w:szCs w:val="21"/>
        </w:rPr>
        <w:t xml:space="preserve">stock, commodity, and pre-IPO futures</w:t>
      </w:r>
      <w:r>
        <w:rPr>
          <w:sz w:val="21"/>
          <w:szCs w:val="21"/>
        </w:rPr>
        <w:t xml:space="preserve"> routed to Hyperliquid via builder codes; USDC as collateral. In scope, restricted to </w:t>
      </w:r>
      <w:r>
        <w:rPr>
          <w:b/>
          <w:bCs/>
          <w:sz w:val="21"/>
          <w:szCs w:val="21"/>
        </w:rPr>
        <w:t xml:space="preserve">UAE residents</w:t>
      </w:r>
      <w:r>
        <w:rPr>
          <w:sz w:val="21"/>
          <w:szCs w:val="21"/>
        </w:rPr>
        <w:t xml:space="preserve">.</w:t>
      </w:r>
    </w:p>
    <w:p>
      <w:pPr>
        <w:pStyle w:val="ListParagraph"/>
        <w:numPr>
          <w:ilvl w:val="0"/>
          <w:numId w:val="2"/>
        </w:numPr>
        <w:spacing w:after="60"/>
      </w:pPr>
      <w:r>
        <w:rPr>
          <w:b/>
          <w:bCs/>
          <w:sz w:val="21"/>
          <w:szCs w:val="21"/>
        </w:rPr>
        <w:t xml:space="preserve">FR-7.2 (Must):</w:t>
      </w:r>
      <w:r>
        <w:rPr>
          <w:sz w:val="21"/>
          <w:szCs w:val="21"/>
        </w:rPr>
        <w:t xml:space="preserve"> Margin, leverage caps, liquidation handling, and prominent risk disclosures. Hard appropriateness gate; this is the highest-risk surface in the app.</w:t>
      </w:r>
    </w:p>
    <w:p>
      <w:pPr>
        <w:pStyle w:val="ListParagraph"/>
        <w:numPr>
          <w:ilvl w:val="0"/>
          <w:numId w:val="2"/>
        </w:numPr>
        <w:spacing w:after="60"/>
      </w:pPr>
      <w:r>
        <w:rPr>
          <w:b/>
          <w:bCs/>
          <w:sz w:val="21"/>
          <w:szCs w:val="21"/>
        </w:rPr>
        <w:t xml:space="preserve">FR-7.3 (Must):</w:t>
      </w:r>
      <w:r>
        <w:rPr>
          <w:sz w:val="21"/>
          <w:szCs w:val="21"/>
        </w:rPr>
        <w:t xml:space="preserve"> Real-time position/PnL/liquidation-price display; isolate futures collateral from spendable balance.</w:t>
      </w:r>
    </w:p>
    <w:p>
      <w:pPr>
        <w:pStyle w:val="ListParagraph"/>
        <w:numPr>
          <w:ilvl w:val="0"/>
          <w:numId w:val="2"/>
        </w:numPr>
        <w:spacing w:after="60"/>
      </w:pPr>
      <w:r>
        <w:rPr>
          <w:b/>
          <w:bCs/>
          <w:sz w:val="21"/>
          <w:szCs w:val="21"/>
        </w:rPr>
        <w:t xml:space="preserve">FR-7.4:</w:t>
      </w:r>
      <w:r>
        <w:rPr>
          <w:sz w:val="21"/>
          <w:szCs w:val="21"/>
        </w:rPr>
        <w:t xml:space="preserve"> Builder-code fee is a revenue line (§9).</w:t>
      </w:r>
    </w:p>
    <w:p>
      <w:pPr>
        <w:pStyle w:val="ListParagraph"/>
        <w:numPr>
          <w:ilvl w:val="0"/>
          <w:numId w:val="2"/>
        </w:numPr>
        <w:spacing w:after="60"/>
      </w:pPr>
      <w:r>
        <w:rPr>
          <w:b/>
          <w:bCs/>
          <w:sz w:val="21"/>
          <w:szCs w:val="21"/>
        </w:rPr>
        <w:t xml:space="preserve">Sequencing:</w:t>
      </w:r>
      <w:r>
        <w:rPr>
          <w:sz w:val="21"/>
          <w:szCs w:val="21"/>
        </w:rPr>
        <w:t xml:space="preserve"> still ships last (Phase 4), behind explicit opt-in, kept visually and functionally separate from everyday banking.</w:t>
      </w:r>
    </w:p>
    <w:p>
      <w:pPr>
        <w:pStyle w:val="Heading2"/>
      </w:pPr>
      <w:r>
        <w:t xml:space="preserve">6.8 Earn</w:t>
      </w:r>
    </w:p>
    <w:p>
      <w:pPr>
        <w:spacing w:after="120"/>
      </w:pPr>
      <w:r>
        <w:rPr>
          <w:sz w:val="21"/>
          <w:szCs w:val="21"/>
        </w:rPr>
        <w:t xml:space="preserve">Opt-in yield on idle balances; clearly tiered by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5"/>
        <w:gridCol w:w="900"/>
        <w:gridCol w:w="900"/>
        <w:gridCol w:w="3464"/>
        <w:gridCol w:w="2941"/>
      </w:tblGrid>
      <w:tr>
        <w:trPr>
          <w:tblHeader/>
        </w:trPr>
        <w:tc>
          <w:tcPr>
            <w:tcW w:type="dxa" w:w="1155"/>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Product</w:t>
            </w:r>
          </w:p>
        </w:tc>
        <w:tc>
          <w:tcPr>
            <w:tcW w:type="dxa" w:w="90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Rail</w:t>
            </w:r>
          </w:p>
        </w:tc>
        <w:tc>
          <w:tcPr>
            <w:tcW w:type="dxa" w:w="90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Target rate</w:t>
            </w:r>
          </w:p>
        </w:tc>
        <w:tc>
          <w:tcPr>
            <w:tcW w:type="dxa" w:w="3464"/>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Mechanism</w:t>
            </w:r>
          </w:p>
        </w:tc>
        <w:tc>
          <w:tcPr>
            <w:tcW w:type="dxa" w:w="2941"/>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Risk note</w:t>
            </w:r>
          </w:p>
        </w:tc>
      </w:tr>
      <w:tr>
        <w:trPr>
          <w:tblHeader w:val="false"/>
        </w:trPr>
        <w:tc>
          <w:tcPr>
            <w:tcW w:type="dxa" w:w="1155"/>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Fiat treasury</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USD</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~3%</w:t>
            </w:r>
          </w:p>
        </w:tc>
        <w:tc>
          <w:tcPr>
            <w:tcW w:type="dxa" w:w="3464"/>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Sweep idle USD into T-bills / MMF via treasury partner</w:t>
            </w:r>
          </w:p>
        </w:tc>
        <w:tc>
          <w:tcPr>
            <w:tcW w:type="dxa" w:w="294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Lowest risk; opt-in</w:t>
            </w:r>
          </w:p>
        </w:tc>
      </w:tr>
      <w:tr>
        <w:trPr>
          <w:tblHeader w:val="false"/>
        </w:trPr>
        <w:tc>
          <w:tcPr>
            <w:tcW w:type="dxa" w:w="1155"/>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Stablecoin treasury</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USDC</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~4%</w:t>
            </w:r>
          </w:p>
        </w:tc>
        <w:tc>
          <w:tcPr>
            <w:tcW w:type="dxa" w:w="3464"/>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Tokenized US-treasury products (e.g., Ondo / BUIDL class)</w:t>
            </w:r>
          </w:p>
        </w:tc>
        <w:tc>
          <w:tcPr>
            <w:tcW w:type="dxa" w:w="294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Low risk; on-chain treasury exposure</w:t>
            </w:r>
          </w:p>
        </w:tc>
      </w:tr>
      <w:tr>
        <w:trPr>
          <w:tblHeader w:val="false"/>
        </w:trPr>
        <w:tc>
          <w:tcPr>
            <w:tcW w:type="dxa" w:w="1155"/>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Stablecoin lending</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USDC</w:t>
            </w:r>
          </w:p>
        </w:tc>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~6% (variable)</w:t>
            </w:r>
          </w:p>
        </w:tc>
        <w:tc>
          <w:tcPr>
            <w:tcW w:type="dxa" w:w="3464"/>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Lend USDC into a </w:t>
            </w:r>
            <w:r>
              <w:rPr>
                <w:b/>
                <w:bCs/>
                <w:sz w:val="19"/>
                <w:szCs w:val="19"/>
              </w:rPr>
              <w:t xml:space="preserve">Morpho (MetaMorpho) vault</w:t>
            </w:r>
          </w:p>
        </w:tc>
        <w:tc>
          <w:tcPr>
            <w:tcW w:type="dxa" w:w="294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User bears the risk</w:t>
            </w:r>
            <w:r>
              <w:rPr>
                <w:sz w:val="19"/>
                <w:szCs w:val="19"/>
              </w:rPr>
              <w:t xml:space="preserve">; smart-contract + market; per-user cap </w:t>
            </w:r>
            <w:r>
              <w:rPr>
                <w:b/>
                <w:bCs/>
                <w:sz w:val="19"/>
                <w:szCs w:val="19"/>
              </w:rPr>
              <w:t xml:space="preserve">$50K</w:t>
            </w:r>
          </w:p>
        </w:tc>
      </w:tr>
    </w:tbl>
    <w:p>
      <w:pPr>
        <w:spacing w:after="80"/>
      </w:pPr>
    </w:p>
    <w:p>
      <w:pPr>
        <w:pStyle w:val="ListParagraph"/>
        <w:numPr>
          <w:ilvl w:val="0"/>
          <w:numId w:val="2"/>
        </w:numPr>
        <w:spacing w:after="60"/>
      </w:pPr>
      <w:r>
        <w:rPr>
          <w:b/>
          <w:bCs/>
          <w:sz w:val="21"/>
          <w:szCs w:val="21"/>
        </w:rPr>
        <w:t xml:space="preserve">FR-8.1 (Must):</w:t>
      </w:r>
      <w:r>
        <w:rPr>
          <w:sz w:val="21"/>
          <w:szCs w:val="21"/>
        </w:rPr>
        <w:t xml:space="preserve"> Explicit opt-in per product; show net rate, plain-language risk disclosure, and that rates are </w:t>
      </w:r>
      <w:r>
        <w:rPr>
          <w:b/>
          <w:bCs/>
          <w:sz w:val="21"/>
          <w:szCs w:val="21"/>
        </w:rPr>
        <w:t xml:space="preserve">variable and not guaranteed</w:t>
      </w:r>
      <w:r>
        <w:rPr>
          <w:sz w:val="21"/>
          <w:szCs w:val="21"/>
        </w:rPr>
        <w:t xml:space="preserve">.</w:t>
      </w:r>
    </w:p>
    <w:p>
      <w:pPr>
        <w:pStyle w:val="ListParagraph"/>
        <w:numPr>
          <w:ilvl w:val="0"/>
          <w:numId w:val="2"/>
        </w:numPr>
        <w:spacing w:after="60"/>
      </w:pPr>
      <w:r>
        <w:rPr>
          <w:b/>
          <w:bCs/>
          <w:sz w:val="21"/>
          <w:szCs w:val="21"/>
        </w:rPr>
        <w:t xml:space="preserve">FR-8.2 (Must):</w:t>
      </w:r>
      <w:r>
        <w:rPr>
          <w:sz w:val="21"/>
          <w:szCs w:val="21"/>
        </w:rPr>
        <w:t xml:space="preserve"> Earn positions are visible, with accrued yield, and instantly understood as "still my money, working."</w:t>
      </w:r>
    </w:p>
    <w:p>
      <w:pPr>
        <w:pStyle w:val="ListParagraph"/>
        <w:numPr>
          <w:ilvl w:val="0"/>
          <w:numId w:val="2"/>
        </w:numPr>
        <w:spacing w:after="60"/>
      </w:pPr>
      <w:r>
        <w:rPr>
          <w:b/>
          <w:bCs/>
          <w:sz w:val="21"/>
          <w:szCs w:val="21"/>
        </w:rPr>
        <w:t xml:space="preserve">FR-8.3 (Should):</w:t>
      </w:r>
      <w:r>
        <w:rPr>
          <w:sz w:val="21"/>
          <w:szCs w:val="21"/>
        </w:rPr>
        <w:t xml:space="preserve"> One-tap move idle Cash → Earn and back; surface "you have $X idle earning 0%" nudges.</w:t>
      </w:r>
    </w:p>
    <w:p>
      <w:pPr>
        <w:pStyle w:val="ListParagraph"/>
        <w:numPr>
          <w:ilvl w:val="0"/>
          <w:numId w:val="2"/>
        </w:numPr>
        <w:spacing w:after="60"/>
      </w:pPr>
      <w:r>
        <w:rPr>
          <w:b/>
          <w:bCs/>
          <w:sz w:val="21"/>
          <w:szCs w:val="21"/>
        </w:rPr>
        <w:t xml:space="preserve">FR-8.4 (Must):</w:t>
      </w:r>
      <w:r>
        <w:rPr>
          <w:sz w:val="21"/>
          <w:szCs w:val="21"/>
        </w:rPr>
        <w:t xml:space="preserve"> Risk tiering visible — never present the 6% lending vault next to 3% treasury without the risk distinction.</w:t>
      </w:r>
    </w:p>
    <w:p>
      <w:pPr>
        <w:pStyle w:val="ListParagraph"/>
        <w:numPr>
          <w:ilvl w:val="0"/>
          <w:numId w:val="2"/>
        </w:numPr>
        <w:spacing w:after="60"/>
      </w:pPr>
      <w:r>
        <w:rPr>
          <w:b/>
          <w:bCs/>
          <w:sz w:val="21"/>
          <w:szCs w:val="21"/>
        </w:rPr>
        <w:t xml:space="preserve">FR-8.5 (Must):</w:t>
      </w:r>
      <w:r>
        <w:rPr>
          <w:sz w:val="21"/>
          <w:szCs w:val="21"/>
        </w:rPr>
        <w:t xml:space="preserve"> Enforce the </w:t>
      </w:r>
      <w:r>
        <w:rPr>
          <w:b/>
          <w:bCs/>
          <w:sz w:val="21"/>
          <w:szCs w:val="21"/>
        </w:rPr>
        <w:t xml:space="preserve">$50K per-user cap</w:t>
      </w:r>
      <w:r>
        <w:rPr>
          <w:sz w:val="21"/>
          <w:szCs w:val="21"/>
        </w:rPr>
        <w:t xml:space="preserve"> on the lending vault; the user explicitly acknowledges they bear the risk before first deposit. Variable APY shown as a range/live figure, never a promise.</w:t>
      </w:r>
    </w:p>
    <w:p>
      <w:pPr>
        <w:pStyle w:val="Heading2"/>
      </w:pPr>
      <w:r>
        <w:t xml:space="preserve">6.9 Home / Dashboard</w:t>
      </w:r>
    </w:p>
    <w:p>
      <w:pPr>
        <w:spacing w:after="120"/>
      </w:pPr>
      <w:r>
        <w:rPr>
          <w:sz w:val="21"/>
          <w:szCs w:val="21"/>
        </w:rPr>
        <w:t xml:space="preserve">The home view is the product. It must answer "how much do I have, and where is it" in one glance.</w:t>
      </w:r>
    </w:p>
    <w:p>
      <w:pPr>
        <w:pStyle w:val="ListParagraph"/>
        <w:numPr>
          <w:ilvl w:val="0"/>
          <w:numId w:val="2"/>
        </w:numPr>
        <w:spacing w:after="60"/>
      </w:pPr>
      <w:r>
        <w:rPr>
          <w:b/>
          <w:bCs/>
          <w:sz w:val="21"/>
          <w:szCs w:val="21"/>
        </w:rPr>
        <w:t xml:space="preserve">FR-9.1 (Must):</w:t>
      </w:r>
      <w:r>
        <w:rPr>
          <w:sz w:val="21"/>
          <w:szCs w:val="21"/>
        </w:rPr>
        <w:t xml:space="preserve"> </w:t>
      </w:r>
      <w:r>
        <w:rPr>
          <w:b/>
          <w:bCs/>
          <w:sz w:val="21"/>
          <w:szCs w:val="21"/>
        </w:rPr>
        <w:t xml:space="preserve">Cards</w:t>
      </w:r>
      <w:r>
        <w:rPr>
          <w:sz w:val="21"/>
          <w:szCs w:val="21"/>
        </w:rPr>
        <w:t xml:space="preserve"> — both cards with their rail balances at top.</w:t>
      </w:r>
    </w:p>
    <w:p>
      <w:pPr>
        <w:pStyle w:val="ListParagraph"/>
        <w:numPr>
          <w:ilvl w:val="0"/>
          <w:numId w:val="2"/>
        </w:numPr>
        <w:spacing w:after="60"/>
      </w:pPr>
      <w:r>
        <w:rPr>
          <w:b/>
          <w:bCs/>
          <w:sz w:val="21"/>
          <w:szCs w:val="21"/>
        </w:rPr>
        <w:t xml:space="preserve">FR-9.2 (Must):</w:t>
      </w:r>
      <w:r>
        <w:rPr>
          <w:sz w:val="21"/>
          <w:szCs w:val="21"/>
        </w:rPr>
        <w:t xml:space="preserve"> </w:t>
      </w:r>
      <w:r>
        <w:rPr>
          <w:b/>
          <w:bCs/>
          <w:sz w:val="21"/>
          <w:szCs w:val="21"/>
        </w:rPr>
        <w:t xml:space="preserve">Total USD balance</w:t>
      </w:r>
      <w:r>
        <w:rPr>
          <w:sz w:val="21"/>
          <w:szCs w:val="21"/>
        </w:rPr>
        <w:t xml:space="preserve"> — single figure = fiat USD + USDC (see §7.7 for de-peg display).</w:t>
      </w:r>
    </w:p>
    <w:p>
      <w:pPr>
        <w:pStyle w:val="ListParagraph"/>
        <w:numPr>
          <w:ilvl w:val="0"/>
          <w:numId w:val="2"/>
        </w:numPr>
        <w:spacing w:after="60"/>
      </w:pPr>
      <w:r>
        <w:rPr>
          <w:b/>
          <w:bCs/>
          <w:sz w:val="21"/>
          <w:szCs w:val="21"/>
        </w:rPr>
        <w:t xml:space="preserve">FR-9.3 (Must):</w:t>
      </w:r>
      <w:r>
        <w:rPr>
          <w:sz w:val="21"/>
          <w:szCs w:val="21"/>
        </w:rPr>
        <w:t xml:space="preserve"> </w:t>
      </w:r>
      <w:r>
        <w:rPr>
          <w:b/>
          <w:bCs/>
          <w:sz w:val="21"/>
          <w:szCs w:val="21"/>
        </w:rPr>
        <w:t xml:space="preserve">Total portfolio / net worth</w:t>
      </w:r>
      <w:r>
        <w:rPr>
          <w:sz w:val="21"/>
          <w:szCs w:val="21"/>
        </w:rPr>
        <w:t xml:space="preserve"> — Invest + Cash (fiat + USDC) + Earn, as one number with a breakdown.</w:t>
      </w:r>
    </w:p>
    <w:p>
      <w:pPr>
        <w:pStyle w:val="ListParagraph"/>
        <w:numPr>
          <w:ilvl w:val="0"/>
          <w:numId w:val="2"/>
        </w:numPr>
        <w:spacing w:after="60"/>
      </w:pPr>
      <w:r>
        <w:rPr>
          <w:b/>
          <w:bCs/>
          <w:sz w:val="21"/>
          <w:szCs w:val="21"/>
        </w:rPr>
        <w:t xml:space="preserve">FR-9.4 (Should):</w:t>
      </w:r>
      <w:r>
        <w:rPr>
          <w:sz w:val="21"/>
          <w:szCs w:val="21"/>
        </w:rPr>
        <w:t xml:space="preserve"> Quick actions: Add money, Convert, Send-to-card, Move to Earn.</w:t>
      </w:r>
    </w:p>
    <w:p>
      <w:pPr>
        <w:pStyle w:val="ListParagraph"/>
        <w:numPr>
          <w:ilvl w:val="0"/>
          <w:numId w:val="2"/>
        </w:numPr>
        <w:spacing w:after="60"/>
      </w:pPr>
      <w:r>
        <w:rPr>
          <w:b/>
          <w:bCs/>
          <w:sz w:val="21"/>
          <w:szCs w:val="21"/>
        </w:rPr>
        <w:t xml:space="preserve">FR-9.5 (Should):</w:t>
      </w:r>
      <w:r>
        <w:rPr>
          <w:sz w:val="21"/>
          <w:szCs w:val="21"/>
        </w:rPr>
        <w:t xml:space="preserve"> Rail composition is available on tap but not in the user's face by default — the rail is plumbing.</w:t>
      </w:r>
    </w:p>
    <w:p>
      <w:pPr>
        <w:pStyle w:val="ListParagraph"/>
        <w:numPr>
          <w:ilvl w:val="0"/>
          <w:numId w:val="2"/>
        </w:numPr>
        <w:spacing w:after="60"/>
      </w:pPr>
      <w:r>
        <w:rPr>
          <w:b/>
          <w:bCs/>
          <w:sz w:val="21"/>
          <w:szCs w:val="21"/>
        </w:rPr>
        <w:t xml:space="preserve">FR-9.6 (Should):</w:t>
      </w:r>
      <w:r>
        <w:rPr>
          <w:sz w:val="21"/>
          <w:szCs w:val="21"/>
        </w:rPr>
        <w:t xml:space="preserve"> A "recent activity" preview on Home (last few entries) that opens the full transaction trail (§6.10).</w:t>
      </w:r>
    </w:p>
    <w:p>
      <w:pPr>
        <w:pStyle w:val="Heading2"/>
      </w:pPr>
      <w:r>
        <w:t xml:space="preserve">6.10 Activity &amp; Transaction Trail</w:t>
      </w:r>
    </w:p>
    <w:p>
      <w:pPr>
        <w:spacing w:after="120"/>
      </w:pPr>
      <w:r>
        <w:rPr>
          <w:sz w:val="21"/>
          <w:szCs w:val="21"/>
        </w:rPr>
        <w:t xml:space="preserve">A single chronological record of every money movement, sourced from the unified ledger (§5) so it always reconciles with balances. The user's answer to "what happened to my money, and where is it now."</w:t>
      </w:r>
    </w:p>
    <w:p>
      <w:pPr>
        <w:pStyle w:val="ListParagraph"/>
        <w:numPr>
          <w:ilvl w:val="0"/>
          <w:numId w:val="2"/>
        </w:numPr>
        <w:spacing w:after="60"/>
      </w:pPr>
      <w:r>
        <w:rPr>
          <w:b/>
          <w:bCs/>
          <w:sz w:val="21"/>
          <w:szCs w:val="21"/>
        </w:rPr>
        <w:t xml:space="preserve">FR-10.1 (Must):</w:t>
      </w:r>
      <w:r>
        <w:rPr>
          <w:sz w:val="21"/>
          <w:szCs w:val="21"/>
        </w:rPr>
        <w:t xml:space="preserve"> One unified, searchable activity feed, each event as a human-readable entry: </w:t>
      </w:r>
      <w:r>
        <w:rPr>
          <w:b/>
          <w:bCs/>
          <w:sz w:val="21"/>
          <w:szCs w:val="21"/>
        </w:rPr>
        <w:t xml:space="preserve">category</w:t>
      </w:r>
      <w:r>
        <w:rPr>
          <w:sz w:val="21"/>
          <w:szCs w:val="21"/>
        </w:rPr>
        <w:t xml:space="preserve"> (Load / Spend / Invest / Earn / Convert), </w:t>
      </w:r>
      <w:r>
        <w:rPr>
          <w:b/>
          <w:bCs/>
          <w:sz w:val="21"/>
          <w:szCs w:val="21"/>
        </w:rPr>
        <w:t xml:space="preserve">rail</w:t>
      </w:r>
      <w:r>
        <w:rPr>
          <w:sz w:val="21"/>
          <w:szCs w:val="21"/>
        </w:rPr>
        <w:t xml:space="preserve"> (Fiat USD / USDC), direction, amount, counterparty/merchant, </w:t>
      </w:r>
      <w:r>
        <w:rPr>
          <w:b/>
          <w:bCs/>
          <w:sz w:val="21"/>
          <w:szCs w:val="21"/>
        </w:rPr>
        <w:t xml:space="preserve">status</w:t>
      </w:r>
      <w:r>
        <w:rPr>
          <w:sz w:val="21"/>
          <w:szCs w:val="21"/>
        </w:rPr>
        <w:t xml:space="preserve"> (pending → settling → settled / failed), timestamp, and fees.</w:t>
      </w:r>
    </w:p>
    <w:p>
      <w:pPr>
        <w:pStyle w:val="ListParagraph"/>
        <w:numPr>
          <w:ilvl w:val="0"/>
          <w:numId w:val="2"/>
        </w:numPr>
        <w:spacing w:after="60"/>
      </w:pPr>
      <w:r>
        <w:rPr>
          <w:b/>
          <w:bCs/>
          <w:sz w:val="21"/>
          <w:szCs w:val="21"/>
        </w:rPr>
        <w:t xml:space="preserve">FR-10.2 (Must):</w:t>
      </w:r>
      <w:r>
        <w:rPr>
          <w:sz w:val="21"/>
          <w:szCs w:val="21"/>
        </w:rPr>
        <w:t xml:space="preserve"> Filter and segment by </w:t>
      </w:r>
      <w:r>
        <w:rPr>
          <w:b/>
          <w:bCs/>
          <w:sz w:val="21"/>
          <w:szCs w:val="21"/>
        </w:rPr>
        <w:t xml:space="preserve">category</w:t>
      </w:r>
      <w:r>
        <w:rPr>
          <w:sz w:val="21"/>
          <w:szCs w:val="21"/>
        </w:rPr>
        <w:t xml:space="preserve"> and by </w:t>
      </w:r>
      <w:r>
        <w:rPr>
          <w:b/>
          <w:bCs/>
          <w:sz w:val="21"/>
          <w:szCs w:val="21"/>
        </w:rPr>
        <w:t xml:space="preserve">rail</w:t>
      </w:r>
      <w:r>
        <w:rPr>
          <w:sz w:val="21"/>
          <w:szCs w:val="21"/>
        </w:rPr>
        <w:t xml:space="preserve">; free-text search (merchant, reference, amount).</w:t>
      </w:r>
    </w:p>
    <w:p>
      <w:pPr>
        <w:pStyle w:val="ListParagraph"/>
        <w:numPr>
          <w:ilvl w:val="0"/>
          <w:numId w:val="2"/>
        </w:numPr>
        <w:spacing w:after="60"/>
      </w:pPr>
      <w:r>
        <w:rPr>
          <w:b/>
          <w:bCs/>
          <w:sz w:val="21"/>
          <w:szCs w:val="21"/>
        </w:rPr>
        <w:t xml:space="preserve">FR-10.3 (Must):</w:t>
      </w:r>
      <w:r>
        <w:rPr>
          <w:sz w:val="21"/>
          <w:szCs w:val="21"/>
        </w:rPr>
        <w:t xml:space="preserve"> Drill-down detail per category:</w:t>
      </w:r>
    </w:p>
    <w:p>
      <w:pPr>
        <w:pStyle w:val="ListParagraph"/>
        <w:numPr>
          <w:ilvl w:val="0"/>
          <w:numId w:val="3"/>
        </w:numPr>
        <w:spacing w:after="60"/>
      </w:pPr>
      <w:r>
        <w:rPr>
          <w:b/>
          <w:bCs/>
          <w:sz w:val="21"/>
          <w:szCs w:val="21"/>
        </w:rPr>
        <w:t xml:space="preserve">Load:</w:t>
      </w:r>
      <w:r>
        <w:rPr>
          <w:sz w:val="21"/>
          <w:szCs w:val="21"/>
        </w:rPr>
        <w:t xml:space="preserve"> source (SWIFT reference/UTR, AED→USD onramp, or USDC deposit), AED/USD FX rate where applicable, fee.</w:t>
      </w:r>
    </w:p>
    <w:p>
      <w:pPr>
        <w:pStyle w:val="ListParagraph"/>
        <w:numPr>
          <w:ilvl w:val="0"/>
          <w:numId w:val="3"/>
        </w:numPr>
        <w:spacing w:after="60"/>
      </w:pPr>
      <w:r>
        <w:rPr>
          <w:b/>
          <w:bCs/>
          <w:sz w:val="21"/>
          <w:szCs w:val="21"/>
        </w:rPr>
        <w:t xml:space="preserve">Spend:</w:t>
      </w:r>
      <w:r>
        <w:rPr>
          <w:sz w:val="21"/>
          <w:szCs w:val="21"/>
        </w:rPr>
        <w:t xml:space="preserve"> merchant, which card (fiat vs. crypto), original currency + FX, and the </w:t>
      </w:r>
      <w:r>
        <w:rPr>
          <w:b/>
          <w:bCs/>
          <w:sz w:val="21"/>
          <w:szCs w:val="21"/>
        </w:rPr>
        <w:t xml:space="preserve">auth-time USDC→USD conversion</w:t>
      </w:r>
      <w:r>
        <w:rPr>
          <w:sz w:val="21"/>
          <w:szCs w:val="21"/>
        </w:rPr>
        <w:t xml:space="preserve"> breakdown for the crypto card (§6.5).</w:t>
      </w:r>
    </w:p>
    <w:p>
      <w:pPr>
        <w:pStyle w:val="ListParagraph"/>
        <w:numPr>
          <w:ilvl w:val="0"/>
          <w:numId w:val="3"/>
        </w:numPr>
        <w:spacing w:after="60"/>
      </w:pPr>
      <w:r>
        <w:rPr>
          <w:b/>
          <w:bCs/>
          <w:sz w:val="21"/>
          <w:szCs w:val="21"/>
        </w:rPr>
        <w:t xml:space="preserve">Invest:</w:t>
      </w:r>
      <w:r>
        <w:rPr>
          <w:sz w:val="21"/>
          <w:szCs w:val="21"/>
        </w:rPr>
        <w:t xml:space="preserve"> instrument (US equity vs. xStock/tokenized), order type, fill price, quantity, commission/spread.</w:t>
      </w:r>
    </w:p>
    <w:p>
      <w:pPr>
        <w:pStyle w:val="ListParagraph"/>
        <w:numPr>
          <w:ilvl w:val="0"/>
          <w:numId w:val="3"/>
        </w:numPr>
        <w:spacing w:after="60"/>
      </w:pPr>
      <w:r>
        <w:rPr>
          <w:b/>
          <w:bCs/>
          <w:sz w:val="21"/>
          <w:szCs w:val="21"/>
        </w:rPr>
        <w:t xml:space="preserve">Earn:</w:t>
      </w:r>
      <w:r>
        <w:rPr>
          <w:sz w:val="21"/>
          <w:szCs w:val="21"/>
        </w:rPr>
        <w:t xml:space="preserve"> product (fiat treasury / stablecoin treasury / Morpho lending vault), principal moved, accrued yield, APY at time of action.</w:t>
      </w:r>
    </w:p>
    <w:p>
      <w:pPr>
        <w:pStyle w:val="ListParagraph"/>
        <w:numPr>
          <w:ilvl w:val="0"/>
          <w:numId w:val="3"/>
        </w:numPr>
        <w:spacing w:after="60"/>
      </w:pPr>
      <w:r>
        <w:rPr>
          <w:b/>
          <w:bCs/>
          <w:sz w:val="21"/>
          <w:szCs w:val="21"/>
        </w:rPr>
        <w:t xml:space="preserve">Convert:</w:t>
      </w:r>
      <w:r>
        <w:rPr>
          <w:sz w:val="21"/>
          <w:szCs w:val="21"/>
        </w:rPr>
        <w:t xml:space="preserve"> from/to, rate, fee, and settlement state (recall Convert settles on rail confirmation, §6.4).</w:t>
      </w:r>
    </w:p>
    <w:p>
      <w:pPr>
        <w:pStyle w:val="ListParagraph"/>
        <w:numPr>
          <w:ilvl w:val="0"/>
          <w:numId w:val="2"/>
        </w:numPr>
        <w:spacing w:after="60"/>
      </w:pPr>
      <w:r>
        <w:rPr>
          <w:b/>
          <w:bCs/>
          <w:sz w:val="21"/>
          <w:szCs w:val="21"/>
        </w:rPr>
        <w:t xml:space="preserve">FR-10.4 (Must):</w:t>
      </w:r>
      <w:r>
        <w:rPr>
          <w:sz w:val="21"/>
          <w:szCs w:val="21"/>
        </w:rPr>
        <w:t xml:space="preserve"> For crypto-rail legs, show the </w:t>
      </w:r>
      <w:r>
        <w:rPr>
          <w:b/>
          <w:bCs/>
          <w:sz w:val="21"/>
          <w:szCs w:val="21"/>
        </w:rPr>
        <w:t xml:space="preserve">on-chain tx hash with a Base explorer link</w:t>
      </w:r>
      <w:r>
        <w:rPr>
          <w:sz w:val="21"/>
          <w:szCs w:val="21"/>
        </w:rPr>
        <w:t xml:space="preserve">; for fiat legs, show the bank reference/UTR. This is the trust primitive — every cent is traceable to a settlement record.</w:t>
      </w:r>
    </w:p>
    <w:p>
      <w:pPr>
        <w:pStyle w:val="ListParagraph"/>
        <w:numPr>
          <w:ilvl w:val="0"/>
          <w:numId w:val="2"/>
        </w:numPr>
        <w:spacing w:after="60"/>
      </w:pPr>
      <w:r>
        <w:rPr>
          <w:b/>
          <w:bCs/>
          <w:sz w:val="21"/>
          <w:szCs w:val="21"/>
        </w:rPr>
        <w:t xml:space="preserve">FR-10.5 (Should):</w:t>
      </w:r>
      <w:r>
        <w:rPr>
          <w:sz w:val="21"/>
          <w:szCs w:val="21"/>
        </w:rPr>
        <w:t xml:space="preserve"> Export to CSV/PDF for statements, tax, and record-keeping (combined or filtered).</w:t>
      </w:r>
    </w:p>
    <w:p>
      <w:pPr>
        <w:pStyle w:val="ListParagraph"/>
        <w:numPr>
          <w:ilvl w:val="0"/>
          <w:numId w:val="2"/>
        </w:numPr>
        <w:spacing w:after="60"/>
      </w:pPr>
      <w:r>
        <w:rPr>
          <w:b/>
          <w:bCs/>
          <w:sz w:val="21"/>
          <w:szCs w:val="21"/>
        </w:rPr>
        <w:t xml:space="preserve">FR-10.6 (Should):</w:t>
      </w:r>
      <w:r>
        <w:rPr>
          <w:sz w:val="21"/>
          <w:szCs w:val="21"/>
        </w:rPr>
        <w:t xml:space="preserve"> Live status lifecycle on each entry, tied to observability (§7.8) — SWIFT pending, on-chain confirmations, brokerage fills, Convert settling — so nothing looks stuck without explanation.</w:t>
      </w:r>
    </w:p>
    <w:p>
      <w:pPr>
        <w:pStyle w:val="ListParagraph"/>
        <w:numPr>
          <w:ilvl w:val="0"/>
          <w:numId w:val="2"/>
        </w:numPr>
        <w:spacing w:after="60"/>
      </w:pPr>
      <w:r>
        <w:rPr>
          <w:b/>
          <w:bCs/>
          <w:sz w:val="21"/>
          <w:szCs w:val="21"/>
        </w:rPr>
        <w:t xml:space="preserve">FR-10.7 (Could):</w:t>
      </w:r>
      <w:r>
        <w:rPr>
          <w:sz w:val="21"/>
          <w:szCs w:val="21"/>
        </w:rPr>
        <w:t xml:space="preserve"> Spend/earn analytics (by category, by rail, by month) layered on the same feed.</w:t>
      </w:r>
    </w:p>
    <w:p>
      <w:pPr>
        <w:pStyle w:val="Heading1"/>
      </w:pPr>
      <w:r>
        <w:t xml:space="preserve">7. Cross-cutting requirements</w:t>
      </w:r>
    </w:p>
    <w:p>
      <w:pPr>
        <w:pStyle w:val="ListParagraph"/>
        <w:numPr>
          <w:ilvl w:val="0"/>
          <w:numId w:val="2"/>
        </w:numPr>
        <w:spacing w:after="60"/>
      </w:pPr>
      <w:r>
        <w:rPr>
          <w:b/>
          <w:bCs/>
          <w:sz w:val="21"/>
          <w:szCs w:val="21"/>
        </w:rPr>
        <w:t xml:space="preserve">7.1 Unified ledger</w:t>
      </w:r>
      <w:r>
        <w:rPr>
          <w:sz w:val="21"/>
          <w:szCs w:val="21"/>
        </w:rPr>
        <w:t xml:space="preserve"> (§5) — double-entry, idempotent postings, full audit trail. Phase-0.</w:t>
      </w:r>
    </w:p>
    <w:p>
      <w:pPr>
        <w:pStyle w:val="ListParagraph"/>
        <w:numPr>
          <w:ilvl w:val="0"/>
          <w:numId w:val="2"/>
        </w:numPr>
        <w:spacing w:after="60"/>
      </w:pPr>
      <w:r>
        <w:rPr>
          <w:b/>
          <w:bCs/>
          <w:sz w:val="21"/>
          <w:szCs w:val="21"/>
        </w:rPr>
        <w:t xml:space="preserve">7.2 Reconciliation</w:t>
      </w:r>
      <w:r>
        <w:rPr>
          <w:sz w:val="21"/>
          <w:szCs w:val="21"/>
        </w:rPr>
        <w:t xml:space="preserve"> — daily three-way; automated break detection and alerting.</w:t>
      </w:r>
    </w:p>
    <w:p>
      <w:pPr>
        <w:pStyle w:val="ListParagraph"/>
        <w:numPr>
          <w:ilvl w:val="0"/>
          <w:numId w:val="2"/>
        </w:numPr>
        <w:spacing w:after="60"/>
      </w:pPr>
      <w:r>
        <w:rPr>
          <w:b/>
          <w:bCs/>
          <w:sz w:val="21"/>
          <w:szCs w:val="21"/>
        </w:rPr>
        <w:t xml:space="preserve">7.3 AML/CFT</w:t>
      </w:r>
      <w:r>
        <w:rPr>
          <w:sz w:val="21"/>
          <w:szCs w:val="21"/>
        </w:rPr>
        <w:t xml:space="preserve"> — transaction monitoring across both rails; on-chain Travel Rule on USDC; sanctions screening on counterparties and addresses.</w:t>
      </w:r>
    </w:p>
    <w:p>
      <w:pPr>
        <w:pStyle w:val="ListParagraph"/>
        <w:numPr>
          <w:ilvl w:val="0"/>
          <w:numId w:val="2"/>
        </w:numPr>
        <w:spacing w:after="60"/>
      </w:pPr>
      <w:r>
        <w:rPr>
          <w:b/>
          <w:bCs/>
          <w:sz w:val="21"/>
          <w:szCs w:val="21"/>
        </w:rPr>
        <w:t xml:space="preserve">7.4 Security</w:t>
      </w:r>
      <w:r>
        <w:rPr>
          <w:sz w:val="21"/>
          <w:szCs w:val="21"/>
        </w:rPr>
        <w:t xml:space="preserve"> — embedded-wallet key management with password+OTP gating, recoverable/exportable key (§6.2), withdrawal allow-listing/limits, device binding, step-up auth on signing and key export, address-poisoning protections on USDC sends.</w:t>
      </w:r>
    </w:p>
    <w:p>
      <w:pPr>
        <w:pStyle w:val="ListParagraph"/>
        <w:numPr>
          <w:ilvl w:val="0"/>
          <w:numId w:val="2"/>
        </w:numPr>
        <w:spacing w:after="60"/>
      </w:pPr>
      <w:r>
        <w:rPr>
          <w:b/>
          <w:bCs/>
          <w:sz w:val="21"/>
          <w:szCs w:val="21"/>
        </w:rPr>
        <w:t xml:space="preserve">7.5 Treasury &amp; liquidity ops</w:t>
      </w:r>
      <w:r>
        <w:rPr>
          <w:sz w:val="21"/>
          <w:szCs w:val="21"/>
        </w:rPr>
        <w:t xml:space="preserve"> — float to back crypto-card auth-time settlement; defined liquidity-risk limits; who carries FX risk. Convert no longer needs settlement float (settles on rail confirmation, §6.4).</w:t>
      </w:r>
    </w:p>
    <w:p>
      <w:pPr>
        <w:pStyle w:val="ListParagraph"/>
        <w:numPr>
          <w:ilvl w:val="0"/>
          <w:numId w:val="2"/>
        </w:numPr>
        <w:spacing w:after="60"/>
      </w:pPr>
      <w:r>
        <w:rPr>
          <w:b/>
          <w:bCs/>
          <w:sz w:val="21"/>
          <w:szCs w:val="21"/>
        </w:rPr>
        <w:t xml:space="preserve">7.6 Fees &amp; FX engine</w:t>
      </w:r>
      <w:r>
        <w:rPr>
          <w:sz w:val="21"/>
          <w:szCs w:val="21"/>
        </w:rPr>
        <w:t xml:space="preserve"> — central rate/fee service so AED→USD, Convert, and card FX are consistent and auditable.</w:t>
      </w:r>
    </w:p>
    <w:p>
      <w:pPr>
        <w:pStyle w:val="ListParagraph"/>
        <w:numPr>
          <w:ilvl w:val="0"/>
          <w:numId w:val="2"/>
        </w:numPr>
        <w:spacing w:after="60"/>
      </w:pPr>
      <w:r>
        <w:rPr>
          <w:b/>
          <w:bCs/>
          <w:sz w:val="21"/>
          <w:szCs w:val="21"/>
        </w:rPr>
        <w:t xml:space="preserve">7.7 De-peg handling</w:t>
      </w:r>
      <w:r>
        <w:rPr>
          <w:sz w:val="21"/>
          <w:szCs w:val="21"/>
        </w:rPr>
        <w:t xml:space="preserve"> — default display USDC at $1.00. Define a threshold (e.g., sustained deviation) beyond which the app shows true mark and warns, so "total USD balance" never silently misleads.</w:t>
      </w:r>
    </w:p>
    <w:p>
      <w:pPr>
        <w:pStyle w:val="ListParagraph"/>
        <w:numPr>
          <w:ilvl w:val="0"/>
          <w:numId w:val="2"/>
        </w:numPr>
        <w:spacing w:after="60"/>
      </w:pPr>
      <w:r>
        <w:rPr>
          <w:b/>
          <w:bCs/>
          <w:sz w:val="21"/>
          <w:szCs w:val="21"/>
        </w:rPr>
        <w:t xml:space="preserve">7.8 Observability</w:t>
      </w:r>
      <w:r>
        <w:rPr>
          <w:sz w:val="21"/>
          <w:szCs w:val="21"/>
        </w:rPr>
        <w:t xml:space="preserve"> — settlement-state tracking on every external leg (SWIFT pending, on-chain confirmations, brokerage fills) surfaced as clear user-facing states.</w:t>
      </w:r>
    </w:p>
    <w:p>
      <w:pPr>
        <w:pStyle w:val="Heading1"/>
      </w:pPr>
      <w:r>
        <w:t xml:space="preserve">8. Key user journeys</w:t>
      </w:r>
    </w:p>
    <w:p>
      <w:pPr>
        <w:pStyle w:val="ListParagraph"/>
        <w:numPr>
          <w:ilvl w:val="0"/>
          <w:numId w:val="4"/>
        </w:numPr>
        <w:spacing w:after="60"/>
      </w:pPr>
      <w:r>
        <w:rPr>
          <w:b/>
          <w:bCs/>
          <w:sz w:val="21"/>
          <w:szCs w:val="21"/>
        </w:rPr>
        <w:t xml:space="preserve">Activate:</w:t>
      </w:r>
      <w:r>
        <w:rPr>
          <w:sz w:val="21"/>
          <w:szCs w:val="21"/>
        </w:rPr>
        <w:t xml:space="preserve"> KYC → both rails provisioned → empty Home with "Add money."</w:t>
      </w:r>
    </w:p>
    <w:p>
      <w:pPr>
        <w:pStyle w:val="ListParagraph"/>
        <w:numPr>
          <w:ilvl w:val="0"/>
          <w:numId w:val="4"/>
        </w:numPr>
        <w:spacing w:after="60"/>
      </w:pPr>
      <w:r>
        <w:rPr>
          <w:b/>
          <w:bCs/>
          <w:sz w:val="21"/>
          <w:szCs w:val="21"/>
        </w:rPr>
        <w:t xml:space="preserve">Fund:</w:t>
      </w:r>
      <w:r>
        <w:rPr>
          <w:sz w:val="21"/>
          <w:szCs w:val="21"/>
        </w:rPr>
        <w:t xml:space="preserve"> AED→USD onramp </w:t>
      </w:r>
      <w:r>
        <w:rPr>
          <w:i/>
          <w:iCs/>
          <w:sz w:val="21"/>
          <w:szCs w:val="21"/>
        </w:rPr>
        <w:t xml:space="preserve">or</w:t>
      </w:r>
      <w:r>
        <w:rPr>
          <w:sz w:val="21"/>
          <w:szCs w:val="21"/>
        </w:rPr>
        <w:t xml:space="preserve"> SWIFT in </w:t>
      </w:r>
      <w:r>
        <w:rPr>
          <w:i/>
          <w:iCs/>
          <w:sz w:val="21"/>
          <w:szCs w:val="21"/>
        </w:rPr>
        <w:t xml:space="preserve">or</w:t>
      </w:r>
      <w:r>
        <w:rPr>
          <w:sz w:val="21"/>
          <w:szCs w:val="21"/>
        </w:rPr>
        <w:t xml:space="preserve"> USDC deposit → balance reflects on the right rail and in the unified figure.</w:t>
      </w:r>
    </w:p>
    <w:p>
      <w:pPr>
        <w:pStyle w:val="ListParagraph"/>
        <w:numPr>
          <w:ilvl w:val="0"/>
          <w:numId w:val="4"/>
        </w:numPr>
        <w:spacing w:after="60"/>
      </w:pPr>
      <w:r>
        <w:rPr>
          <w:b/>
          <w:bCs/>
          <w:sz w:val="21"/>
          <w:szCs w:val="21"/>
        </w:rPr>
        <w:t xml:space="preserve">Convert:</w:t>
      </w:r>
      <w:r>
        <w:rPr>
          <w:sz w:val="21"/>
          <w:szCs w:val="21"/>
        </w:rPr>
        <w:t xml:space="preserve"> USD→USDC in one tap, rate shown, clear settling→done states.</w:t>
      </w:r>
    </w:p>
    <w:p>
      <w:pPr>
        <w:pStyle w:val="ListParagraph"/>
        <w:numPr>
          <w:ilvl w:val="0"/>
          <w:numId w:val="4"/>
        </w:numPr>
        <w:spacing w:after="60"/>
      </w:pPr>
      <w:r>
        <w:rPr>
          <w:b/>
          <w:bCs/>
          <w:sz w:val="21"/>
          <w:szCs w:val="21"/>
        </w:rPr>
        <w:t xml:space="preserve">Spend:</w:t>
      </w:r>
      <w:r>
        <w:rPr>
          <w:sz w:val="21"/>
          <w:szCs w:val="21"/>
        </w:rPr>
        <w:t xml:space="preserve"> tap-to-pay on either card; crypto card converts USDC at auth.</w:t>
      </w:r>
    </w:p>
    <w:p>
      <w:pPr>
        <w:pStyle w:val="ListParagraph"/>
        <w:numPr>
          <w:ilvl w:val="0"/>
          <w:numId w:val="4"/>
        </w:numPr>
        <w:spacing w:after="60"/>
      </w:pPr>
      <w:r>
        <w:rPr>
          <w:b/>
          <w:bCs/>
          <w:sz w:val="21"/>
          <w:szCs w:val="21"/>
        </w:rPr>
        <w:t xml:space="preserve">Invest:</w:t>
      </w:r>
      <w:r>
        <w:rPr>
          <w:sz w:val="21"/>
          <w:szCs w:val="21"/>
        </w:rPr>
        <w:t xml:space="preserve"> enhanced KYC → buy US stock (fiat) or tokenized asset (USDC) → position joins portfolio.</w:t>
      </w:r>
    </w:p>
    <w:p>
      <w:pPr>
        <w:pStyle w:val="ListParagraph"/>
        <w:numPr>
          <w:ilvl w:val="0"/>
          <w:numId w:val="4"/>
        </w:numPr>
        <w:spacing w:after="60"/>
      </w:pPr>
      <w:r>
        <w:rPr>
          <w:b/>
          <w:bCs/>
          <w:sz w:val="21"/>
          <w:szCs w:val="21"/>
        </w:rPr>
        <w:t xml:space="preserve">Earn:</w:t>
      </w:r>
      <w:r>
        <w:rPr>
          <w:sz w:val="21"/>
          <w:szCs w:val="21"/>
        </w:rPr>
        <w:t xml:space="preserve"> opt into a yield product → idle balance starts accruing → visible on Home.</w:t>
      </w:r>
    </w:p>
    <w:p>
      <w:pPr>
        <w:pStyle w:val="ListParagraph"/>
        <w:numPr>
          <w:ilvl w:val="0"/>
          <w:numId w:val="4"/>
        </w:numPr>
        <w:spacing w:after="60"/>
      </w:pPr>
      <w:r>
        <w:rPr>
          <w:b/>
          <w:bCs/>
          <w:sz w:val="21"/>
          <w:szCs w:val="21"/>
        </w:rPr>
        <w:t xml:space="preserve">Futures (Phase 4):</w:t>
      </w:r>
      <w:r>
        <w:rPr>
          <w:sz w:val="21"/>
          <w:szCs w:val="21"/>
        </w:rPr>
        <w:t xml:space="preserve"> opt-in → post USDC collateral → trade with explicit risk acknowledgment.</w:t>
      </w:r>
    </w:p>
    <w:p>
      <w:pPr>
        <w:pStyle w:val="ListParagraph"/>
        <w:numPr>
          <w:ilvl w:val="0"/>
          <w:numId w:val="4"/>
        </w:numPr>
        <w:spacing w:after="60"/>
      </w:pPr>
      <w:r>
        <w:rPr>
          <w:b/>
          <w:bCs/>
          <w:sz w:val="21"/>
          <w:szCs w:val="21"/>
        </w:rPr>
        <w:t xml:space="preserve">Review:</w:t>
      </w:r>
      <w:r>
        <w:rPr>
          <w:sz w:val="21"/>
          <w:szCs w:val="21"/>
        </w:rPr>
        <w:t xml:space="preserve"> open Activity → filter by Spend or Earn → tap a USDC entry → see the on-chain hash and settlement status.</w:t>
      </w:r>
    </w:p>
    <w:p>
      <w:pPr>
        <w:pStyle w:val="Heading1"/>
      </w:pPr>
      <w:r>
        <w:t xml:space="preserve">9. Monetization</w:t>
      </w:r>
    </w:p>
    <w:p>
      <w:pPr>
        <w:pStyle w:val="ListParagraph"/>
        <w:numPr>
          <w:ilvl w:val="0"/>
          <w:numId w:val="2"/>
        </w:numPr>
        <w:spacing w:after="60"/>
      </w:pPr>
      <w:r>
        <w:rPr>
          <w:sz w:val="21"/>
          <w:szCs w:val="21"/>
        </w:rPr>
        <w:t xml:space="preserve">FX spread on AED→USD onramp.</w:t>
      </w:r>
    </w:p>
    <w:p>
      <w:pPr>
        <w:pStyle w:val="ListParagraph"/>
        <w:numPr>
          <w:ilvl w:val="0"/>
          <w:numId w:val="2"/>
        </w:numPr>
        <w:spacing w:after="60"/>
      </w:pPr>
      <w:r>
        <w:rPr>
          <w:sz w:val="21"/>
          <w:szCs w:val="21"/>
        </w:rPr>
        <w:t xml:space="preserve">Convert spread/fee (small, near-1:1).</w:t>
      </w:r>
    </w:p>
    <w:p>
      <w:pPr>
        <w:pStyle w:val="ListParagraph"/>
        <w:numPr>
          <w:ilvl w:val="0"/>
          <w:numId w:val="2"/>
        </w:numPr>
        <w:spacing w:after="60"/>
      </w:pPr>
      <w:r>
        <w:rPr>
          <w:sz w:val="21"/>
          <w:szCs w:val="21"/>
        </w:rPr>
        <w:t xml:space="preserve">Card interchange + FX on non-USD spend.</w:t>
      </w:r>
    </w:p>
    <w:p>
      <w:pPr>
        <w:pStyle w:val="ListParagraph"/>
        <w:numPr>
          <w:ilvl w:val="0"/>
          <w:numId w:val="2"/>
        </w:numPr>
        <w:spacing w:after="60"/>
      </w:pPr>
      <w:r>
        <w:rPr>
          <w:sz w:val="21"/>
          <w:szCs w:val="21"/>
        </w:rPr>
        <w:t xml:space="preserve">Invest commissions/spreads.</w:t>
      </w:r>
    </w:p>
    <w:p>
      <w:pPr>
        <w:pStyle w:val="ListParagraph"/>
        <w:numPr>
          <w:ilvl w:val="0"/>
          <w:numId w:val="2"/>
        </w:numPr>
        <w:spacing w:after="60"/>
      </w:pPr>
      <w:r>
        <w:rPr>
          <w:sz w:val="21"/>
          <w:szCs w:val="21"/>
        </w:rPr>
        <w:t xml:space="preserve">Earn — advertise net rate, retain a spread on gross yield.</w:t>
      </w:r>
    </w:p>
    <w:p>
      <w:pPr>
        <w:pStyle w:val="ListParagraph"/>
        <w:numPr>
          <w:ilvl w:val="0"/>
          <w:numId w:val="2"/>
        </w:numPr>
        <w:spacing w:after="60"/>
      </w:pPr>
      <w:r>
        <w:rPr>
          <w:sz w:val="21"/>
          <w:szCs w:val="21"/>
        </w:rPr>
        <w:t xml:space="preserve">Futures — Hyperliquid builder-code fee.</w:t>
      </w:r>
    </w:p>
    <w:p>
      <w:pPr>
        <w:pStyle w:val="ListParagraph"/>
        <w:numPr>
          <w:ilvl w:val="0"/>
          <w:numId w:val="2"/>
        </w:numPr>
        <w:spacing w:after="60"/>
      </w:pPr>
      <w:r>
        <w:rPr>
          <w:sz w:val="21"/>
          <w:szCs w:val="21"/>
        </w:rPr>
        <w:t xml:space="preserve">Possible subscription tier (higher limits, better rates, premium card) — later.</w:t>
      </w:r>
    </w:p>
    <w:p>
      <w:pPr>
        <w:pStyle w:val="Heading1"/>
      </w:pPr>
      <w:r>
        <w:t xml:space="preserve">10. Success metrics</w:t>
      </w:r>
    </w:p>
    <w:p>
      <w:pPr>
        <w:pStyle w:val="ListParagraph"/>
        <w:numPr>
          <w:ilvl w:val="0"/>
          <w:numId w:val="2"/>
        </w:numPr>
        <w:spacing w:after="60"/>
      </w:pPr>
      <w:r>
        <w:rPr>
          <w:b/>
          <w:bCs/>
          <w:sz w:val="21"/>
          <w:szCs w:val="21"/>
        </w:rPr>
        <w:t xml:space="preserve">Activation:</w:t>
      </w:r>
      <w:r>
        <w:rPr>
          <w:sz w:val="21"/>
          <w:szCs w:val="21"/>
        </w:rPr>
        <w:t xml:space="preserve"> % completing KYC; % with both rails funded within 7 days.</w:t>
      </w:r>
    </w:p>
    <w:p>
      <w:pPr>
        <w:pStyle w:val="ListParagraph"/>
        <w:numPr>
          <w:ilvl w:val="0"/>
          <w:numId w:val="2"/>
        </w:numPr>
        <w:spacing w:after="60"/>
      </w:pPr>
      <w:r>
        <w:rPr>
          <w:b/>
          <w:bCs/>
          <w:sz w:val="21"/>
          <w:szCs w:val="21"/>
        </w:rPr>
        <w:t xml:space="preserve">Engagement:</w:t>
      </w:r>
      <w:r>
        <w:rPr>
          <w:sz w:val="21"/>
          <w:szCs w:val="21"/>
        </w:rPr>
        <w:t xml:space="preserve"> Convert usage (proxy for the dual-rail value prop); card spend per active; rail-switch frequency.</w:t>
      </w:r>
    </w:p>
    <w:p>
      <w:pPr>
        <w:pStyle w:val="ListParagraph"/>
        <w:numPr>
          <w:ilvl w:val="0"/>
          <w:numId w:val="2"/>
        </w:numPr>
        <w:spacing w:after="60"/>
      </w:pPr>
      <w:r>
        <w:rPr>
          <w:b/>
          <w:bCs/>
          <w:sz w:val="21"/>
          <w:szCs w:val="21"/>
        </w:rPr>
        <w:t xml:space="preserve">Balance:</w:t>
      </w:r>
      <w:r>
        <w:rPr>
          <w:sz w:val="21"/>
          <w:szCs w:val="21"/>
        </w:rPr>
        <w:t xml:space="preserve"> total deposits; fiat vs. USDC split; idle-to-Earn conversion rate.</w:t>
      </w:r>
    </w:p>
    <w:p>
      <w:pPr>
        <w:pStyle w:val="ListParagraph"/>
        <w:numPr>
          <w:ilvl w:val="0"/>
          <w:numId w:val="2"/>
        </w:numPr>
        <w:spacing w:after="60"/>
      </w:pPr>
      <w:r>
        <w:rPr>
          <w:b/>
          <w:bCs/>
          <w:sz w:val="21"/>
          <w:szCs w:val="21"/>
        </w:rPr>
        <w:t xml:space="preserve">Invest/Earn:</w:t>
      </w:r>
      <w:r>
        <w:rPr>
          <w:sz w:val="21"/>
          <w:szCs w:val="21"/>
        </w:rPr>
        <w:t xml:space="preserve"> AUM, opt-in rate per product.</w:t>
      </w:r>
    </w:p>
    <w:p>
      <w:pPr>
        <w:pStyle w:val="ListParagraph"/>
        <w:numPr>
          <w:ilvl w:val="0"/>
          <w:numId w:val="2"/>
        </w:numPr>
        <w:spacing w:after="60"/>
      </w:pPr>
      <w:r>
        <w:rPr>
          <w:b/>
          <w:bCs/>
          <w:sz w:val="21"/>
          <w:szCs w:val="21"/>
        </w:rPr>
        <w:t xml:space="preserve">Trust:</w:t>
      </w:r>
      <w:r>
        <w:rPr>
          <w:sz w:val="21"/>
          <w:szCs w:val="21"/>
        </w:rPr>
        <w:t xml:space="preserve"> reconciliation break rate; settlement-failure rate; support contacts per active.</w:t>
      </w:r>
    </w:p>
    <w:p>
      <w:pPr>
        <w:pStyle w:val="Heading1"/>
      </w:pPr>
      <w:r>
        <w:t xml:space="preserve">11.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7"/>
        <w:gridCol w:w="5200"/>
        <w:gridCol w:w="2773"/>
      </w:tblGrid>
      <w:tr>
        <w:trPr>
          <w:tblHeader/>
        </w:trPr>
        <w:tc>
          <w:tcPr>
            <w:tcW w:type="dxa" w:w="1387"/>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Phase</w:t>
            </w:r>
          </w:p>
        </w:tc>
        <w:tc>
          <w:tcPr>
            <w:tcW w:type="dxa" w:w="520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Scope</w:t>
            </w:r>
          </w:p>
        </w:tc>
        <w:tc>
          <w:tcPr>
            <w:tcW w:type="dxa" w:w="2773"/>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Gated by</w:t>
            </w:r>
          </w:p>
        </w:tc>
      </w:tr>
      <w:tr>
        <w:trPr>
          <w:tblHeader w:val="false"/>
        </w:trPr>
        <w:tc>
          <w:tcPr>
            <w:tcW w:type="dxa" w:w="1387"/>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0 — Foundation</w:t>
            </w:r>
          </w:p>
        </w:tc>
        <w:tc>
          <w:tcPr>
            <w:tcW w:type="dxa" w:w="52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Unified ledger, KYC, dual provisioning, self-custody wallet + recovery, reconciliation</w:t>
            </w:r>
          </w:p>
        </w:tc>
        <w:tc>
          <w:tcPr>
            <w:tcW w:type="dxa" w:w="2773"/>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Banking + VASP partner readiness</w:t>
            </w:r>
          </w:p>
        </w:tc>
      </w:tr>
      <w:tr>
        <w:trPr>
          <w:tblHeader w:val="false"/>
        </w:trPr>
        <w:tc>
          <w:tcPr>
            <w:tcW w:type="dxa" w:w="1387"/>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1 — Cash &amp; Spend</w:t>
            </w:r>
          </w:p>
        </w:tc>
        <w:tc>
          <w:tcPr>
            <w:tcW w:type="dxa" w:w="52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SWIFT + AED onramp + USDC deposit, Convert, both cards, Home dashboard</w:t>
            </w:r>
          </w:p>
        </w:tc>
        <w:tc>
          <w:tcPr>
            <w:tcW w:type="dxa" w:w="2773"/>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CBUAE/EMI + issuing</w:t>
            </w:r>
          </w:p>
        </w:tc>
      </w:tr>
      <w:tr>
        <w:trPr>
          <w:tblHeader w:val="false"/>
        </w:trPr>
        <w:tc>
          <w:tcPr>
            <w:tcW w:type="dxa" w:w="1387"/>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2 — Earn</w:t>
            </w:r>
          </w:p>
        </w:tc>
        <w:tc>
          <w:tcPr>
            <w:tcW w:type="dxa" w:w="52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Fiat treasury, stablecoin treasury, stablecoin lending</w:t>
            </w:r>
          </w:p>
        </w:tc>
        <w:tc>
          <w:tcPr>
            <w:tcW w:type="dxa" w:w="2773"/>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Treasury + lending partners</w:t>
            </w:r>
          </w:p>
        </w:tc>
      </w:tr>
      <w:tr>
        <w:trPr>
          <w:tblHeader w:val="false"/>
        </w:trPr>
        <w:tc>
          <w:tcPr>
            <w:tcW w:type="dxa" w:w="1387"/>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3 — Invest</w:t>
            </w:r>
          </w:p>
        </w:tc>
        <w:tc>
          <w:tcPr>
            <w:tcW w:type="dxa" w:w="52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US stocks (fiat), tokenized assets (USDC)</w:t>
            </w:r>
          </w:p>
        </w:tc>
        <w:tc>
          <w:tcPr>
            <w:tcW w:type="dxa" w:w="2773"/>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Securities cover</w:t>
            </w:r>
          </w:p>
        </w:tc>
      </w:tr>
      <w:tr>
        <w:trPr>
          <w:tblHeader w:val="false"/>
        </w:trPr>
        <w:tc>
          <w:tcPr>
            <w:tcW w:type="dxa" w:w="1387"/>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4 — Futures</w:t>
            </w:r>
          </w:p>
        </w:tc>
        <w:tc>
          <w:tcPr>
            <w:tcW w:type="dxa" w:w="52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Hyperliquid stock/commodity/pre-IPO futures</w:t>
            </w:r>
          </w:p>
        </w:tc>
        <w:tc>
          <w:tcPr>
            <w:tcW w:type="dxa" w:w="2773"/>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Derivatives track; own opt-in</w:t>
            </w:r>
          </w:p>
        </w:tc>
      </w:tr>
    </w:tbl>
    <w:p>
      <w:pPr>
        <w:spacing w:after="80"/>
      </w:pPr>
    </w:p>
    <w:p>
      <w:pPr>
        <w:pStyle w:val="Heading1"/>
      </w:pPr>
      <w:r>
        <w:t xml:space="preserve">12. Risks</w:t>
      </w:r>
    </w:p>
    <w:p>
      <w:pPr>
        <w:pStyle w:val="ListParagraph"/>
        <w:numPr>
          <w:ilvl w:val="0"/>
          <w:numId w:val="2"/>
        </w:numPr>
        <w:spacing w:after="60"/>
      </w:pPr>
      <w:r>
        <w:rPr>
          <w:b/>
          <w:bCs/>
          <w:sz w:val="21"/>
          <w:szCs w:val="21"/>
        </w:rPr>
        <w:t xml:space="preserve">De-peg</w:t>
      </w:r>
      <w:r>
        <w:rPr>
          <w:sz w:val="21"/>
          <w:szCs w:val="21"/>
        </w:rPr>
        <w:t xml:space="preserve"> of USDC distorts the unified balance and Convert economics → §7.7.</w:t>
      </w:r>
    </w:p>
    <w:p>
      <w:pPr>
        <w:pStyle w:val="ListParagraph"/>
        <w:numPr>
          <w:ilvl w:val="0"/>
          <w:numId w:val="2"/>
        </w:numPr>
        <w:spacing w:after="60"/>
      </w:pPr>
      <w:r>
        <w:rPr>
          <w:b/>
          <w:bCs/>
          <w:sz w:val="21"/>
          <w:szCs w:val="21"/>
        </w:rPr>
        <w:t xml:space="preserve">Self-custody key loss / compromise</w:t>
      </w:r>
      <w:r>
        <w:rPr>
          <w:sz w:val="21"/>
          <w:szCs w:val="21"/>
        </w:rPr>
        <w:t xml:space="preserve"> — recovery flow, OTP-gated signing/export, user education; liability sits with the user, so the recovery UX must be bulletproof.</w:t>
      </w:r>
    </w:p>
    <w:p>
      <w:pPr>
        <w:pStyle w:val="ListParagraph"/>
        <w:numPr>
          <w:ilvl w:val="0"/>
          <w:numId w:val="2"/>
        </w:numPr>
        <w:spacing w:after="60"/>
      </w:pPr>
      <w:r>
        <w:rPr>
          <w:b/>
          <w:bCs/>
          <w:sz w:val="21"/>
          <w:szCs w:val="21"/>
        </w:rPr>
        <w:t xml:space="preserve">Smart-contract / venue</w:t>
      </w:r>
      <w:r>
        <w:rPr>
          <w:sz w:val="21"/>
          <w:szCs w:val="21"/>
        </w:rPr>
        <w:t xml:space="preserve"> risk on the Morpho lending vault and Hyperliquid → risk tiering, the $50K lending cap, explicit user acknowledgment, disclosures.</w:t>
      </w:r>
    </w:p>
    <w:p>
      <w:pPr>
        <w:pStyle w:val="ListParagraph"/>
        <w:numPr>
          <w:ilvl w:val="0"/>
          <w:numId w:val="2"/>
        </w:numPr>
        <w:spacing w:after="60"/>
      </w:pPr>
      <w:r>
        <w:rPr>
          <w:b/>
          <w:bCs/>
          <w:sz w:val="21"/>
          <w:szCs w:val="21"/>
        </w:rPr>
        <w:t xml:space="preserve">Convert settlement latency</w:t>
      </w:r>
      <w:r>
        <w:rPr>
          <w:sz w:val="21"/>
          <w:szCs w:val="21"/>
        </w:rPr>
        <w:t xml:space="preserve"> — settling on rail confirmation means honest "settling" states; risk is perceived slowness, mitigated by rail choice, not float.</w:t>
      </w:r>
    </w:p>
    <w:p>
      <w:pPr>
        <w:pStyle w:val="ListParagraph"/>
        <w:numPr>
          <w:ilvl w:val="0"/>
          <w:numId w:val="2"/>
        </w:numPr>
        <w:spacing w:after="60"/>
      </w:pPr>
      <w:r>
        <w:rPr>
          <w:b/>
          <w:bCs/>
          <w:sz w:val="21"/>
          <w:szCs w:val="21"/>
        </w:rPr>
        <w:t xml:space="preserve">Regulatory</w:t>
      </w:r>
      <w:r>
        <w:rPr>
          <w:sz w:val="21"/>
          <w:szCs w:val="21"/>
        </w:rPr>
        <w:t xml:space="preserve"> — tokenized securities (xStocks/SCA) and crypto futures are the least settled; don't let them block Cash.</w:t>
      </w:r>
    </w:p>
    <w:p>
      <w:pPr>
        <w:pStyle w:val="ListParagraph"/>
        <w:numPr>
          <w:ilvl w:val="0"/>
          <w:numId w:val="2"/>
        </w:numPr>
        <w:spacing w:after="60"/>
      </w:pPr>
      <w:r>
        <w:rPr>
          <w:b/>
          <w:bCs/>
          <w:sz w:val="21"/>
          <w:szCs w:val="21"/>
        </w:rPr>
        <w:t xml:space="preserve">FX</w:t>
      </w:r>
      <w:r>
        <w:rPr>
          <w:sz w:val="21"/>
          <w:szCs w:val="21"/>
        </w:rPr>
        <w:t xml:space="preserve"> exposure on AED→USD and Convert → hedging/spread policy.</w:t>
      </w:r>
    </w:p>
    <w:p>
      <w:pPr>
        <w:pStyle w:val="ListParagraph"/>
        <w:numPr>
          <w:ilvl w:val="0"/>
          <w:numId w:val="2"/>
        </w:numPr>
        <w:spacing w:after="60"/>
      </w:pPr>
      <w:r>
        <w:rPr>
          <w:b/>
          <w:bCs/>
          <w:sz w:val="21"/>
          <w:szCs w:val="21"/>
        </w:rPr>
        <w:t xml:space="preserve">Card fraud / chargebacks</w:t>
      </w:r>
      <w:r>
        <w:rPr>
          <w:sz w:val="21"/>
          <w:szCs w:val="21"/>
        </w:rPr>
        <w:t xml:space="preserve">, esp. crypto card with auth-time conversion.</w:t>
      </w:r>
    </w:p>
    <w:p>
      <w:pPr>
        <w:pStyle w:val="Heading1"/>
      </w:pPr>
      <w:r>
        <w:t xml:space="preserve">13.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11"/>
        <w:gridCol w:w="6149"/>
      </w:tblGrid>
      <w:tr>
        <w:trPr>
          <w:tblHeader/>
        </w:trPr>
        <w:tc>
          <w:tcPr>
            <w:tcW w:type="dxa" w:w="900"/>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w:t>
            </w:r>
          </w:p>
        </w:tc>
        <w:tc>
          <w:tcPr>
            <w:tcW w:type="dxa" w:w="2311"/>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Decision</w:t>
            </w:r>
          </w:p>
        </w:tc>
        <w:tc>
          <w:tcPr>
            <w:tcW w:type="dxa" w:w="6149"/>
            <w:tcBorders>
              <w:top w:val="single" w:color="D9E2EC" w:sz="1"/>
              <w:left w:val="single" w:color="D9E2EC" w:sz="1"/>
              <w:bottom w:val="single" w:color="D9E2EC" w:sz="1"/>
              <w:right w:val="single" w:color="D9E2EC" w:sz="1"/>
            </w:tcBorders>
            <w:shd w:fill="075ABD" w:val="clear"/>
            <w:tcMar>
              <w:top w:type="dxa" w:w="70"/>
              <w:left w:type="dxa" w:w="120"/>
              <w:bottom w:type="dxa" w:w="70"/>
              <w:right w:type="dxa" w:w="120"/>
            </w:tcMar>
            <w:vAlign w:val="center"/>
          </w:tcPr>
          <w:p>
            <w:pPr>
              <w:spacing w:after="0"/>
            </w:pPr>
            <w:r>
              <w:rPr>
                <w:b/>
                <w:bCs/>
                <w:color w:val="FFFFFF"/>
                <w:sz w:val="19"/>
                <w:szCs w:val="19"/>
              </w:rPr>
              <w:t xml:space="preserve">Resolution</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1</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Eligible base</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UAE residents</w:t>
            </w:r>
            <w:r>
              <w:rPr>
                <w:sz w:val="19"/>
                <w:szCs w:val="19"/>
              </w:rPr>
              <w:t xml:space="preserve"> (Emirates ID) — not nationals-only</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2</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Custody</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Self-custody</w:t>
            </w:r>
            <w:r>
              <w:rPr>
                <w:sz w:val="19"/>
                <w:szCs w:val="19"/>
              </w:rPr>
              <w:t xml:space="preserve"> with recoverable/exportable key in Settings; password+OTP-gated for smooth UX (§6.2)</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3</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Crypto-card funding</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Auth-time conversion</w:t>
            </w:r>
            <w:r>
              <w:rPr>
                <w:sz w:val="19"/>
                <w:szCs w:val="19"/>
              </w:rPr>
              <w:t xml:space="preserve"> (§6.5)</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4</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Convert settlement</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Settle on rail confirmation</w:t>
            </w:r>
            <w:r>
              <w:rPr>
                <w:sz w:val="19"/>
                <w:szCs w:val="19"/>
              </w:rPr>
              <w:t xml:space="preserve"> — no back-settlement float (§6.4)</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5</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Earn risk policy</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Lending via a </w:t>
            </w:r>
            <w:r>
              <w:rPr>
                <w:b/>
                <w:bCs/>
                <w:sz w:val="19"/>
                <w:szCs w:val="19"/>
              </w:rPr>
              <w:t xml:space="preserve">Morpho (MetaMorpho) vault</w:t>
            </w:r>
            <w:r>
              <w:rPr>
                <w:sz w:val="19"/>
                <w:szCs w:val="19"/>
              </w:rPr>
              <w:t xml:space="preserve">; </w:t>
            </w:r>
            <w:r>
              <w:rPr>
                <w:b/>
                <w:bCs/>
                <w:sz w:val="19"/>
                <w:szCs w:val="19"/>
              </w:rPr>
              <w:t xml:space="preserve">$50K per-user cap</w:t>
            </w:r>
            <w:r>
              <w:rPr>
                <w:sz w:val="19"/>
                <w:szCs w:val="19"/>
              </w:rPr>
              <w:t xml:space="preserve">; </w:t>
            </w:r>
            <w:r>
              <w:rPr>
                <w:b/>
                <w:bCs/>
                <w:sz w:val="19"/>
                <w:szCs w:val="19"/>
              </w:rPr>
              <w:t xml:space="preserve">user bears risk</w:t>
            </w:r>
            <w:r>
              <w:rPr>
                <w:sz w:val="19"/>
                <w:szCs w:val="19"/>
              </w:rPr>
              <w:t xml:space="preserve">; </w:t>
            </w:r>
            <w:r>
              <w:rPr>
                <w:b/>
                <w:bCs/>
                <w:sz w:val="19"/>
                <w:szCs w:val="19"/>
              </w:rPr>
              <w:t xml:space="preserve">variable</w:t>
            </w:r>
            <w:r>
              <w:rPr>
                <w:sz w:val="19"/>
                <w:szCs w:val="19"/>
              </w:rPr>
              <w:t xml:space="preserve"> framing (§6.8)</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6</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Tokenized securities</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xStocks</w:t>
            </w:r>
            <w:r>
              <w:rPr>
                <w:sz w:val="19"/>
                <w:szCs w:val="19"/>
              </w:rPr>
              <w:t xml:space="preserve"> (§6.6)</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7</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Futures scope</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In scope, UAE residents only</w:t>
            </w:r>
            <w:r>
              <w:rPr>
                <w:sz w:val="19"/>
                <w:szCs w:val="19"/>
              </w:rPr>
              <w:t xml:space="preserve">, Phase 4 (§6.7)</w:t>
            </w:r>
          </w:p>
        </w:tc>
      </w:tr>
      <w:tr>
        <w:trPr>
          <w:tblHeader w:val="false"/>
        </w:trPr>
        <w:tc>
          <w:tcPr>
            <w:tcW w:type="dxa" w:w="900"/>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8</w:t>
            </w:r>
          </w:p>
        </w:tc>
        <w:tc>
          <w:tcPr>
            <w:tcW w:type="dxa" w:w="2311"/>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sz w:val="19"/>
                <w:szCs w:val="19"/>
              </w:rPr>
              <w:t xml:space="preserve">Base unit of account</w:t>
            </w:r>
          </w:p>
        </w:tc>
        <w:tc>
          <w:tcPr>
            <w:tcW w:type="dxa" w:w="6149"/>
            <w:tcBorders>
              <w:top w:val="single" w:color="D9E2EC" w:sz="1"/>
              <w:left w:val="single" w:color="D9E2EC" w:sz="1"/>
              <w:bottom w:val="single" w:color="D9E2EC" w:sz="1"/>
              <w:right w:val="single" w:color="D9E2EC" w:sz="1"/>
            </w:tcBorders>
            <w:shd w:fill="FFFFFF" w:val="clear"/>
            <w:tcMar>
              <w:top w:type="dxa" w:w="70"/>
              <w:left w:type="dxa" w:w="120"/>
              <w:bottom w:type="dxa" w:w="70"/>
              <w:right w:type="dxa" w:w="120"/>
            </w:tcMar>
            <w:vAlign w:val="center"/>
          </w:tcPr>
          <w:p>
            <w:pPr>
              <w:spacing w:after="0"/>
            </w:pPr>
            <w:r>
              <w:rPr>
                <w:b/>
                <w:bCs/>
                <w:sz w:val="19"/>
                <w:szCs w:val="19"/>
              </w:rPr>
              <w:t xml:space="preserve">USD</w:t>
            </w:r>
            <w:r>
              <w:rPr>
                <w:sz w:val="19"/>
                <w:szCs w:val="19"/>
              </w:rPr>
              <w:t xml:space="preserve">; AED is a funding source only (§2)</w:t>
            </w:r>
          </w:p>
        </w:tc>
      </w:tr>
    </w:tbl>
    <w:p>
      <w:pPr>
        <w:spacing w:after="80"/>
      </w:pPr>
    </w:p>
    <w:p>
      <w:pPr>
        <w:pStyle w:val="Heading1"/>
      </w:pPr>
      <w:r>
        <w:t xml:space="preserve">14. Second-order items these decisions open up</w:t>
      </w:r>
    </w:p>
    <w:p>
      <w:pPr>
        <w:spacing w:after="120"/>
      </w:pPr>
      <w:r>
        <w:rPr>
          <w:sz w:val="21"/>
          <w:szCs w:val="21"/>
        </w:rPr>
        <w:t xml:space="preserve">These follow from the choices above and are worth a decision before the relevant phase:</w:t>
      </w:r>
    </w:p>
    <w:p>
      <w:pPr>
        <w:pStyle w:val="ListParagraph"/>
        <w:numPr>
          <w:ilvl w:val="0"/>
          <w:numId w:val="2"/>
        </w:numPr>
        <w:spacing w:after="60"/>
      </w:pPr>
      <w:r>
        <w:rPr>
          <w:b/>
          <w:bCs/>
          <w:sz w:val="21"/>
          <w:szCs w:val="21"/>
        </w:rPr>
        <w:t xml:space="preserve">Key-recovery design (self-custody):</w:t>
      </w:r>
      <w:r>
        <w:rPr>
          <w:sz w:val="21"/>
          <w:szCs w:val="21"/>
        </w:rPr>
        <w:t xml:space="preserve"> exact recovery factors, what happens on lost password+OTP, and the export-key warning/education flow. Liability sits with the user, so this UX has to be airtight.</w:t>
      </w:r>
    </w:p>
    <w:p>
      <w:pPr>
        <w:pStyle w:val="ListParagraph"/>
        <w:numPr>
          <w:ilvl w:val="0"/>
          <w:numId w:val="2"/>
        </w:numPr>
        <w:spacing w:after="60"/>
      </w:pPr>
      <w:r>
        <w:rPr>
          <w:b/>
          <w:bCs/>
          <w:sz w:val="21"/>
          <w:szCs w:val="21"/>
        </w:rPr>
        <w:t xml:space="preserve">Convert latency expectations:</w:t>
      </w:r>
      <w:r>
        <w:rPr>
          <w:sz w:val="21"/>
          <w:szCs w:val="21"/>
        </w:rPr>
        <w:t xml:space="preserve"> since Convert settles on confirmation, agree the target settle time per direction and the copy for the "settling" state so it doesn't read as broken.</w:t>
      </w:r>
    </w:p>
    <w:p>
      <w:pPr>
        <w:pStyle w:val="ListParagraph"/>
        <w:numPr>
          <w:ilvl w:val="0"/>
          <w:numId w:val="2"/>
        </w:numPr>
        <w:spacing w:after="60"/>
      </w:pPr>
      <w:r>
        <w:rPr>
          <w:b/>
          <w:bCs/>
          <w:sz w:val="21"/>
          <w:szCs w:val="21"/>
        </w:rPr>
        <w:t xml:space="preserve">Morpho vault selection:</w:t>
      </w:r>
      <w:r>
        <w:rPr>
          <w:sz w:val="21"/>
          <w:szCs w:val="21"/>
        </w:rPr>
        <w:t xml:space="preserve"> which specific MetaMorpho vault(s), curator, collateral set, and how the $50K cap is enforced (per-user ledger check vs. on-chain).</w:t>
      </w:r>
    </w:p>
    <w:p>
      <w:pPr>
        <w:pStyle w:val="ListParagraph"/>
        <w:numPr>
          <w:ilvl w:val="0"/>
          <w:numId w:val="2"/>
        </w:numPr>
        <w:spacing w:after="60"/>
      </w:pPr>
      <w:r>
        <w:rPr>
          <w:b/>
          <w:bCs/>
          <w:sz w:val="21"/>
          <w:szCs w:val="21"/>
        </w:rPr>
        <w:t xml:space="preserve">xStocks coverage &amp; SCA path:</w:t>
      </w:r>
      <w:r>
        <w:rPr>
          <w:sz w:val="21"/>
          <w:szCs w:val="21"/>
        </w:rPr>
        <w:t xml:space="preserve"> confirm the instrument list (which equities/commodities) and close the tokenized-securities regulatory treatment.</w:t>
      </w:r>
    </w:p>
    <w:p>
      <w:pPr>
        <w:pStyle w:val="ListParagraph"/>
        <w:numPr>
          <w:ilvl w:val="0"/>
          <w:numId w:val="2"/>
        </w:numPr>
        <w:spacing w:after="60"/>
      </w:pPr>
      <w:r>
        <w:rPr>
          <w:b/>
          <w:bCs/>
          <w:sz w:val="21"/>
          <w:szCs w:val="21"/>
        </w:rPr>
        <w:t xml:space="preserve">Futures gating:</w:t>
      </w:r>
      <w:r>
        <w:rPr>
          <w:sz w:val="21"/>
          <w:szCs w:val="21"/>
        </w:rPr>
        <w:t xml:space="preserve"> appropriateness test design and leverage caps for residents, given it's the highest-risk surface.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C" w:sz="4" w:space="6"/>
      </w:pBdr>
      <w:tabs>
        <w:tab w:val="right" w:pos="9360"/>
      </w:tabs>
    </w:pPr>
    <w:r>
      <w:rPr>
        <w:color w:val="8A99A8"/>
        <w:sz w:val="16"/>
        <w:szCs w:val="16"/>
      </w:rPr>
      <w:t xml:space="preserve">Borderless · Dual-Rail Neobank PRD · Confidential</w:t>
    </w:r>
    <w:r>
      <w:rPr>
        <w:sz w:val="16"/>
        <w:szCs w:val="16"/>
      </w:rPr>
      <w:t xml:space="preserve">	</w:t>
    </w:r>
    <w:r>
      <w:rPr>
        <w:color w:val="8A99A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75ABD"/>
      </w:rPr>
    </w:lvl>
  </w:abstractNum>
  <w:abstractNum w:abstractNumId="3" w15:restartNumberingAfterBreak="0">
    <w:multiLevelType w:val="hybridMultilevel"/>
    <w:lvl w:ilvl="0" w15:tentative="1">
      <w:start w:val="1"/>
      <w:numFmt w:val="bullet"/>
      <w:lvlText w:val="–"/>
      <w:lvlJc w:val="left"/>
      <w:pPr>
        <w:ind w:left="920" w:hanging="260"/>
      </w:pPr>
      <w:rPr>
        <w:color w:val="075ABD"/>
      </w:rPr>
    </w:lvl>
  </w:abstractNum>
  <w:abstractNum w:abstractNumId="4" w15:restartNumberingAfterBreak="0">
    <w:multiLevelType w:val="hybridMultilevel"/>
    <w:lvl w:ilvl="0" w15:tentative="1">
      <w:start w:val="1"/>
      <w:numFmt w:val="decimal"/>
      <w:lvlText w:val="%1."/>
      <w:lvlJc w:val="left"/>
      <w:pPr>
        <w:ind w:left="460" w:hanging="360"/>
      </w:pPr>
      <w:rPr>
        <w:b/>
        <w:bCs/>
        <w:color w:val="0540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2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EC" w:sz="6" w:space="6"/>
      </w:pBdr>
      <w:spacing w:after="140" w:before="320"/>
      <w:outlineLvl w:val="0"/>
    </w:pPr>
    <w:rPr>
      <w:rFonts w:ascii="Arial" w:cs="Arial" w:eastAsia="Arial" w:hAnsi="Arial"/>
      <w:b/>
      <w:bCs/>
      <w:color w:val="075ABD"/>
      <w:sz w:val="30"/>
      <w:szCs w:val="30"/>
    </w:rPr>
  </w:style>
  <w:style w:type="paragraph" w:styleId="Heading2">
    <w:name w:val="Heading 2"/>
    <w:basedOn w:val="Normal"/>
    <w:next w:val="Normal"/>
    <w:qFormat/>
    <w:pPr>
      <w:spacing w:after="90" w:before="240"/>
      <w:outlineLvl w:val="1"/>
    </w:pPr>
    <w:rPr>
      <w:rFonts w:ascii="Arial" w:cs="Arial" w:eastAsia="Arial" w:hAnsi="Arial"/>
      <w:b/>
      <w:bCs/>
      <w:color w:val="0540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0d2d2959d4aeffd336480eff71f822044f6e7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Dual-Rail Cross-Border Neobank (UAE)</dc:title>
  <dc:creator>Borderless</dc:creator>
  <cp:lastModifiedBy>Un-named</cp:lastModifiedBy>
  <cp:revision>1</cp:revision>
  <dcterms:created xsi:type="dcterms:W3CDTF">2026-06-05T09:51:20.837Z</dcterms:created>
  <dcterms:modified xsi:type="dcterms:W3CDTF">2026-06-05T09:51:20.837Z</dcterms:modified>
</cp:coreProperties>
</file>

<file path=docProps/custom.xml><?xml version="1.0" encoding="utf-8"?>
<Properties xmlns="http://schemas.openxmlformats.org/officeDocument/2006/custom-properties" xmlns:vt="http://schemas.openxmlformats.org/officeDocument/2006/docPropsVTypes"/>
</file>