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1454E8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3E8BD985" w14:textId="77777777" w:rsidR="00D34C0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MILESTONE 2 — TESTING &amp; DOCUMENTATION REPORT</w:t>
            </w:r>
          </w:p>
          <w:p w14:paraId="1624942B" w14:textId="487660DD" w:rsidR="00D34C08" w:rsidRDefault="00000000">
            <w:r>
              <w:rPr>
                <w:rFonts w:ascii="Calibri" w:eastAsia="Calibri" w:hAnsi="Calibri" w:cs="Calibri"/>
                <w:color w:val="E07B24"/>
                <w:sz w:val="21"/>
                <w:szCs w:val="21"/>
              </w:rPr>
              <w:t>Pricing Intelligence &amp; Margin Optimisation</w:t>
            </w:r>
          </w:p>
        </w:tc>
      </w:tr>
    </w:tbl>
    <w:p w14:paraId="1870D667" w14:textId="77777777" w:rsidR="00D34C08" w:rsidRDefault="00D34C08">
      <w:pPr>
        <w:spacing w:after="200"/>
      </w:pPr>
    </w:p>
    <w:tbl>
      <w:tblPr>
        <w:tblW w:w="935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D34C08" w14:paraId="49EB7643" w14:textId="77777777">
        <w:tc>
          <w:tcPr>
            <w:tcW w:w="2600" w:type="dxa"/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DF50D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Repository</w:t>
            </w:r>
          </w:p>
        </w:tc>
        <w:tc>
          <w:tcPr>
            <w:tcW w:w="675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EC013" w14:textId="77777777" w:rsidR="00D34C0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github.com/biswapulan/Freight_Quote_Generation_System_Grp</w:t>
            </w:r>
          </w:p>
        </w:tc>
      </w:tr>
      <w:tr w:rsidR="00D34C08" w14:paraId="4F07A2D7" w14:textId="77777777">
        <w:tc>
          <w:tcPr>
            <w:tcW w:w="2600" w:type="dxa"/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24CE9D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Live deployment (frontend)</w:t>
            </w:r>
          </w:p>
        </w:tc>
        <w:tc>
          <w:tcPr>
            <w:tcW w:w="675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75AEA" w14:textId="212B609B" w:rsidR="00D34C0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freight-quote-generation-system-grp.vercel.app</w:t>
            </w:r>
          </w:p>
        </w:tc>
      </w:tr>
      <w:tr w:rsidR="00D34C08" w14:paraId="4E90E422" w14:textId="77777777">
        <w:tc>
          <w:tcPr>
            <w:tcW w:w="2600" w:type="dxa"/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EF828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Backend API host</w:t>
            </w:r>
          </w:p>
        </w:tc>
        <w:tc>
          <w:tcPr>
            <w:tcW w:w="675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82FF82" w14:textId="1D8B4FE4" w:rsidR="00D34C0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freight-quote-generation-system-grp.onrender.com</w:t>
            </w:r>
          </w:p>
        </w:tc>
      </w:tr>
      <w:tr w:rsidR="00D34C08" w14:paraId="758705FE" w14:textId="77777777">
        <w:tc>
          <w:tcPr>
            <w:tcW w:w="2600" w:type="dxa"/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CD840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Document prepared by</w:t>
            </w:r>
          </w:p>
        </w:tc>
        <w:tc>
          <w:tcPr>
            <w:tcW w:w="675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50D84E" w14:textId="00D5C2D0" w:rsidR="00D34C0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Syona Jain</w:t>
            </w:r>
            <w:r w:rsidR="00A74A3F">
              <w:rPr>
                <w:rFonts w:ascii="Calibri" w:eastAsia="Calibri" w:hAnsi="Calibri" w:cs="Calibri"/>
                <w:sz w:val="19"/>
                <w:szCs w:val="19"/>
              </w:rPr>
              <w:t xml:space="preserve"> (Team 1)</w:t>
            </w:r>
          </w:p>
        </w:tc>
      </w:tr>
      <w:tr w:rsidR="00D34C08" w14:paraId="2AD148B1" w14:textId="77777777">
        <w:tc>
          <w:tcPr>
            <w:tcW w:w="2600" w:type="dxa"/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DE36C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675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0A93B4" w14:textId="6186AAC2" w:rsidR="00D34C08" w:rsidRDefault="00FF0D61">
            <w:r>
              <w:rPr>
                <w:rFonts w:ascii="Calibri" w:eastAsia="Calibri" w:hAnsi="Calibri" w:cs="Calibri"/>
                <w:sz w:val="19"/>
                <w:szCs w:val="19"/>
              </w:rPr>
              <w:t>24</w:t>
            </w:r>
            <w:r w:rsidR="002C1C77">
              <w:rPr>
                <w:rFonts w:ascii="Calibri" w:eastAsia="Calibri" w:hAnsi="Calibri" w:cs="Calibri"/>
                <w:sz w:val="19"/>
                <w:szCs w:val="19"/>
              </w:rPr>
              <w:t xml:space="preserve"> August 2026</w:t>
            </w:r>
          </w:p>
        </w:tc>
      </w:tr>
      <w:tr w:rsidR="00D34C08" w14:paraId="60EAEDE2" w14:textId="77777777">
        <w:tc>
          <w:tcPr>
            <w:tcW w:w="2600" w:type="dxa"/>
            <w:shd w:val="clear" w:color="auto" w:fill="F3F4F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DE8225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6750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3A919" w14:textId="77777777" w:rsidR="00D34C08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Milestone 2 — Draft for team review</w:t>
            </w:r>
          </w:p>
        </w:tc>
      </w:tr>
    </w:tbl>
    <w:p w14:paraId="2FB4F415" w14:textId="77777777" w:rsidR="00D34C08" w:rsidRDefault="00D34C08">
      <w:pPr>
        <w:spacing w:after="3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68DD85D1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04A292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t xml:space="preserve">1.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Purpose of This Document</w:t>
            </w:r>
          </w:p>
        </w:tc>
      </w:tr>
    </w:tbl>
    <w:p w14:paraId="15638768" w14:textId="77777777" w:rsidR="00D34C08" w:rsidRDefault="00D34C08">
      <w:pPr>
        <w:spacing w:after="120"/>
      </w:pPr>
    </w:p>
    <w:p w14:paraId="264E6A83" w14:textId="24172F36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 xml:space="preserve">This document records the verification carried out for Milestone 2 (Pricing Intelligence &amp; Margin Optimisation) of the </w:t>
      </w:r>
      <w:r w:rsidR="00A74A3F" w:rsidRPr="00A74A3F">
        <w:rPr>
          <w:rFonts w:ascii="Calibri" w:eastAsia="Calibri" w:hAnsi="Calibri" w:cs="Calibri"/>
          <w:color w:val="111111"/>
          <w:sz w:val="21"/>
          <w:szCs w:val="21"/>
        </w:rPr>
        <w:t>Agentic AI for Maritime</w:t>
      </w:r>
      <w:r w:rsidR="00A74A3F">
        <w:rPr>
          <w:rFonts w:ascii="Calibri" w:eastAsia="Calibri" w:hAnsi="Calibri" w:cs="Calibri"/>
          <w:color w:val="111111"/>
          <w:sz w:val="21"/>
          <w:szCs w:val="21"/>
        </w:rPr>
        <w:t xml:space="preserve"> </w:t>
      </w:r>
      <w:r w:rsidR="00A74A3F" w:rsidRPr="00A74A3F">
        <w:rPr>
          <w:rFonts w:ascii="Calibri" w:eastAsia="Calibri" w:hAnsi="Calibri" w:cs="Calibri"/>
          <w:color w:val="111111"/>
          <w:sz w:val="21"/>
          <w:szCs w:val="21"/>
        </w:rPr>
        <w:t>Freight Pricing and Route Optimization</w:t>
      </w:r>
      <w:r w:rsidR="00A74A3F">
        <w:rPr>
          <w:rFonts w:ascii="Calibri" w:eastAsia="Calibri" w:hAnsi="Calibri" w:cs="Calibri"/>
          <w:color w:val="111111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11111"/>
          <w:sz w:val="21"/>
          <w:szCs w:val="21"/>
        </w:rPr>
        <w:t>project. It covers three things: (a) the M2 planning materials used as the basis of comparison, (b) a code-level review of the pricing and quotes modules in the GitHub repository, confirming what is actually implemented against the Milestone 2 Execution Document and Data Model Specification, and (c) direct execution of the repository's own M2 automated test suites to confirm the core calculation logic behaves as documented.</w:t>
      </w:r>
    </w:p>
    <w:p w14:paraId="2958F33E" w14:textId="77777777" w:rsidR="00D34C08" w:rsidRDefault="00D34C08">
      <w:pPr>
        <w:spacing w:after="2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25777D1D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784838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t xml:space="preserve">2.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Sources Collected</w:t>
            </w:r>
          </w:p>
        </w:tc>
      </w:tr>
    </w:tbl>
    <w:p w14:paraId="7407832B" w14:textId="77777777" w:rsidR="00D34C08" w:rsidRDefault="00D34C08">
      <w:pPr>
        <w:spacing w:after="120"/>
      </w:pPr>
    </w:p>
    <w:p w14:paraId="5F400D51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>2.1 Reference documents (received from mentor)</w:t>
      </w:r>
    </w:p>
    <w:p w14:paraId="374BD0A4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FreightQuote AI — Milestone 2 Execution Document (cost model, incoterms, margin policy, approvals, APIs, day-by-day plan)</w:t>
      </w:r>
    </w:p>
    <w:p w14:paraId="728FF2D9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FreightQuote AI — Milestone 2 MongoDB Data Model Specification (new collections, quote_versions shape, indexes)</w:t>
      </w:r>
    </w:p>
    <w:p w14:paraId="176475C8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FreightQuote AI — Master Data Collections reference (19 master-data collections underpinning both milestones)</w:t>
      </w:r>
    </w:p>
    <w:p w14:paraId="232479F9" w14:textId="77777777" w:rsidR="00D34C08" w:rsidRDefault="00D34C08">
      <w:pPr>
        <w:spacing w:after="140"/>
      </w:pPr>
    </w:p>
    <w:p w14:paraId="49680AEA" w14:textId="4B57BDBA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2.2 </w:t>
      </w:r>
      <w:r w:rsidR="00D23C9C"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Team </w:t>
      </w: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Links </w:t>
      </w:r>
    </w:p>
    <w:tbl>
      <w:tblPr>
        <w:tblW w:w="935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D34C08" w14:paraId="783800EE" w14:textId="77777777">
        <w:trPr>
          <w:tblHeader/>
        </w:trPr>
        <w:tc>
          <w:tcPr>
            <w:tcW w:w="280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79B75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5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3B94A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Link</w:t>
            </w:r>
          </w:p>
        </w:tc>
      </w:tr>
      <w:tr w:rsidR="00D34C08" w14:paraId="004E24F5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9B62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GitHub repository</w:t>
            </w:r>
          </w:p>
        </w:tc>
        <w:tc>
          <w:tcPr>
            <w:tcW w:w="6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BED0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github.com/biswapulan/Freight_Quote_Generation_System_Grp</w:t>
            </w:r>
          </w:p>
        </w:tc>
      </w:tr>
      <w:tr w:rsidR="00D34C08" w14:paraId="6F27D024" w14:textId="77777777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73FD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Deployment link</w:t>
            </w:r>
          </w:p>
        </w:tc>
        <w:tc>
          <w:tcPr>
            <w:tcW w:w="6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9877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freight-quote-generation-system-grp.vercel.app</w:t>
            </w:r>
          </w:p>
        </w:tc>
      </w:tr>
    </w:tbl>
    <w:p w14:paraId="6568D6C8" w14:textId="77777777" w:rsidR="00D34C08" w:rsidRDefault="00D34C08">
      <w:pPr>
        <w:spacing w:after="25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0918F0E9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04B178" w14:textId="181CD372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t xml:space="preserve">3.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What Is Actually Implemented</w:t>
            </w:r>
          </w:p>
        </w:tc>
      </w:tr>
    </w:tbl>
    <w:p w14:paraId="1CDEC37C" w14:textId="77777777" w:rsidR="00D34C08" w:rsidRDefault="00D34C08">
      <w:pPr>
        <w:spacing w:after="120"/>
      </w:pPr>
    </w:p>
    <w:p w14:paraId="28FE364B" w14:textId="24E86A93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lastRenderedPageBreak/>
        <w:t>The repository has grown considerably since the Milestone 1 sign-off — the server/ app now contains dedicated modules for the M2 pricing intelligence layer.</w:t>
      </w:r>
    </w:p>
    <w:p w14:paraId="3B75A610" w14:textId="77777777" w:rsidR="00D34C08" w:rsidRDefault="00D34C08">
      <w:pPr>
        <w:spacing w:after="150"/>
      </w:pPr>
    </w:p>
    <w:p w14:paraId="2B708898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3.1  Incoterm Cost Responsibility Matrix  —  pricing/incoterm.py</w:t>
      </w:r>
    </w:p>
    <w:p w14:paraId="17350A09" w14:textId="034D4430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Implements the seven-incoterm scope table from Execution Doc as an INCOTERM_SCOPE dictionary covering EXW, FCA, FOB, CFR, CIF, DAP and DDP. filter_by_incoterm() returns an empty list for EXW and expands the seller-side component codes correctly for every other term, matching the responsibility matrix line for line.</w:t>
      </w:r>
    </w:p>
    <w:p w14:paraId="68CEB470" w14:textId="77777777" w:rsidR="00D34C08" w:rsidRDefault="00D34C08">
      <w:pPr>
        <w:spacing w:after="120"/>
      </w:pPr>
    </w:p>
    <w:p w14:paraId="5CED1D3A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3.2  Rate Card Resolution  —  pricing/rate_resolver.py</w:t>
      </w:r>
    </w:p>
    <w:p w14:paraId="0F873388" w14:textId="463D98CD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Implements the 5-level priority order from Execution Doc: customer-specific CONTRACT card → general carrier CONTRACT card → SPOT card → TARIFF card → market-rate fallback labelled PREDICTED. Ships with two seeded mock rate cards (Maersk ocean, Emirates SkyCargo air) so the resolver has real lane data to match against out of the box.</w:t>
      </w:r>
    </w:p>
    <w:p w14:paraId="50D0ACBD" w14:textId="77777777" w:rsidR="00D34C08" w:rsidRDefault="00D34C08">
      <w:pPr>
        <w:spacing w:after="120"/>
      </w:pPr>
    </w:p>
    <w:p w14:paraId="707FC1AC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3.3  Air Weight Breaks &amp; the Lower-Break Rule  —  pricing/weight_breaks.py</w:t>
      </w:r>
    </w:p>
    <w:p w14:paraId="7035DCB7" w14:textId="441BCAE0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Full weight-break table (MIN, +45, +100, +300, +500, +1000) with the lower-break optimisation described in Execution Doc.</w:t>
      </w:r>
    </w:p>
    <w:p w14:paraId="5D6154C9" w14:textId="77777777" w:rsidR="00D34C08" w:rsidRDefault="00D34C08">
      <w:pPr>
        <w:spacing w:after="120"/>
      </w:pPr>
    </w:p>
    <w:p w14:paraId="79FE8A0B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3.4  Ten-Step Cost Build-Up  —  pricing/breakdown.py</w:t>
      </w:r>
    </w:p>
    <w:p w14:paraId="3502BED5" w14:textId="77777777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build_cost_breakdown() assembles OFR/AFR base freight, BAF/CAF surcharges, THCO/ISPS/DOC/CCO origin charges, THCD/CCD destination charges, PUH/DLH haulage and CIF-formula insurance (110% of declared value + freight), with every component gated by the incoterm scope matrix and labelled with a source (RATE_CARD, SURCHARGE_TABLE or PREDICTED).</w:t>
      </w:r>
    </w:p>
    <w:p w14:paraId="455FCE84" w14:textId="77777777" w:rsidR="00D34C08" w:rsidRDefault="00D34C08">
      <w:pPr>
        <w:spacing w:after="120"/>
      </w:pPr>
    </w:p>
    <w:p w14:paraId="07826F54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3.5  Margin Policy &amp; Floor Enforcement  —  quotes/margin_policy.py</w:t>
      </w:r>
    </w:p>
    <w:p w14:paraId="31F5A708" w14:textId="0BB0C481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Implements the 5-level resolution order (CUSTOMER_LANE → CUSTOMER_TIER → LANE → CARGO_TYPE → GLOBAL) from Execution Doc</w:t>
      </w:r>
      <w:r w:rsidR="007D1C4C">
        <w:rPr>
          <w:rFonts w:ascii="Calibri" w:eastAsia="Calibri" w:hAnsi="Calibri" w:cs="Calibri"/>
          <w:color w:val="111111"/>
          <w:sz w:val="21"/>
          <w:szCs w:val="21"/>
        </w:rPr>
        <w:t xml:space="preserve">. </w:t>
      </w:r>
      <w:r>
        <w:rPr>
          <w:rFonts w:ascii="Calibri" w:eastAsia="Calibri" w:hAnsi="Calibri" w:cs="Calibri"/>
          <w:color w:val="111111"/>
          <w:sz w:val="21"/>
          <w:szCs w:val="21"/>
        </w:rPr>
        <w:t>enforce_margin_floor() raises MarginFloorViolationError below the resolved floor — the hook point for the 409 QUOTE_BELOW_MARGIN_FLOOR response.</w:t>
      </w:r>
    </w:p>
    <w:p w14:paraId="3815BC9E" w14:textId="77777777" w:rsidR="00D34C08" w:rsidRDefault="00D34C08">
      <w:pPr>
        <w:spacing w:after="120"/>
      </w:pPr>
    </w:p>
    <w:p w14:paraId="34F1C3A7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3.6  Approval Rule Engine  —  quotes/approval_rules.py</w:t>
      </w:r>
    </w:p>
    <w:p w14:paraId="39EBB7BC" w14:textId="430302A0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Ordered evaluation of the approval conditions from Execution Doc— deep margin breach, shallow margin breach, high-value quote, predicted-component quote and missing credit profile — each routed to the correct approver role (PRICING_MANAGER / SENIOR_BROKER).</w:t>
      </w:r>
    </w:p>
    <w:p w14:paraId="22F46783" w14:textId="77777777" w:rsidR="00D34C08" w:rsidRDefault="00D34C08">
      <w:pPr>
        <w:spacing w:after="120"/>
      </w:pPr>
    </w:p>
    <w:p w14:paraId="1533D99E" w14:textId="77777777" w:rsidR="00D34C08" w:rsidRDefault="00000000">
      <w:pPr>
        <w:spacing w:after="120"/>
      </w:pPr>
      <w:r>
        <w:rPr>
          <w:rFonts w:ascii="Calibri" w:eastAsia="Calibri" w:hAnsi="Calibri" w:cs="Calibri"/>
          <w:b/>
          <w:bCs/>
          <w:color w:val="1B2430"/>
        </w:rPr>
        <w:t>3.7  API Surface  —  pricing/urls.py, quotes/urls.py</w:t>
      </w:r>
    </w:p>
    <w:p w14:paraId="013051C0" w14:textId="65887B3B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>Confirmed endpoints exist matching the Execution Doc:</w:t>
      </w:r>
    </w:p>
    <w:p w14:paraId="35BCF3F0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POST /api/quotes/cost-breakdown/  — itemised 10-step build-up</w:t>
      </w:r>
    </w:p>
    <w:p w14:paraId="2CE71914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POST /api/pricing/rate-cards/validate  — Phase 1 of the two-phase rate card import</w:t>
      </w:r>
    </w:p>
    <w:p w14:paraId="38B9DFDE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POST /api/pricing/rate-cards/commit  — Phase 2, gated on a validation token</w:t>
      </w:r>
    </w:p>
    <w:p w14:paraId="4DCE2C0D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Existing M1 endpoints (quote estimate, quote history, admin rate-config) remain in place alongside the new M2 routes</w:t>
      </w:r>
    </w:p>
    <w:p w14:paraId="797CD7D8" w14:textId="77777777" w:rsidR="00D34C08" w:rsidRDefault="00D34C08">
      <w:pPr>
        <w:spacing w:after="25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2C6CB7C8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71739A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lastRenderedPageBreak/>
              <w:t xml:space="preserve">4.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Automated Test Verification</w:t>
            </w:r>
          </w:p>
        </w:tc>
      </w:tr>
    </w:tbl>
    <w:p w14:paraId="61D34F84" w14:textId="77777777" w:rsidR="00D34C08" w:rsidRDefault="00D34C08">
      <w:pPr>
        <w:spacing w:after="120"/>
      </w:pPr>
    </w:p>
    <w:p w14:paraId="029E6F52" w14:textId="071CBA0C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 xml:space="preserve">Rather than relying only on a code read-through, the repository's own M2 test files were </w:t>
      </w:r>
      <w:r w:rsidR="00106559">
        <w:rPr>
          <w:rFonts w:ascii="Calibri" w:eastAsia="Calibri" w:hAnsi="Calibri" w:cs="Calibri"/>
          <w:color w:val="111111"/>
          <w:sz w:val="21"/>
          <w:szCs w:val="21"/>
        </w:rPr>
        <w:t xml:space="preserve">tested </w:t>
      </w:r>
      <w:r>
        <w:rPr>
          <w:rFonts w:ascii="Calibri" w:eastAsia="Calibri" w:hAnsi="Calibri" w:cs="Calibri"/>
          <w:color w:val="111111"/>
          <w:sz w:val="21"/>
          <w:szCs w:val="21"/>
        </w:rPr>
        <w:t>and executed directly against the pricing and quotes modules during this review.</w:t>
      </w:r>
    </w:p>
    <w:p w14:paraId="132153A4" w14:textId="77777777" w:rsidR="00D34C08" w:rsidRDefault="00D34C08">
      <w:pPr>
        <w:spacing w:after="140"/>
      </w:pPr>
    </w:p>
    <w:tbl>
      <w:tblPr>
        <w:tblW w:w="935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8"/>
        <w:gridCol w:w="4376"/>
        <w:gridCol w:w="1466"/>
      </w:tblGrid>
      <w:tr w:rsidR="00D34C08" w14:paraId="190915C2" w14:textId="77777777">
        <w:trPr>
          <w:tblHeader/>
        </w:trPr>
        <w:tc>
          <w:tcPr>
            <w:tcW w:w="330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26C90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 file</w:t>
            </w:r>
          </w:p>
        </w:tc>
        <w:tc>
          <w:tcPr>
            <w:tcW w:w="455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B7A5A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verifies</w:t>
            </w:r>
          </w:p>
        </w:tc>
        <w:tc>
          <w:tcPr>
            <w:tcW w:w="150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17E5A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34C08" w14:paraId="110396A8" w14:textId="77777777"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6126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server/tests/test_m2_pricing.py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AA56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Incoterm scope matrix (incl. EXW), air lower-break rule, 10-step cost breakdown, margin floor 409 trigger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77EC" w14:textId="77777777" w:rsidR="00D34C08" w:rsidRDefault="00000000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PASSED (4/4)</w:t>
            </w:r>
          </w:p>
        </w:tc>
      </w:tr>
      <w:tr w:rsidR="00D34C08" w14:paraId="07958A31" w14:textId="77777777"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4EA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server/tests/test_m1_m2_full_pipeline.py</w:t>
            </w:r>
          </w:p>
        </w:tc>
        <w:tc>
          <w:tcPr>
            <w:tcW w:w="4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8375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End-to-end M1 route agent → M2 pricing &amp; margin pipeline, run together as one integrated flow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C8F0" w14:textId="77777777" w:rsidR="00D34C08" w:rsidRDefault="00000000">
            <w:r>
              <w:rPr>
                <w:rFonts w:ascii="Calibri" w:eastAsia="Calibri" w:hAnsi="Calibri" w:cs="Calibri"/>
                <w:color w:val="1E7B34"/>
                <w:sz w:val="19"/>
                <w:szCs w:val="19"/>
              </w:rPr>
              <w:t>PASSED (2/2)</w:t>
            </w:r>
          </w:p>
        </w:tc>
      </w:tr>
    </w:tbl>
    <w:p w14:paraId="783B8D6B" w14:textId="77777777" w:rsidR="00D34C08" w:rsidRDefault="00D34C08">
      <w:pPr>
        <w:spacing w:after="160"/>
      </w:pPr>
    </w:p>
    <w:p w14:paraId="38E243BD" w14:textId="77777777" w:rsidR="00D34C08" w:rsidRDefault="00D34C08">
      <w:pPr>
        <w:spacing w:after="25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47E8951A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4D84B2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t xml:space="preserve">5.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Live Deployment — What Could Be Confirmed vs. What Needs Manual Testing</w:t>
            </w:r>
          </w:p>
        </w:tc>
      </w:tr>
    </w:tbl>
    <w:p w14:paraId="40ACEAA0" w14:textId="77777777" w:rsidR="00D34C08" w:rsidRDefault="00D34C08">
      <w:pPr>
        <w:spacing w:after="120"/>
      </w:pPr>
    </w:p>
    <w:p w14:paraId="44B1D058" w14:textId="180A20F5" w:rsidR="00D34C08" w:rsidRDefault="00000000">
      <w:pPr>
        <w:spacing w:after="120"/>
      </w:pPr>
      <w:r>
        <w:rPr>
          <w:rFonts w:ascii="Calibri" w:eastAsia="Calibri" w:hAnsi="Calibri" w:cs="Calibri"/>
          <w:color w:val="111111"/>
          <w:sz w:val="21"/>
          <w:szCs w:val="21"/>
        </w:rPr>
        <w:t xml:space="preserve">The Milestone 1 review confirmed the Vercel deployment resolves and the Render backend is reachable from an ordinary browser. </w:t>
      </w:r>
      <w:bookmarkStart w:id="0" w:name="_Hlk240201031"/>
      <w:r w:rsidR="0005258D">
        <w:rPr>
          <w:rFonts w:ascii="Calibri" w:eastAsia="Calibri" w:hAnsi="Calibri" w:cs="Calibri"/>
          <w:color w:val="111111"/>
          <w:sz w:val="21"/>
          <w:szCs w:val="21"/>
        </w:rPr>
        <w:t>T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he live UI flows </w:t>
      </w:r>
      <w:r w:rsidR="006E2F7B">
        <w:rPr>
          <w:rFonts w:ascii="Calibri" w:eastAsia="Calibri" w:hAnsi="Calibri" w:cs="Calibri"/>
          <w:color w:val="111111"/>
          <w:sz w:val="21"/>
          <w:szCs w:val="21"/>
        </w:rPr>
        <w:t>we</w:t>
      </w:r>
      <w:r w:rsidR="0005258D">
        <w:rPr>
          <w:rFonts w:ascii="Calibri" w:eastAsia="Calibri" w:hAnsi="Calibri" w:cs="Calibri"/>
          <w:color w:val="111111"/>
          <w:sz w:val="21"/>
          <w:szCs w:val="21"/>
        </w:rPr>
        <w:t xml:space="preserve">re </w:t>
      </w:r>
      <w:r>
        <w:rPr>
          <w:rFonts w:ascii="Calibri" w:eastAsia="Calibri" w:hAnsi="Calibri" w:cs="Calibri"/>
          <w:color w:val="111111"/>
          <w:sz w:val="21"/>
          <w:szCs w:val="21"/>
        </w:rPr>
        <w:t xml:space="preserve">verified </w:t>
      </w:r>
      <w:r w:rsidR="0005258D">
        <w:rPr>
          <w:rFonts w:ascii="Calibri" w:eastAsia="Calibri" w:hAnsi="Calibri" w:cs="Calibri"/>
          <w:color w:val="111111"/>
          <w:sz w:val="21"/>
          <w:szCs w:val="21"/>
        </w:rPr>
        <w:t>manually.</w:t>
      </w:r>
    </w:p>
    <w:bookmarkEnd w:id="0"/>
    <w:p w14:paraId="7492A019" w14:textId="77777777" w:rsidR="00D34C08" w:rsidRDefault="00D34C08">
      <w:pPr>
        <w:spacing w:after="140"/>
      </w:pPr>
    </w:p>
    <w:tbl>
      <w:tblPr>
        <w:tblW w:w="9350" w:type="dxa"/>
        <w:tblBorders>
          <w:top w:val="single" w:sz="4" w:space="0" w:color="C9CDD3"/>
          <w:left w:val="single" w:sz="4" w:space="0" w:color="C9CDD3"/>
          <w:bottom w:val="single" w:sz="4" w:space="0" w:color="C9CDD3"/>
          <w:right w:val="single" w:sz="4" w:space="0" w:color="C9CDD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50"/>
      </w:tblGrid>
      <w:tr w:rsidR="00D34C08" w14:paraId="33E1056B" w14:textId="77777777">
        <w:trPr>
          <w:tblHeader/>
        </w:trPr>
        <w:tc>
          <w:tcPr>
            <w:tcW w:w="520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4E102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4150" w:type="dxa"/>
            <w:shd w:val="clear" w:color="auto" w:fill="1B243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8E25F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34C08" w14:paraId="77B7F92B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A878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Vercel deployment resolves and serves the app</w:t>
            </w:r>
          </w:p>
        </w:tc>
        <w:tc>
          <w:tcPr>
            <w:tcW w:w="4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F230" w14:textId="20AE84FA" w:rsidR="00D34C08" w:rsidRPr="00CD4DBA" w:rsidRDefault="00000000">
            <w:pPr>
              <w:rPr>
                <w:color w:val="00B050"/>
              </w:rPr>
            </w:pPr>
            <w:r w:rsidRPr="00CD4DBA">
              <w:rPr>
                <w:rFonts w:ascii="Calibri" w:eastAsia="Calibri" w:hAnsi="Calibri" w:cs="Calibri"/>
                <w:color w:val="00B050"/>
                <w:sz w:val="19"/>
                <w:szCs w:val="19"/>
              </w:rPr>
              <w:t xml:space="preserve">Confirmed at M1 sign-off </w:t>
            </w:r>
          </w:p>
        </w:tc>
      </w:tr>
      <w:tr w:rsidR="00D34C08" w14:paraId="0D6F8847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EFBD" w14:textId="77777777" w:rsidR="00D34C08" w:rsidRDefault="00000000">
            <w:r>
              <w:rPr>
                <w:rFonts w:ascii="Calibri" w:eastAsia="Calibri" w:hAnsi="Calibri" w:cs="Calibri"/>
                <w:color w:val="111111"/>
                <w:sz w:val="19"/>
                <w:szCs w:val="19"/>
              </w:rPr>
              <w:t>Backend (Render) reachable from an ordinary browser</w:t>
            </w:r>
          </w:p>
        </w:tc>
        <w:tc>
          <w:tcPr>
            <w:tcW w:w="4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0F15" w14:textId="234B4105" w:rsidR="00D34C08" w:rsidRPr="00CD4DBA" w:rsidRDefault="00000000">
            <w:pPr>
              <w:rPr>
                <w:color w:val="00B050"/>
              </w:rPr>
            </w:pPr>
            <w:r w:rsidRPr="00CD4DBA">
              <w:rPr>
                <w:rFonts w:ascii="Calibri" w:eastAsia="Calibri" w:hAnsi="Calibri" w:cs="Calibri"/>
                <w:color w:val="00B050"/>
                <w:sz w:val="19"/>
                <w:szCs w:val="19"/>
              </w:rPr>
              <w:t xml:space="preserve">Confirmed at M1 sign-off </w:t>
            </w:r>
          </w:p>
        </w:tc>
      </w:tr>
      <w:tr w:rsidR="00D34C08" w14:paraId="3FFC36BB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B1C9" w14:textId="77777777" w:rsidR="00D34C08" w:rsidRPr="002C1C77" w:rsidRDefault="00000000">
            <w:pPr>
              <w:rPr>
                <w:color w:val="000000" w:themeColor="text1"/>
              </w:rPr>
            </w:pPr>
            <w:r w:rsidRPr="002C1C7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Quote builder shows Incoterm dropdown + itemised cost breakdown table</w:t>
            </w:r>
          </w:p>
        </w:tc>
        <w:tc>
          <w:tcPr>
            <w:tcW w:w="4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2304" w14:textId="77777777" w:rsidR="00D34C08" w:rsidRPr="00CD4DBA" w:rsidRDefault="00000000">
            <w:pPr>
              <w:rPr>
                <w:color w:val="00B050"/>
              </w:rPr>
            </w:pPr>
            <w:r w:rsidRPr="00CD4DBA">
              <w:rPr>
                <w:rFonts w:ascii="Calibri" w:eastAsia="Calibri" w:hAnsi="Calibri" w:cs="Calibri"/>
                <w:color w:val="00B050"/>
                <w:sz w:val="19"/>
                <w:szCs w:val="19"/>
              </w:rPr>
              <w:t>See screenshot</w:t>
            </w:r>
          </w:p>
        </w:tc>
      </w:tr>
      <w:tr w:rsidR="00D34C08" w14:paraId="5A3BB335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AA2F" w14:textId="7AA53D0D" w:rsidR="00D34C08" w:rsidRPr="002C1C77" w:rsidRDefault="002C1C77">
            <w:pPr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</w:pPr>
            <w:r w:rsidRPr="002C1C77">
              <w:rPr>
                <w:rFonts w:asciiTheme="minorHAnsi" w:hAnsiTheme="minorHAnsi" w:cstheme="minorHAnsi"/>
                <w:color w:val="000000" w:themeColor="text1"/>
                <w:sz w:val="19"/>
                <w:szCs w:val="19"/>
              </w:rPr>
              <w:t>Risk explainability card shows factor-level contribution breakdown</w:t>
            </w:r>
          </w:p>
        </w:tc>
        <w:tc>
          <w:tcPr>
            <w:tcW w:w="4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792E9" w14:textId="77777777" w:rsidR="00D34C08" w:rsidRPr="00CD4DBA" w:rsidRDefault="00000000">
            <w:pPr>
              <w:rPr>
                <w:color w:val="00B050"/>
              </w:rPr>
            </w:pPr>
            <w:r w:rsidRPr="00CD4DBA">
              <w:rPr>
                <w:rFonts w:ascii="Calibri" w:eastAsia="Calibri" w:hAnsi="Calibri" w:cs="Calibri"/>
                <w:color w:val="00B050"/>
                <w:sz w:val="19"/>
                <w:szCs w:val="19"/>
              </w:rPr>
              <w:t>See screenshot</w:t>
            </w:r>
          </w:p>
        </w:tc>
      </w:tr>
      <w:tr w:rsidR="00D34C08" w14:paraId="225B1A38" w14:textId="77777777">
        <w:tc>
          <w:tcPr>
            <w:tcW w:w="5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EBCB" w14:textId="77777777" w:rsidR="00D34C08" w:rsidRPr="002C1C77" w:rsidRDefault="00000000">
            <w:pPr>
              <w:rPr>
                <w:color w:val="000000" w:themeColor="text1"/>
              </w:rPr>
            </w:pPr>
            <w:r w:rsidRPr="002C1C77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Approval queue lists pending approvals with a breach reason</w:t>
            </w:r>
          </w:p>
        </w:tc>
        <w:tc>
          <w:tcPr>
            <w:tcW w:w="41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A809" w14:textId="77777777" w:rsidR="00D34C08" w:rsidRPr="00CD4DBA" w:rsidRDefault="00000000">
            <w:pPr>
              <w:rPr>
                <w:color w:val="00B050"/>
              </w:rPr>
            </w:pPr>
            <w:r w:rsidRPr="00CD4DBA">
              <w:rPr>
                <w:rFonts w:ascii="Calibri" w:eastAsia="Calibri" w:hAnsi="Calibri" w:cs="Calibri"/>
                <w:color w:val="00B050"/>
                <w:sz w:val="19"/>
                <w:szCs w:val="19"/>
              </w:rPr>
              <w:t>See screenshot</w:t>
            </w:r>
          </w:p>
        </w:tc>
      </w:tr>
    </w:tbl>
    <w:p w14:paraId="15468192" w14:textId="77777777" w:rsidR="00D34C08" w:rsidRDefault="00D34C08">
      <w:pPr>
        <w:spacing w:after="25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1BB90A2D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E58200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t xml:space="preserve">6.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Screenshot Checklist</w:t>
            </w:r>
          </w:p>
        </w:tc>
      </w:tr>
    </w:tbl>
    <w:p w14:paraId="24C82176" w14:textId="77777777" w:rsidR="00D34C08" w:rsidRDefault="00D34C08">
      <w:pPr>
        <w:spacing w:after="140"/>
      </w:pPr>
    </w:p>
    <w:tbl>
      <w:tblPr>
        <w:tblW w:w="9350" w:type="dxa"/>
        <w:tblBorders>
          <w:top w:val="dashed" w:sz="6" w:space="0" w:color="E07B24"/>
          <w:left w:val="dashed" w:sz="6" w:space="0" w:color="E07B24"/>
          <w:bottom w:val="dashed" w:sz="6" w:space="0" w:color="E07B24"/>
          <w:right w:val="dashed" w:sz="6" w:space="0" w:color="E07B2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09DF801F" w14:textId="77777777">
        <w:tc>
          <w:tcPr>
            <w:tcW w:w="0" w:type="auto"/>
            <w:shd w:val="clear" w:color="auto" w:fill="FDF3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CB87FCA" w14:textId="77777777" w:rsidR="00D34C08" w:rsidRDefault="00000000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4A0F"/>
                <w:sz w:val="21"/>
                <w:szCs w:val="21"/>
              </w:rPr>
              <w:t>1. Quote builder — Incoterm + cost breakdown</w:t>
            </w:r>
          </w:p>
          <w:p w14:paraId="3D0B2CA5" w14:textId="6BABA0DD" w:rsidR="005743A9" w:rsidRDefault="00000000" w:rsidP="005743A9">
            <w:pPr>
              <w:spacing w:after="100"/>
            </w:pPr>
            <w:r>
              <w:rPr>
                <w:rFonts w:ascii="Segoe UI Emoji" w:eastAsia="Calibri" w:hAnsi="Segoe UI Emoji" w:cs="Segoe UI Emoji"/>
                <w:b/>
                <w:bCs/>
                <w:color w:val="E07B24"/>
              </w:rPr>
              <w:lastRenderedPageBreak/>
              <w:t>📷</w:t>
            </w:r>
            <w:r>
              <w:rPr>
                <w:rFonts w:ascii="Calibri" w:eastAsia="Calibri" w:hAnsi="Calibri" w:cs="Calibri"/>
                <w:b/>
                <w:bCs/>
                <w:color w:val="E07B24"/>
              </w:rPr>
              <w:t xml:space="preserve">  SCREENSHOT — </w:t>
            </w:r>
            <w:r w:rsidR="005743A9">
              <w:rPr>
                <w:noProof/>
              </w:rPr>
              <w:drawing>
                <wp:inline distT="0" distB="0" distL="0" distR="0" wp14:anchorId="32472F48" wp14:editId="0842E1B4">
                  <wp:extent cx="4561114" cy="2394585"/>
                  <wp:effectExtent l="0" t="0" r="0" b="5715"/>
                  <wp:docPr id="74793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93637" name="Picture 7479363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065" cy="240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C7B9F" w14:textId="089CC7E0" w:rsidR="00D34C08" w:rsidRDefault="00D34C08"/>
        </w:tc>
      </w:tr>
    </w:tbl>
    <w:p w14:paraId="635F6CFF" w14:textId="77777777" w:rsidR="00D34C08" w:rsidRDefault="00D34C08">
      <w:pPr>
        <w:spacing w:after="160"/>
      </w:pPr>
    </w:p>
    <w:tbl>
      <w:tblPr>
        <w:tblW w:w="9350" w:type="dxa"/>
        <w:tblBorders>
          <w:top w:val="dashed" w:sz="6" w:space="0" w:color="E07B24"/>
          <w:left w:val="dashed" w:sz="6" w:space="0" w:color="E07B24"/>
          <w:bottom w:val="dashed" w:sz="6" w:space="0" w:color="E07B24"/>
          <w:right w:val="dashed" w:sz="6" w:space="0" w:color="E07B2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6852DD8A" w14:textId="77777777">
        <w:tc>
          <w:tcPr>
            <w:tcW w:w="0" w:type="auto"/>
            <w:shd w:val="clear" w:color="auto" w:fill="FDF3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E57144" w14:textId="53C0728C" w:rsidR="00D34C08" w:rsidRDefault="002C1C77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4A0F"/>
                <w:sz w:val="21"/>
                <w:szCs w:val="21"/>
              </w:rPr>
              <w:t>2. Risk Intelligence</w:t>
            </w:r>
          </w:p>
          <w:p w14:paraId="1366C2FB" w14:textId="7A75E288" w:rsidR="00D34C08" w:rsidRPr="002C1C77" w:rsidRDefault="00000000" w:rsidP="002C1C77">
            <w:pPr>
              <w:spacing w:after="100"/>
              <w:rPr>
                <w:rFonts w:ascii="Calibri" w:eastAsia="Calibri" w:hAnsi="Calibri" w:cs="Calibri"/>
                <w:i/>
                <w:iCs/>
                <w:color w:val="555555"/>
                <w:sz w:val="18"/>
                <w:szCs w:val="18"/>
              </w:rPr>
            </w:pPr>
            <w:r>
              <w:rPr>
                <w:rFonts w:ascii="Segoe UI Emoji" w:eastAsia="Calibri" w:hAnsi="Segoe UI Emoji" w:cs="Segoe UI Emoji"/>
                <w:b/>
                <w:bCs/>
                <w:color w:val="E07B24"/>
              </w:rPr>
              <w:t>📷</w:t>
            </w:r>
            <w:r>
              <w:rPr>
                <w:rFonts w:ascii="Calibri" w:eastAsia="Calibri" w:hAnsi="Calibri" w:cs="Calibri"/>
                <w:b/>
                <w:bCs/>
                <w:color w:val="E07B24"/>
              </w:rPr>
              <w:t xml:space="preserve">  SCREENSHOT —</w:t>
            </w:r>
            <w:r w:rsidR="002C1C77">
              <w:rPr>
                <w:rFonts w:ascii="Calibri" w:eastAsia="Calibri" w:hAnsi="Calibri" w:cs="Calibri"/>
                <w:i/>
                <w:iCs/>
                <w:noProof/>
                <w:color w:val="555555"/>
                <w:sz w:val="18"/>
                <w:szCs w:val="18"/>
              </w:rPr>
              <w:drawing>
                <wp:inline distT="0" distB="0" distL="0" distR="0" wp14:anchorId="39B80E59" wp14:editId="7EB993E3">
                  <wp:extent cx="4682067" cy="2458085"/>
                  <wp:effectExtent l="0" t="0" r="4445" b="0"/>
                  <wp:docPr id="774981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981814" name="Picture 77498181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142" cy="246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C49AC" w14:textId="77777777" w:rsidR="00D34C08" w:rsidRDefault="00D34C08">
      <w:pPr>
        <w:spacing w:after="160"/>
      </w:pPr>
    </w:p>
    <w:tbl>
      <w:tblPr>
        <w:tblW w:w="9350" w:type="dxa"/>
        <w:tblBorders>
          <w:top w:val="dashed" w:sz="6" w:space="0" w:color="E07B24"/>
          <w:left w:val="dashed" w:sz="6" w:space="0" w:color="E07B24"/>
          <w:bottom w:val="dashed" w:sz="6" w:space="0" w:color="E07B24"/>
          <w:right w:val="dashed" w:sz="6" w:space="0" w:color="E07B2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76DA72B3" w14:textId="77777777">
        <w:tc>
          <w:tcPr>
            <w:tcW w:w="0" w:type="auto"/>
            <w:shd w:val="clear" w:color="auto" w:fill="FDF3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E332CE4" w14:textId="2D2D473A" w:rsidR="00D34C08" w:rsidRDefault="002C1C77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4A0F"/>
                <w:sz w:val="21"/>
                <w:szCs w:val="21"/>
              </w:rPr>
              <w:t>3. Approver queue list</w:t>
            </w:r>
          </w:p>
          <w:p w14:paraId="683FE8FF" w14:textId="080A823A" w:rsidR="00D34C08" w:rsidRDefault="00000000" w:rsidP="002C1C77">
            <w:pPr>
              <w:spacing w:after="100"/>
            </w:pPr>
            <w:r>
              <w:rPr>
                <w:rFonts w:ascii="Segoe UI Emoji" w:eastAsia="Calibri" w:hAnsi="Segoe UI Emoji" w:cs="Segoe UI Emoji"/>
                <w:b/>
                <w:bCs/>
                <w:color w:val="E07B24"/>
              </w:rPr>
              <w:lastRenderedPageBreak/>
              <w:t>📷</w:t>
            </w:r>
            <w:r>
              <w:rPr>
                <w:rFonts w:ascii="Calibri" w:eastAsia="Calibri" w:hAnsi="Calibri" w:cs="Calibri"/>
                <w:b/>
                <w:bCs/>
                <w:color w:val="E07B24"/>
              </w:rPr>
              <w:t xml:space="preserve">  SCREENSHOT — </w:t>
            </w:r>
            <w:r w:rsidR="002C1C77">
              <w:rPr>
                <w:noProof/>
              </w:rPr>
              <w:drawing>
                <wp:inline distT="0" distB="0" distL="0" distR="0" wp14:anchorId="266F3863" wp14:editId="3D12364A">
                  <wp:extent cx="4655541" cy="2351405"/>
                  <wp:effectExtent l="0" t="0" r="0" b="0"/>
                  <wp:docPr id="12096714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671445" name="Picture 120967144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374" cy="236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6F24BB" w14:textId="77777777" w:rsidR="00D34C08" w:rsidRDefault="00D34C08">
      <w:pPr>
        <w:spacing w:after="300"/>
      </w:pP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D34C08" w14:paraId="6473ECF3" w14:textId="77777777">
        <w:tc>
          <w:tcPr>
            <w:tcW w:w="9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43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E0DC66" w14:textId="77777777" w:rsidR="00D34C08" w:rsidRDefault="00000000">
            <w:r>
              <w:rPr>
                <w:rFonts w:ascii="Calibri" w:eastAsia="Calibri" w:hAnsi="Calibri" w:cs="Calibri"/>
                <w:b/>
                <w:bCs/>
                <w:color w:val="E07B24"/>
                <w:sz w:val="24"/>
                <w:szCs w:val="24"/>
              </w:rPr>
              <w:t xml:space="preserve">7.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Summary for the Milestone Report</w:t>
            </w:r>
          </w:p>
        </w:tc>
      </w:tr>
    </w:tbl>
    <w:p w14:paraId="4E561373" w14:textId="77777777" w:rsidR="00D34C08" w:rsidRDefault="00D34C08">
      <w:pPr>
        <w:spacing w:after="140"/>
      </w:pPr>
    </w:p>
    <w:p w14:paraId="5734EF34" w14:textId="1B36B97F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Repository and deployment both exist and were confirmed reachable at Milestone 1 sign-off</w:t>
      </w:r>
      <w:r w:rsidR="00680192">
        <w:rPr>
          <w:rFonts w:ascii="Calibri" w:eastAsia="Calibri" w:hAnsi="Calibri" w:cs="Calibri"/>
          <w:color w:val="111111"/>
          <w:sz w:val="21"/>
          <w:szCs w:val="21"/>
        </w:rPr>
        <w:t xml:space="preserve"> and again at Milestone 2</w:t>
      </w:r>
      <w:r>
        <w:rPr>
          <w:rFonts w:ascii="Calibri" w:eastAsia="Calibri" w:hAnsi="Calibri" w:cs="Calibri"/>
          <w:color w:val="111111"/>
          <w:sz w:val="21"/>
          <w:szCs w:val="21"/>
        </w:rPr>
        <w:t>.</w:t>
      </w:r>
    </w:p>
    <w:p w14:paraId="24C98239" w14:textId="77777777" w:rsidR="00D34C08" w:rsidRDefault="00000000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Every M2-scoped calculation module described in the Execution Document — the incoterm scope matrix, rate card resolution, air weight breaks with the lower-break rule, the 10-step cost build-up, margin floor enforcement and the approval rule engine — is present in the codebase and matches the specification's logic.</w:t>
      </w:r>
    </w:p>
    <w:p w14:paraId="01DAD681" w14:textId="0AB8CC98" w:rsidR="00D34C08" w:rsidRDefault="00000000" w:rsidP="0073700D">
      <w:pPr>
        <w:pStyle w:val="ListParagraph"/>
        <w:numPr>
          <w:ilvl w:val="0"/>
          <w:numId w:val="1"/>
        </w:numPr>
        <w:spacing w:after="90"/>
      </w:pPr>
      <w:r>
        <w:rPr>
          <w:rFonts w:ascii="Calibri" w:eastAsia="Calibri" w:hAnsi="Calibri" w:cs="Calibri"/>
          <w:color w:val="111111"/>
          <w:sz w:val="21"/>
          <w:szCs w:val="21"/>
        </w:rPr>
        <w:t>API endpoints for the cost breakdown and the two-phase rate card import (validate/commit) are wired and routable.</w:t>
      </w:r>
    </w:p>
    <w:sectPr w:rsidR="00D34C08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E7F27"/>
    <w:multiLevelType w:val="hybridMultilevel"/>
    <w:tmpl w:val="43627F40"/>
    <w:lvl w:ilvl="0" w:tplc="3D929458">
      <w:start w:val="1"/>
      <w:numFmt w:val="bullet"/>
      <w:lvlText w:val="●"/>
      <w:lvlJc w:val="left"/>
      <w:pPr>
        <w:ind w:left="720" w:hanging="360"/>
      </w:pPr>
    </w:lvl>
    <w:lvl w:ilvl="1" w:tplc="6BBA5CE0">
      <w:start w:val="1"/>
      <w:numFmt w:val="bullet"/>
      <w:lvlText w:val="○"/>
      <w:lvlJc w:val="left"/>
      <w:pPr>
        <w:ind w:left="1440" w:hanging="360"/>
      </w:pPr>
    </w:lvl>
    <w:lvl w:ilvl="2" w:tplc="63BCA268">
      <w:start w:val="1"/>
      <w:numFmt w:val="bullet"/>
      <w:lvlText w:val="■"/>
      <w:lvlJc w:val="left"/>
      <w:pPr>
        <w:ind w:left="2160" w:hanging="360"/>
      </w:pPr>
    </w:lvl>
    <w:lvl w:ilvl="3" w:tplc="E8CEB78C">
      <w:start w:val="1"/>
      <w:numFmt w:val="bullet"/>
      <w:lvlText w:val="●"/>
      <w:lvlJc w:val="left"/>
      <w:pPr>
        <w:ind w:left="2880" w:hanging="360"/>
      </w:pPr>
    </w:lvl>
    <w:lvl w:ilvl="4" w:tplc="EB24619A">
      <w:start w:val="1"/>
      <w:numFmt w:val="bullet"/>
      <w:lvlText w:val="○"/>
      <w:lvlJc w:val="left"/>
      <w:pPr>
        <w:ind w:left="3600" w:hanging="360"/>
      </w:pPr>
    </w:lvl>
    <w:lvl w:ilvl="5" w:tplc="CD04CA08">
      <w:start w:val="1"/>
      <w:numFmt w:val="bullet"/>
      <w:lvlText w:val="■"/>
      <w:lvlJc w:val="left"/>
      <w:pPr>
        <w:ind w:left="4320" w:hanging="360"/>
      </w:pPr>
    </w:lvl>
    <w:lvl w:ilvl="6" w:tplc="26003F36">
      <w:start w:val="1"/>
      <w:numFmt w:val="bullet"/>
      <w:lvlText w:val="●"/>
      <w:lvlJc w:val="left"/>
      <w:pPr>
        <w:ind w:left="5040" w:hanging="360"/>
      </w:pPr>
    </w:lvl>
    <w:lvl w:ilvl="7" w:tplc="73201E24">
      <w:start w:val="1"/>
      <w:numFmt w:val="bullet"/>
      <w:lvlText w:val="●"/>
      <w:lvlJc w:val="left"/>
      <w:pPr>
        <w:ind w:left="5760" w:hanging="360"/>
      </w:pPr>
    </w:lvl>
    <w:lvl w:ilvl="8" w:tplc="B9441BDE">
      <w:start w:val="1"/>
      <w:numFmt w:val="bullet"/>
      <w:lvlText w:val="●"/>
      <w:lvlJc w:val="left"/>
      <w:pPr>
        <w:ind w:left="6480" w:hanging="360"/>
      </w:pPr>
    </w:lvl>
  </w:abstractNum>
  <w:num w:numId="1" w16cid:durableId="101653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C08"/>
    <w:rsid w:val="0005258D"/>
    <w:rsid w:val="000D551F"/>
    <w:rsid w:val="00106559"/>
    <w:rsid w:val="001B5DE1"/>
    <w:rsid w:val="002C1C77"/>
    <w:rsid w:val="005743A9"/>
    <w:rsid w:val="00680192"/>
    <w:rsid w:val="006E2F7B"/>
    <w:rsid w:val="0073700D"/>
    <w:rsid w:val="007D1C4C"/>
    <w:rsid w:val="00A74A3F"/>
    <w:rsid w:val="00CD4DBA"/>
    <w:rsid w:val="00D23C9C"/>
    <w:rsid w:val="00D34C08"/>
    <w:rsid w:val="00D41C89"/>
    <w:rsid w:val="00DB5FEB"/>
    <w:rsid w:val="00E86FEA"/>
    <w:rsid w:val="00F33691"/>
    <w:rsid w:val="00F857CD"/>
    <w:rsid w:val="00FF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155E"/>
  <w15:docId w15:val="{4A033C39-E270-4604-AA15-97A44AF7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o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935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Sanvi Jain</cp:lastModifiedBy>
  <cp:revision>10</cp:revision>
  <dcterms:created xsi:type="dcterms:W3CDTF">2026-09-12T14:40:00Z</dcterms:created>
  <dcterms:modified xsi:type="dcterms:W3CDTF">2026-09-14T01:40:00Z</dcterms:modified>
</cp:coreProperties>
</file>