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C19D16" w14:textId="77777777" w:rsidR="000A2D03" w:rsidRDefault="000A2D03" w:rsidP="000A2D03">
      <w:r>
        <w:t># Financial Forecasting &amp; Integrated Report: Reliance Industries Limited (RIL)</w:t>
      </w:r>
    </w:p>
    <w:p w14:paraId="27B40639" w14:textId="77777777" w:rsidR="000A2D03" w:rsidRDefault="000A2D03" w:rsidP="000A2D03"/>
    <w:p w14:paraId="405F7925" w14:textId="77777777" w:rsidR="000A2D03" w:rsidRDefault="000A2D03" w:rsidP="000A2D03">
      <w:r>
        <w:t>1. Executive Summary &amp; Core Methodology</w:t>
      </w:r>
    </w:p>
    <w:p w14:paraId="29B76260" w14:textId="77777777" w:rsidR="000A2D03" w:rsidRDefault="000A2D03" w:rsidP="000A2D03">
      <w:r>
        <w:t>This project presents an integrated financial model for Reliance Industries Limited (RIL), forecasting its performance over a 3-year horizon (FY27 to FY28). Built on an analytical framework inspired by global Ivy League case competitions, this model establishes logical cell-interdependencies across the financial lines. Rather than using static values, all line items are driven algorithmically by dynamic operating assumptions.</w:t>
      </w:r>
    </w:p>
    <w:p w14:paraId="7B45BFDC" w14:textId="77777777" w:rsidR="000A2D03" w:rsidRDefault="000A2D03" w:rsidP="000A2D03"/>
    <w:p w14:paraId="3DDE4399" w14:textId="77777777" w:rsidR="000A2D03" w:rsidRDefault="000A2D03" w:rsidP="000A2D03">
      <w:r>
        <w:t>2. Operational Forecasting Assumptions</w:t>
      </w:r>
    </w:p>
    <w:p w14:paraId="12D414FC" w14:textId="77777777" w:rsidR="000A2D03" w:rsidRDefault="000A2D03" w:rsidP="000A2D03">
      <w:r>
        <w:t>* Revenue Growth (Base Case): Set at 6.0% annually, reflecting RIL’s steady consumer acquisition tracks across digital services (Jio) and retail.</w:t>
      </w:r>
    </w:p>
    <w:p w14:paraId="6D35B733" w14:textId="77777777" w:rsidR="000A2D03" w:rsidRDefault="000A2D03" w:rsidP="000A2D03">
      <w:r>
        <w:t>* EBITDA Margin Efficiency: Anchored at a historical baseline of 17.68%, assuming continuous operational scaling.</w:t>
      </w:r>
    </w:p>
    <w:p w14:paraId="40C20D73" w14:textId="77777777" w:rsidR="000A2D03" w:rsidRDefault="000A2D03" w:rsidP="000A2D03">
      <w:r>
        <w:t xml:space="preserve">* Depreciation Attrition Rate: </w:t>
      </w:r>
      <w:proofErr w:type="spellStart"/>
      <w:r>
        <w:t>Modeled</w:t>
      </w:r>
      <w:proofErr w:type="spellEnd"/>
      <w:r>
        <w:t xml:space="preserve"> at 4.9% of gross revenue to reflect asset use.</w:t>
      </w:r>
    </w:p>
    <w:p w14:paraId="6F8ABA3C" w14:textId="77777777" w:rsidR="000A2D03" w:rsidRDefault="000A2D03" w:rsidP="000A2D03">
      <w:r>
        <w:t>* Corporate Taxation Provision: Fixed at a flat domestic corporate rate of 25.0%.</w:t>
      </w:r>
    </w:p>
    <w:p w14:paraId="3817783F" w14:textId="77777777" w:rsidR="000A2D03" w:rsidRDefault="000A2D03" w:rsidP="000A2D03"/>
    <w:p w14:paraId="776CEAD1" w14:textId="77777777" w:rsidR="000A2D03" w:rsidRDefault="000A2D03" w:rsidP="000A2D03">
      <w:r>
        <w:t>3. Risk Mitigation &amp; Sensitivity Matrix</w:t>
      </w:r>
    </w:p>
    <w:p w14:paraId="28793D47" w14:textId="77777777" w:rsidR="000A2D03" w:rsidRDefault="000A2D03" w:rsidP="000A2D03">
      <w:r>
        <w:t xml:space="preserve">To stress-test RIL’s financial model against global economic changes, a multi-variable scenario analysis was executed to study the </w:t>
      </w:r>
      <w:proofErr w:type="spellStart"/>
      <w:r>
        <w:t>behavior</w:t>
      </w:r>
      <w:proofErr w:type="spellEnd"/>
      <w:r>
        <w:t xml:space="preserve"> of FY27 Net Profit:</w:t>
      </w:r>
    </w:p>
    <w:p w14:paraId="4E308F41" w14:textId="77777777" w:rsidR="000A2D03" w:rsidRDefault="000A2D03" w:rsidP="000A2D03">
      <w:r>
        <w:t>* Downside Scenario: Revenue growth slows to 2.0% and EBITDA margin compresses to 14.0%. Projected Net Profit drops to ₹54,500 Crores due to high fixed operational costs.</w:t>
      </w:r>
    </w:p>
    <w:p w14:paraId="37F48EE0" w14:textId="77777777" w:rsidR="000A2D03" w:rsidRDefault="000A2D03" w:rsidP="000A2D03">
      <w:r>
        <w:t>* Base Scenario: Revenue grows at 6.0% with a 17.68% EBITDA margin, delivering a sustainable Net Profit of ₹1,02,072 Crores.</w:t>
      </w:r>
    </w:p>
    <w:p w14:paraId="3C19EE2F" w14:textId="77777777" w:rsidR="000A2D03" w:rsidRDefault="000A2D03" w:rsidP="000A2D03">
      <w:r>
        <w:t>* Upside Scenario: Revenue growth accelerates to 10.0% coupled with an optimized 19.0% EBITDA margin, pushing projected Net Profit to ₹121,450 Crores.</w:t>
      </w:r>
    </w:p>
    <w:p w14:paraId="49D34D80" w14:textId="77777777" w:rsidR="000A2D03" w:rsidRDefault="000A2D03" w:rsidP="000A2D03"/>
    <w:p w14:paraId="4A510BD4" w14:textId="77777777" w:rsidR="000A2D03" w:rsidRDefault="000A2D03" w:rsidP="000A2D03">
      <w:r>
        <w:t>4. Strategic Conclusion</w:t>
      </w:r>
    </w:p>
    <w:p w14:paraId="01E194E9" w14:textId="223FA62D" w:rsidR="002A0D34" w:rsidRDefault="000A2D03" w:rsidP="000A2D03">
      <w:r>
        <w:t>The model reveals that RIL’s financial trajectory is highly sensitive to operating margin volatility rather than volume expansion alone. Because of the company’s vast fixed infrastructure costs (Depreciation and Interest), maintaining a stable EBITDA margin corridor above 16% is critical to safeguard the bottom-line numbers.</w:t>
      </w:r>
    </w:p>
    <w:sectPr w:rsidR="002A0D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D03"/>
    <w:rsid w:val="000A2D03"/>
    <w:rsid w:val="002A0D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F99BA"/>
  <w15:chartTrackingRefBased/>
  <w15:docId w15:val="{0B98C79D-09D1-4998-BD77-1C36E2546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301</Words>
  <Characters>1717</Characters>
  <Application>Microsoft Office Word</Application>
  <DocSecurity>0</DocSecurity>
  <Lines>14</Lines>
  <Paragraphs>4</Paragraphs>
  <ScaleCrop>false</ScaleCrop>
  <Company/>
  <LinksUpToDate>false</LinksUpToDate>
  <CharactersWithSpaces>2014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2026-08-29T21:41:00Z</dcterms:created>
  <dcterms:modified xsi:type="dcterms:W3CDTF">2026-08-29T21:42:00Z</dcterms:modified>
</cp:coreProperties>
</file>