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aps/>
          <w:color w:val="5B6B64"/>
          <w:sz w:val="20"/>
          <w:szCs w:val="20"/>
        </w:rPr>
        <w:t xml:space="preserve">STANDARD OPERATING PROCEDURE</w:t>
      </w:r>
    </w:p>
    <w:p>
      <w:pPr>
        <w:spacing w:after="160"/>
        <w:jc w:val="center"/>
      </w:pPr>
      <w:r>
        <w:rPr>
          <w:b/>
          <w:bCs/>
          <w:color w:val="2D5F5D"/>
          <w:sz w:val="44"/>
          <w:szCs w:val="44"/>
        </w:rPr>
        <w:t xml:space="preserve">Patient Referral, Approval Chain, and Wound Care Escalation</w:t>
      </w:r>
    </w:p>
    <w:p>
      <w:pPr>
        <w:spacing w:after="600"/>
        <w:jc w:val="center"/>
      </w:pPr>
      <w:r>
        <w:rPr>
          <w:i/>
          <w:iCs/>
          <w:color w:val="1F2E2B"/>
          <w:sz w:val="24"/>
          <w:szCs w:val="24"/>
        </w:rPr>
        <w:t xml:space="preserve">Home Health Services &amp; Stem Cell Wound Care Division</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7060"/>
      </w:tblGrid>
      <w:tr>
        <w:trPr>
          <w:tblHeader/>
        </w:trPr>
        <w:tc>
          <w:tcPr>
            <w:tcW w:type="dxa" w:w="2600"/>
            <w:shd w:fill="E4EDEB" w:val="clear"/>
            <w:tcMar>
              <w:top w:type="dxa" w:w="80"/>
              <w:left w:type="dxa" w:w="120"/>
              <w:bottom w:type="dxa" w:w="80"/>
              <w:right w:type="dxa" w:w="120"/>
            </w:tcMar>
          </w:tcPr>
          <w:p>
            <w:pPr>
              <w:spacing w:after="0" w:line="264"/>
            </w:pPr>
            <w:r>
              <w:rPr>
                <w:b/>
                <w:bCs/>
                <w:color w:val="1F2E2B"/>
                <w:sz w:val="20"/>
                <w:szCs w:val="20"/>
              </w:rPr>
              <w:t xml:space="preserve">Field</w:t>
            </w:r>
          </w:p>
        </w:tc>
        <w:tc>
          <w:tcPr>
            <w:tcW w:type="dxa" w:w="7060"/>
            <w:shd w:fill="E4EDEB" w:val="clear"/>
            <w:tcMar>
              <w:top w:type="dxa" w:w="80"/>
              <w:left w:type="dxa" w:w="120"/>
              <w:bottom w:type="dxa" w:w="80"/>
              <w:right w:type="dxa" w:w="120"/>
            </w:tcMar>
          </w:tcPr>
          <w:p>
            <w:pPr>
              <w:spacing w:after="0" w:line="264"/>
            </w:pPr>
            <w:r>
              <w:rPr>
                <w:b/>
                <w:bCs/>
                <w:color w:val="1F2E2B"/>
                <w:sz w:val="20"/>
                <w:szCs w:val="20"/>
              </w:rPr>
              <w:t xml:space="preserve">Value</w:t>
            </w:r>
          </w:p>
        </w:tc>
      </w:tr>
      <w:tr>
        <w:tc>
          <w:tcPr>
            <w:tcW w:type="dxa" w:w="2600"/>
            <w:tcMar>
              <w:top w:type="dxa" w:w="80"/>
              <w:left w:type="dxa" w:w="120"/>
              <w:bottom w:type="dxa" w:w="80"/>
              <w:right w:type="dxa" w:w="120"/>
            </w:tcMar>
          </w:tcPr>
          <w:p>
            <w:pPr>
              <w:spacing w:after="0" w:line="264"/>
            </w:pPr>
            <w:r>
              <w:rPr>
                <w:b w:val="false"/>
                <w:bCs w:val="false"/>
                <w:color w:val="1F2E2B"/>
                <w:sz w:val="20"/>
                <w:szCs w:val="20"/>
              </w:rPr>
              <w:t xml:space="preserve">Document ID</w:t>
            </w:r>
          </w:p>
        </w:tc>
        <w:tc>
          <w:tcPr>
            <w:tcW w:type="dxa" w:w="7060"/>
            <w:tcMar>
              <w:top w:type="dxa" w:w="80"/>
              <w:left w:type="dxa" w:w="120"/>
              <w:bottom w:type="dxa" w:w="80"/>
              <w:right w:type="dxa" w:w="120"/>
            </w:tcMar>
          </w:tcPr>
          <w:p>
            <w:pPr>
              <w:spacing w:after="0" w:line="264"/>
            </w:pPr>
            <w:r>
              <w:rPr>
                <w:b w:val="false"/>
                <w:bCs w:val="false"/>
                <w:color w:val="1F2E2B"/>
                <w:sz w:val="20"/>
                <w:szCs w:val="20"/>
              </w:rPr>
              <w:t xml:space="preserve">SOP-001 (Draft)</w:t>
            </w:r>
          </w:p>
        </w:tc>
      </w:tr>
      <w:tr>
        <w:tc>
          <w:tcPr>
            <w:tcW w:type="dxa" w:w="2600"/>
            <w:tcMar>
              <w:top w:type="dxa" w:w="80"/>
              <w:left w:type="dxa" w:w="120"/>
              <w:bottom w:type="dxa" w:w="80"/>
              <w:right w:type="dxa" w:w="120"/>
            </w:tcMar>
          </w:tcPr>
          <w:p>
            <w:pPr>
              <w:spacing w:after="0" w:line="264"/>
            </w:pPr>
            <w:r>
              <w:rPr>
                <w:b w:val="false"/>
                <w:bCs w:val="false"/>
                <w:color w:val="1F2E2B"/>
                <w:sz w:val="20"/>
                <w:szCs w:val="20"/>
              </w:rPr>
              <w:t xml:space="preserve">Version</w:t>
            </w:r>
          </w:p>
        </w:tc>
        <w:tc>
          <w:tcPr>
            <w:tcW w:type="dxa" w:w="7060"/>
            <w:tcMar>
              <w:top w:type="dxa" w:w="80"/>
              <w:left w:type="dxa" w:w="120"/>
              <w:bottom w:type="dxa" w:w="80"/>
              <w:right w:type="dxa" w:w="120"/>
            </w:tcMar>
          </w:tcPr>
          <w:p>
            <w:pPr>
              <w:spacing w:after="0" w:line="264"/>
            </w:pPr>
            <w:r>
              <w:rPr>
                <w:b w:val="false"/>
                <w:bCs w:val="false"/>
                <w:color w:val="1F2E2B"/>
                <w:sz w:val="20"/>
                <w:szCs w:val="20"/>
              </w:rPr>
              <w:t xml:space="preserve">0.1 — Working Draft</w:t>
            </w:r>
          </w:p>
        </w:tc>
      </w:tr>
      <w:tr>
        <w:tc>
          <w:tcPr>
            <w:tcW w:type="dxa" w:w="2600"/>
            <w:tcMar>
              <w:top w:type="dxa" w:w="80"/>
              <w:left w:type="dxa" w:w="120"/>
              <w:bottom w:type="dxa" w:w="80"/>
              <w:right w:type="dxa" w:w="120"/>
            </w:tcMar>
          </w:tcPr>
          <w:p>
            <w:pPr>
              <w:spacing w:after="0" w:line="264"/>
            </w:pPr>
            <w:r>
              <w:rPr>
                <w:b w:val="false"/>
                <w:bCs w:val="false"/>
                <w:color w:val="1F2E2B"/>
                <w:sz w:val="20"/>
                <w:szCs w:val="20"/>
              </w:rPr>
              <w:t xml:space="preserve">Effective date</w:t>
            </w:r>
          </w:p>
        </w:tc>
        <w:tc>
          <w:tcPr>
            <w:tcW w:type="dxa" w:w="7060"/>
            <w:tcMar>
              <w:top w:type="dxa" w:w="80"/>
              <w:left w:type="dxa" w:w="120"/>
              <w:bottom w:type="dxa" w:w="80"/>
              <w:right w:type="dxa" w:w="120"/>
            </w:tcMar>
          </w:tcPr>
          <w:p>
            <w:pPr>
              <w:spacing w:after="0" w:line="264"/>
            </w:pPr>
            <w:r>
              <w:rPr>
                <w:b w:val="false"/>
                <w:bCs w:val="false"/>
                <w:color w:val="1F2E2B"/>
                <w:sz w:val="20"/>
                <w:szCs w:val="20"/>
              </w:rPr>
              <w:t xml:space="preserve">[To be set upon approval]</w:t>
            </w:r>
          </w:p>
        </w:tc>
      </w:tr>
      <w:tr>
        <w:tc>
          <w:tcPr>
            <w:tcW w:type="dxa" w:w="2600"/>
            <w:tcMar>
              <w:top w:type="dxa" w:w="80"/>
              <w:left w:type="dxa" w:w="120"/>
              <w:bottom w:type="dxa" w:w="80"/>
              <w:right w:type="dxa" w:w="120"/>
            </w:tcMar>
          </w:tcPr>
          <w:p>
            <w:pPr>
              <w:spacing w:after="0" w:line="264"/>
            </w:pPr>
            <w:r>
              <w:rPr>
                <w:b w:val="false"/>
                <w:bCs w:val="false"/>
                <w:color w:val="1F2E2B"/>
                <w:sz w:val="20"/>
                <w:szCs w:val="20"/>
              </w:rPr>
              <w:t xml:space="preserve">Document owner</w:t>
            </w:r>
          </w:p>
        </w:tc>
        <w:tc>
          <w:tcPr>
            <w:tcW w:type="dxa" w:w="7060"/>
            <w:tcMar>
              <w:top w:type="dxa" w:w="80"/>
              <w:left w:type="dxa" w:w="120"/>
              <w:bottom w:type="dxa" w:w="80"/>
              <w:right w:type="dxa" w:w="120"/>
            </w:tcMar>
          </w:tcPr>
          <w:p>
            <w:pPr>
              <w:spacing w:after="0" w:line="264"/>
            </w:pPr>
            <w:r>
              <w:rPr>
                <w:b w:val="false"/>
                <w:bCs w:val="false"/>
                <w:color w:val="1F2E2B"/>
                <w:sz w:val="20"/>
                <w:szCs w:val="20"/>
              </w:rPr>
              <w:t xml:space="preserve">[Head of Staff / Administrator]</w:t>
            </w:r>
          </w:p>
        </w:tc>
      </w:tr>
      <w:tr>
        <w:tc>
          <w:tcPr>
            <w:tcW w:type="dxa" w:w="2600"/>
            <w:tcMar>
              <w:top w:type="dxa" w:w="80"/>
              <w:left w:type="dxa" w:w="120"/>
              <w:bottom w:type="dxa" w:w="80"/>
              <w:right w:type="dxa" w:w="120"/>
            </w:tcMar>
          </w:tcPr>
          <w:p>
            <w:pPr>
              <w:spacing w:after="0" w:line="264"/>
            </w:pPr>
            <w:r>
              <w:rPr>
                <w:b w:val="false"/>
                <w:bCs w:val="false"/>
                <w:color w:val="1F2E2B"/>
                <w:sz w:val="20"/>
                <w:szCs w:val="20"/>
              </w:rPr>
              <w:t xml:space="preserve">Approved by</w:t>
            </w:r>
          </w:p>
        </w:tc>
        <w:tc>
          <w:tcPr>
            <w:tcW w:type="dxa" w:w="7060"/>
            <w:tcMar>
              <w:top w:type="dxa" w:w="80"/>
              <w:left w:type="dxa" w:w="120"/>
              <w:bottom w:type="dxa" w:w="80"/>
              <w:right w:type="dxa" w:w="120"/>
            </w:tcMar>
          </w:tcPr>
          <w:p>
            <w:pPr>
              <w:spacing w:after="0" w:line="264"/>
            </w:pPr>
            <w:r>
              <w:rPr>
                <w:b w:val="false"/>
                <w:bCs w:val="false"/>
                <w:color w:val="1F2E2B"/>
                <w:sz w:val="20"/>
                <w:szCs w:val="20"/>
              </w:rPr>
              <w:t xml:space="preserve">[Medical Director] · [Administrator]</w:t>
            </w:r>
          </w:p>
        </w:tc>
      </w:tr>
      <w:tr>
        <w:tc>
          <w:tcPr>
            <w:tcW w:type="dxa" w:w="2600"/>
            <w:tcMar>
              <w:top w:type="dxa" w:w="80"/>
              <w:left w:type="dxa" w:w="120"/>
              <w:bottom w:type="dxa" w:w="80"/>
              <w:right w:type="dxa" w:w="120"/>
            </w:tcMar>
          </w:tcPr>
          <w:p>
            <w:pPr>
              <w:spacing w:after="0" w:line="264"/>
            </w:pPr>
            <w:r>
              <w:rPr>
                <w:b w:val="false"/>
                <w:bCs w:val="false"/>
                <w:color w:val="1F2E2B"/>
                <w:sz w:val="20"/>
                <w:szCs w:val="20"/>
              </w:rPr>
              <w:t xml:space="preserve">Review cycle</w:t>
            </w:r>
          </w:p>
        </w:tc>
        <w:tc>
          <w:tcPr>
            <w:tcW w:type="dxa" w:w="7060"/>
            <w:tcMar>
              <w:top w:type="dxa" w:w="80"/>
              <w:left w:type="dxa" w:w="120"/>
              <w:bottom w:type="dxa" w:w="80"/>
              <w:right w:type="dxa" w:w="120"/>
            </w:tcMar>
          </w:tcPr>
          <w:p>
            <w:pPr>
              <w:spacing w:after="0" w:line="264"/>
            </w:pPr>
            <w:r>
              <w:rPr>
                <w:b w:val="false"/>
                <w:bCs w:val="false"/>
                <w:color w:val="1F2E2B"/>
                <w:sz w:val="20"/>
                <w:szCs w:val="20"/>
              </w:rPr>
              <w:t xml:space="preserve">Annually, or upon any change to the approval workflow</w:t>
            </w:r>
          </w:p>
        </w:tc>
      </w:tr>
      <w:tr>
        <w:tc>
          <w:tcPr>
            <w:tcW w:type="dxa" w:w="2600"/>
            <w:tcMar>
              <w:top w:type="dxa" w:w="80"/>
              <w:left w:type="dxa" w:w="120"/>
              <w:bottom w:type="dxa" w:w="80"/>
              <w:right w:type="dxa" w:w="120"/>
            </w:tcMar>
          </w:tcPr>
          <w:p>
            <w:pPr>
              <w:spacing w:after="0" w:line="264"/>
            </w:pPr>
            <w:r>
              <w:rPr>
                <w:b w:val="false"/>
                <w:bCs w:val="false"/>
                <w:color w:val="1F2E2B"/>
                <w:sz w:val="20"/>
                <w:szCs w:val="20"/>
              </w:rPr>
              <w:t xml:space="preserve">Applies to</w:t>
            </w:r>
          </w:p>
        </w:tc>
        <w:tc>
          <w:tcPr>
            <w:tcW w:type="dxa" w:w="7060"/>
            <w:tcMar>
              <w:top w:type="dxa" w:w="80"/>
              <w:left w:type="dxa" w:w="120"/>
              <w:bottom w:type="dxa" w:w="80"/>
              <w:right w:type="dxa" w:w="120"/>
            </w:tcMar>
          </w:tcPr>
          <w:p>
            <w:pPr>
              <w:spacing w:after="0" w:line="264"/>
            </w:pPr>
            <w:r>
              <w:rPr>
                <w:b w:val="false"/>
                <w:bCs w:val="false"/>
                <w:color w:val="1F2E2B"/>
                <w:sz w:val="20"/>
                <w:szCs w:val="20"/>
              </w:rPr>
              <w:t xml:space="preserve">All clinical and administrative staff involved in referral intake, care approval, and wound care escalation</w:t>
            </w:r>
          </w:p>
        </w:tc>
      </w:tr>
    </w:tbl>
    <w:p>
      <w:pPr>
        <w:spacing w:after="160"/>
      </w:pPr>
    </w:p>
    <w:p>
      <w:pPr>
        <w:spacing w:after="140" w:line="288"/>
      </w:pPr>
      <w:r>
        <w:rPr>
          <w:i/>
          <w:iCs/>
          <w:color w:val="5B6B64"/>
          <w:sz w:val="22"/>
          <w:szCs w:val="22"/>
        </w:rPr>
        <w:t xml:space="preserve">DRAFT NOTICE: This is a working-draft SOP created to establish the company's first documented workflow and to serve as the blueprint for the Signoff approval-tracking software. Bracketed items [like this] are placeholders to be completed by leadership. This document must be reviewed by the Medical Director, a healthcare compliance professional, and legal counsel before being adopted as official policy.</w:t>
      </w:r>
    </w:p>
    <w:p>
      <w:r>
        <w:br w:type="page"/>
      </w:r>
    </w:p>
    <w:p>
      <w:pPr>
        <w:pStyle w:val="Heading1"/>
        <w:spacing w:after="160" w:before="360"/>
      </w:pPr>
      <w:r>
        <w:rPr>
          <w:color w:val="2D5F5D"/>
        </w:rPr>
        <w:t xml:space="preserve">1. Purpose</w:t>
      </w:r>
    </w:p>
    <w:p>
      <w:pPr>
        <w:spacing w:after="140" w:line="288"/>
      </w:pPr>
      <w:r>
        <w:rPr>
          <w:color w:val="1F2E2B"/>
          <w:sz w:val="22"/>
          <w:szCs w:val="22"/>
        </w:rPr>
        <w:t xml:space="preserve">This SOP defines the required sequence of clinical and administrative approvals for every patient referral handled by the Home Health division, and the process for escalating non-responding wounds to the Stem Cell Wound Care division. Its goals are to:</w:t>
      </w:r>
    </w:p>
    <w:p>
      <w:pPr>
        <w:pStyle w:val="ListParagraph"/>
        <w:numPr>
          <w:ilvl w:val="0"/>
          <w:numId w:val="2"/>
        </w:numPr>
        <w:spacing w:after="80" w:line="276"/>
      </w:pPr>
      <w:r>
        <w:rPr>
          <w:color w:val="1F2E2B"/>
          <w:sz w:val="22"/>
          <w:szCs w:val="22"/>
        </w:rPr>
        <w:t xml:space="preserve">Ensure every episode of care is authorized by the correct people, in the correct order, before care begins or changes.</w:t>
      </w:r>
    </w:p>
    <w:p>
      <w:pPr>
        <w:pStyle w:val="ListParagraph"/>
        <w:numPr>
          <w:ilvl w:val="0"/>
          <w:numId w:val="2"/>
        </w:numPr>
        <w:spacing w:after="80" w:line="276"/>
      </w:pPr>
      <w:r>
        <w:rPr>
          <w:color w:val="1F2E2B"/>
          <w:sz w:val="22"/>
          <w:szCs w:val="22"/>
        </w:rPr>
        <w:t xml:space="preserve">Keep patient information consistent and identical across every approver — one record, one source of truth.</w:t>
      </w:r>
    </w:p>
    <w:p>
      <w:pPr>
        <w:pStyle w:val="ListParagraph"/>
        <w:numPr>
          <w:ilvl w:val="0"/>
          <w:numId w:val="2"/>
        </w:numPr>
        <w:spacing w:after="80" w:line="276"/>
      </w:pPr>
      <w:r>
        <w:rPr>
          <w:color w:val="1F2E2B"/>
          <w:sz w:val="22"/>
          <w:szCs w:val="22"/>
        </w:rPr>
        <w:t xml:space="preserve">Create a complete, timestamped audit trail of who approved what, and when.</w:t>
      </w:r>
    </w:p>
    <w:p>
      <w:pPr>
        <w:pStyle w:val="ListParagraph"/>
        <w:numPr>
          <w:ilvl w:val="0"/>
          <w:numId w:val="2"/>
        </w:numPr>
        <w:spacing w:after="80" w:line="276"/>
      </w:pPr>
      <w:r>
        <w:rPr>
          <w:color w:val="1F2E2B"/>
          <w:sz w:val="22"/>
          <w:szCs w:val="22"/>
        </w:rPr>
        <w:t xml:space="preserve">Standardize the process so it can be executed the same way at any office and, eventually, licensed to other agencies.</w:t>
      </w:r>
    </w:p>
    <w:p>
      <w:pPr>
        <w:pStyle w:val="Heading1"/>
        <w:spacing w:after="160" w:before="360"/>
      </w:pPr>
      <w:r>
        <w:rPr>
          <w:color w:val="2D5F5D"/>
        </w:rPr>
        <w:t xml:space="preserve">2. Scope</w:t>
      </w:r>
    </w:p>
    <w:p>
      <w:pPr>
        <w:spacing w:after="140" w:line="288"/>
      </w:pPr>
      <w:r>
        <w:rPr>
          <w:color w:val="1F2E2B"/>
          <w:sz w:val="22"/>
          <w:szCs w:val="22"/>
        </w:rPr>
        <w:t xml:space="preserve">This SOP applies to all referrals for skilled home health services (nursing visits, rehabilitation, medication management, standard wound care) and all escalations to advanced stem cell wound care. It covers the approval workflow only; clinical treatment protocols are governed by separate clinical policies.</w:t>
      </w:r>
    </w:p>
    <w:p>
      <w:pPr>
        <w:pStyle w:val="Heading1"/>
        <w:spacing w:after="160" w:before="360"/>
      </w:pPr>
      <w:r>
        <w:rPr>
          <w:color w:val="2D5F5D"/>
        </w:rPr>
        <w:t xml:space="preserve">3. Definitions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7260"/>
      </w:tblGrid>
      <w:tr>
        <w:trPr>
          <w:tblHeader/>
        </w:trPr>
        <w:tc>
          <w:tcPr>
            <w:tcW w:type="dxa" w:w="2400"/>
            <w:shd w:fill="E4EDEB" w:val="clear"/>
            <w:tcMar>
              <w:top w:type="dxa" w:w="80"/>
              <w:left w:type="dxa" w:w="120"/>
              <w:bottom w:type="dxa" w:w="80"/>
              <w:right w:type="dxa" w:w="120"/>
            </w:tcMar>
          </w:tcPr>
          <w:p>
            <w:pPr>
              <w:spacing w:after="0" w:line="264"/>
            </w:pPr>
            <w:r>
              <w:rPr>
                <w:b/>
                <w:bCs/>
                <w:color w:val="1F2E2B"/>
                <w:sz w:val="20"/>
                <w:szCs w:val="20"/>
              </w:rPr>
              <w:t xml:space="preserve">Term</w:t>
            </w:r>
          </w:p>
        </w:tc>
        <w:tc>
          <w:tcPr>
            <w:tcW w:type="dxa" w:w="7260"/>
            <w:shd w:fill="E4EDEB" w:val="clear"/>
            <w:tcMar>
              <w:top w:type="dxa" w:w="80"/>
              <w:left w:type="dxa" w:w="120"/>
              <w:bottom w:type="dxa" w:w="80"/>
              <w:right w:type="dxa" w:w="120"/>
            </w:tcMar>
          </w:tcPr>
          <w:p>
            <w:pPr>
              <w:spacing w:after="0" w:line="264"/>
            </w:pPr>
            <w:r>
              <w:rPr>
                <w:b/>
                <w:bCs/>
                <w:color w:val="1F2E2B"/>
                <w:sz w:val="20"/>
                <w:szCs w:val="20"/>
              </w:rPr>
              <w:t xml:space="preserve">Definition</w:t>
            </w:r>
          </w:p>
        </w:tc>
      </w:tr>
      <w:tr>
        <w:tc>
          <w:tcPr>
            <w:tcW w:type="dxa" w:w="2400"/>
            <w:tcMar>
              <w:top w:type="dxa" w:w="80"/>
              <w:left w:type="dxa" w:w="120"/>
              <w:bottom w:type="dxa" w:w="80"/>
              <w:right w:type="dxa" w:w="120"/>
            </w:tcMar>
          </w:tcPr>
          <w:p>
            <w:pPr>
              <w:spacing w:after="0" w:line="264"/>
            </w:pPr>
            <w:r>
              <w:rPr>
                <w:b w:val="false"/>
                <w:bCs w:val="false"/>
                <w:color w:val="1F2E2B"/>
                <w:sz w:val="20"/>
                <w:szCs w:val="20"/>
              </w:rPr>
              <w:t xml:space="preserve">Case</w:t>
            </w:r>
          </w:p>
        </w:tc>
        <w:tc>
          <w:tcPr>
            <w:tcW w:type="dxa" w:w="7260"/>
            <w:tcMar>
              <w:top w:type="dxa" w:w="80"/>
              <w:left w:type="dxa" w:w="120"/>
              <w:bottom w:type="dxa" w:w="80"/>
              <w:right w:type="dxa" w:w="120"/>
            </w:tcMar>
          </w:tcPr>
          <w:p>
            <w:pPr>
              <w:spacing w:after="0" w:line="264"/>
            </w:pPr>
            <w:r>
              <w:rPr>
                <w:b w:val="false"/>
                <w:bCs w:val="false"/>
                <w:color w:val="1F2E2B"/>
                <w:sz w:val="20"/>
                <w:szCs w:val="20"/>
              </w:rPr>
              <w:t xml:space="preserve">A single patient referral and everything attached to it: diagnosis, orders, notes, approvals, and escalations. Each case has a unique Case ID.</w:t>
            </w:r>
          </w:p>
        </w:tc>
      </w:tr>
      <w:tr>
        <w:tc>
          <w:tcPr>
            <w:tcW w:type="dxa" w:w="2400"/>
            <w:tcMar>
              <w:top w:type="dxa" w:w="80"/>
              <w:left w:type="dxa" w:w="120"/>
              <w:bottom w:type="dxa" w:w="80"/>
              <w:right w:type="dxa" w:w="120"/>
            </w:tcMar>
          </w:tcPr>
          <w:p>
            <w:pPr>
              <w:spacing w:after="0" w:line="264"/>
            </w:pPr>
            <w:r>
              <w:rPr>
                <w:b w:val="false"/>
                <w:bCs w:val="false"/>
                <w:color w:val="1F2E2B"/>
                <w:sz w:val="20"/>
                <w:szCs w:val="20"/>
              </w:rPr>
              <w:t xml:space="preserve">Approval chain</w:t>
            </w:r>
          </w:p>
        </w:tc>
        <w:tc>
          <w:tcPr>
            <w:tcW w:type="dxa" w:w="7260"/>
            <w:tcMar>
              <w:top w:type="dxa" w:w="80"/>
              <w:left w:type="dxa" w:w="120"/>
              <w:bottom w:type="dxa" w:w="80"/>
              <w:right w:type="dxa" w:w="120"/>
            </w:tcMar>
          </w:tcPr>
          <w:p>
            <w:pPr>
              <w:spacing w:after="0" w:line="264"/>
            </w:pPr>
            <w:r>
              <w:rPr>
                <w:b w:val="false"/>
                <w:bCs w:val="false"/>
                <w:color w:val="1F2E2B"/>
                <w:sz w:val="20"/>
                <w:szCs w:val="20"/>
              </w:rPr>
              <w:t xml:space="preserve">The ordered sequence of sign-offs a case must collect before care is active: Doctor → Head Nurse → Head of Staff → Assigned Nurse.</w:t>
            </w:r>
          </w:p>
        </w:tc>
      </w:tr>
      <w:tr>
        <w:tc>
          <w:tcPr>
            <w:tcW w:type="dxa" w:w="2400"/>
            <w:tcMar>
              <w:top w:type="dxa" w:w="80"/>
              <w:left w:type="dxa" w:w="120"/>
              <w:bottom w:type="dxa" w:w="80"/>
              <w:right w:type="dxa" w:w="120"/>
            </w:tcMar>
          </w:tcPr>
          <w:p>
            <w:pPr>
              <w:spacing w:after="0" w:line="264"/>
            </w:pPr>
            <w:r>
              <w:rPr>
                <w:b w:val="false"/>
                <w:bCs w:val="false"/>
                <w:color w:val="1F2E2B"/>
                <w:sz w:val="20"/>
                <w:szCs w:val="20"/>
              </w:rPr>
              <w:t xml:space="preserve">Stage</w:t>
            </w:r>
          </w:p>
        </w:tc>
        <w:tc>
          <w:tcPr>
            <w:tcW w:type="dxa" w:w="7260"/>
            <w:tcMar>
              <w:top w:type="dxa" w:w="80"/>
              <w:left w:type="dxa" w:w="120"/>
              <w:bottom w:type="dxa" w:w="80"/>
              <w:right w:type="dxa" w:w="120"/>
            </w:tcMar>
          </w:tcPr>
          <w:p>
            <w:pPr>
              <w:spacing w:after="0" w:line="264"/>
            </w:pPr>
            <w:r>
              <w:rPr>
                <w:b w:val="false"/>
                <w:bCs w:val="false"/>
                <w:color w:val="1F2E2B"/>
                <w:sz w:val="20"/>
                <w:szCs w:val="20"/>
              </w:rPr>
              <w:t xml:space="preserve">One link in the approval chain, owned by exactly one role. A stage is Pending, Approved, or Sent Back.</w:t>
            </w:r>
          </w:p>
        </w:tc>
      </w:tr>
      <w:tr>
        <w:tc>
          <w:tcPr>
            <w:tcW w:type="dxa" w:w="2400"/>
            <w:tcMar>
              <w:top w:type="dxa" w:w="80"/>
              <w:left w:type="dxa" w:w="120"/>
              <w:bottom w:type="dxa" w:w="80"/>
              <w:right w:type="dxa" w:w="120"/>
            </w:tcMar>
          </w:tcPr>
          <w:p>
            <w:pPr>
              <w:spacing w:after="0" w:line="264"/>
            </w:pPr>
            <w:r>
              <w:rPr>
                <w:b w:val="false"/>
                <w:bCs w:val="false"/>
                <w:color w:val="1F2E2B"/>
                <w:sz w:val="20"/>
                <w:szCs w:val="20"/>
              </w:rPr>
              <w:t xml:space="preserve">Sign-off</w:t>
            </w:r>
          </w:p>
        </w:tc>
        <w:tc>
          <w:tcPr>
            <w:tcW w:type="dxa" w:w="7260"/>
            <w:tcMar>
              <w:top w:type="dxa" w:w="80"/>
              <w:left w:type="dxa" w:w="120"/>
              <w:bottom w:type="dxa" w:w="80"/>
              <w:right w:type="dxa" w:w="120"/>
            </w:tcMar>
          </w:tcPr>
          <w:p>
            <w:pPr>
              <w:spacing w:after="0" w:line="264"/>
            </w:pPr>
            <w:r>
              <w:rPr>
                <w:b w:val="false"/>
                <w:bCs w:val="false"/>
                <w:color w:val="1F2E2B"/>
                <w:sz w:val="20"/>
                <w:szCs w:val="20"/>
              </w:rPr>
              <w:t xml:space="preserve">A recorded approval consisting of the approver's role, identity, timestamp, and optional note. Sign-offs are permanent and cannot be edited after the fact.</w:t>
            </w:r>
          </w:p>
        </w:tc>
      </w:tr>
      <w:tr>
        <w:tc>
          <w:tcPr>
            <w:tcW w:type="dxa" w:w="2400"/>
            <w:tcMar>
              <w:top w:type="dxa" w:w="80"/>
              <w:left w:type="dxa" w:w="120"/>
              <w:bottom w:type="dxa" w:w="80"/>
              <w:right w:type="dxa" w:w="120"/>
            </w:tcMar>
          </w:tcPr>
          <w:p>
            <w:pPr>
              <w:spacing w:after="0" w:line="264"/>
            </w:pPr>
            <w:r>
              <w:rPr>
                <w:b w:val="false"/>
                <w:bCs w:val="false"/>
                <w:color w:val="1F2E2B"/>
                <w:sz w:val="20"/>
                <w:szCs w:val="20"/>
              </w:rPr>
              <w:t xml:space="preserve">Send-back</w:t>
            </w:r>
          </w:p>
        </w:tc>
        <w:tc>
          <w:tcPr>
            <w:tcW w:type="dxa" w:w="7260"/>
            <w:tcMar>
              <w:top w:type="dxa" w:w="80"/>
              <w:left w:type="dxa" w:w="120"/>
              <w:bottom w:type="dxa" w:w="80"/>
              <w:right w:type="dxa" w:w="120"/>
            </w:tcMar>
          </w:tcPr>
          <w:p>
            <w:pPr>
              <w:spacing w:after="0" w:line="264"/>
            </w:pPr>
            <w:r>
              <w:rPr>
                <w:b w:val="false"/>
                <w:bCs w:val="false"/>
                <w:color w:val="1F2E2B"/>
                <w:sz w:val="20"/>
                <w:szCs w:val="20"/>
              </w:rPr>
              <w:t xml:space="preserve">A rejection of the case at a stage, returning it for correction. A send-back must include a written reason.</w:t>
            </w:r>
          </w:p>
        </w:tc>
      </w:tr>
      <w:tr>
        <w:tc>
          <w:tcPr>
            <w:tcW w:type="dxa" w:w="2400"/>
            <w:tcMar>
              <w:top w:type="dxa" w:w="80"/>
              <w:left w:type="dxa" w:w="120"/>
              <w:bottom w:type="dxa" w:w="80"/>
              <w:right w:type="dxa" w:w="120"/>
            </w:tcMar>
          </w:tcPr>
          <w:p>
            <w:pPr>
              <w:spacing w:after="0" w:line="264"/>
            </w:pPr>
            <w:r>
              <w:rPr>
                <w:b w:val="false"/>
                <w:bCs w:val="false"/>
                <w:color w:val="1F2E2B"/>
                <w:sz w:val="20"/>
                <w:szCs w:val="20"/>
              </w:rPr>
              <w:t xml:space="preserve">Escalation</w:t>
            </w:r>
          </w:p>
        </w:tc>
        <w:tc>
          <w:tcPr>
            <w:tcW w:type="dxa" w:w="7260"/>
            <w:tcMar>
              <w:top w:type="dxa" w:w="80"/>
              <w:left w:type="dxa" w:w="120"/>
              <w:bottom w:type="dxa" w:w="80"/>
              <w:right w:type="dxa" w:w="120"/>
            </w:tcMar>
          </w:tcPr>
          <w:p>
            <w:pPr>
              <w:spacing w:after="0" w:line="264"/>
            </w:pPr>
            <w:r>
              <w:rPr>
                <w:b w:val="false"/>
                <w:bCs w:val="false"/>
                <w:color w:val="1F2E2B"/>
                <w:sz w:val="20"/>
                <w:szCs w:val="20"/>
              </w:rPr>
              <w:t xml:space="preserve">The transfer of a case from Home Health to the Stem Cell Wound Care division, which opens a new approval chain.</w:t>
            </w:r>
          </w:p>
        </w:tc>
      </w:tr>
      <w:tr>
        <w:tc>
          <w:tcPr>
            <w:tcW w:type="dxa" w:w="2400"/>
            <w:tcMar>
              <w:top w:type="dxa" w:w="80"/>
              <w:left w:type="dxa" w:w="120"/>
              <w:bottom w:type="dxa" w:w="80"/>
              <w:right w:type="dxa" w:w="120"/>
            </w:tcMar>
          </w:tcPr>
          <w:p>
            <w:pPr>
              <w:spacing w:after="0" w:line="264"/>
            </w:pPr>
            <w:r>
              <w:rPr>
                <w:b w:val="false"/>
                <w:bCs w:val="false"/>
                <w:color w:val="1F2E2B"/>
                <w:sz w:val="20"/>
                <w:szCs w:val="20"/>
              </w:rPr>
              <w:t xml:space="preserve">Business line</w:t>
            </w:r>
          </w:p>
        </w:tc>
        <w:tc>
          <w:tcPr>
            <w:tcW w:type="dxa" w:w="7260"/>
            <w:tcMar>
              <w:top w:type="dxa" w:w="80"/>
              <w:left w:type="dxa" w:w="120"/>
              <w:bottom w:type="dxa" w:w="80"/>
              <w:right w:type="dxa" w:w="120"/>
            </w:tcMar>
          </w:tcPr>
          <w:p>
            <w:pPr>
              <w:spacing w:after="0" w:line="264"/>
            </w:pPr>
            <w:r>
              <w:rPr>
                <w:b w:val="false"/>
                <w:bCs w:val="false"/>
                <w:color w:val="1F2E2B"/>
                <w:sz w:val="20"/>
                <w:szCs w:val="20"/>
              </w:rPr>
              <w:t xml:space="preserve">One of the two divisions: Home Health or Stem Cell Wound Care.</w:t>
            </w:r>
          </w:p>
        </w:tc>
      </w:tr>
    </w:tbl>
    <w:p>
      <w:r>
        <w:br w:type="page"/>
      </w:r>
    </w:p>
    <w:p>
      <w:pPr>
        <w:pStyle w:val="Heading1"/>
        <w:spacing w:after="160" w:before="360"/>
      </w:pPr>
      <w:r>
        <w:rPr>
          <w:color w:val="2D5F5D"/>
        </w:rPr>
        <w:t xml:space="preserve">4. Roles and Responsibilities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60"/>
      </w:tblGrid>
      <w:tr>
        <w:trPr>
          <w:tblHeader/>
        </w:trPr>
        <w:tc>
          <w:tcPr>
            <w:tcW w:type="dxa" w:w="2200"/>
            <w:shd w:fill="E4EDEB" w:val="clear"/>
            <w:tcMar>
              <w:top w:type="dxa" w:w="80"/>
              <w:left w:type="dxa" w:w="120"/>
              <w:bottom w:type="dxa" w:w="80"/>
              <w:right w:type="dxa" w:w="120"/>
            </w:tcMar>
          </w:tcPr>
          <w:p>
            <w:pPr>
              <w:spacing w:after="0" w:line="264"/>
            </w:pPr>
            <w:r>
              <w:rPr>
                <w:b/>
                <w:bCs/>
                <w:color w:val="1F2E2B"/>
                <w:sz w:val="20"/>
                <w:szCs w:val="20"/>
              </w:rPr>
              <w:t xml:space="preserve">Role</w:t>
            </w:r>
          </w:p>
        </w:tc>
        <w:tc>
          <w:tcPr>
            <w:tcW w:type="dxa" w:w="4200"/>
            <w:shd w:fill="E4EDEB" w:val="clear"/>
            <w:tcMar>
              <w:top w:type="dxa" w:w="80"/>
              <w:left w:type="dxa" w:w="120"/>
              <w:bottom w:type="dxa" w:w="80"/>
              <w:right w:type="dxa" w:w="120"/>
            </w:tcMar>
          </w:tcPr>
          <w:p>
            <w:pPr>
              <w:spacing w:after="0" w:line="264"/>
            </w:pPr>
            <w:r>
              <w:rPr>
                <w:b/>
                <w:bCs/>
                <w:color w:val="1F2E2B"/>
                <w:sz w:val="20"/>
                <w:szCs w:val="20"/>
              </w:rPr>
              <w:t xml:space="preserve">Responsibilities in this SOP</w:t>
            </w:r>
          </w:p>
        </w:tc>
        <w:tc>
          <w:tcPr>
            <w:tcW w:type="dxa" w:w="3260"/>
            <w:shd w:fill="E4EDEB" w:val="clear"/>
            <w:tcMar>
              <w:top w:type="dxa" w:w="80"/>
              <w:left w:type="dxa" w:w="120"/>
              <w:bottom w:type="dxa" w:w="80"/>
              <w:right w:type="dxa" w:w="120"/>
            </w:tcMar>
          </w:tcPr>
          <w:p>
            <w:pPr>
              <w:spacing w:after="0" w:line="264"/>
            </w:pPr>
            <w:r>
              <w:rPr>
                <w:b/>
                <w:bCs/>
                <w:color w:val="1F2E2B"/>
                <w:sz w:val="20"/>
                <w:szCs w:val="20"/>
              </w:rPr>
              <w:t xml:space="preserve">Authority</w:t>
            </w:r>
          </w:p>
        </w:tc>
      </w:tr>
      <w:tr>
        <w:tc>
          <w:tcPr>
            <w:tcW w:type="dxa" w:w="2200"/>
            <w:tcMar>
              <w:top w:type="dxa" w:w="80"/>
              <w:left w:type="dxa" w:w="120"/>
              <w:bottom w:type="dxa" w:w="80"/>
              <w:right w:type="dxa" w:w="120"/>
            </w:tcMar>
          </w:tcPr>
          <w:p>
            <w:pPr>
              <w:spacing w:after="0" w:line="264"/>
            </w:pPr>
            <w:r>
              <w:rPr>
                <w:b w:val="false"/>
                <w:bCs w:val="false"/>
                <w:color w:val="1F2E2B"/>
                <w:sz w:val="20"/>
                <w:szCs w:val="20"/>
              </w:rPr>
              <w:t xml:space="preserve">Doctor</w:t>
            </w:r>
          </w:p>
        </w:tc>
        <w:tc>
          <w:tcPr>
            <w:tcW w:type="dxa" w:w="4200"/>
            <w:tcMar>
              <w:top w:type="dxa" w:w="80"/>
              <w:left w:type="dxa" w:w="120"/>
              <w:bottom w:type="dxa" w:w="80"/>
              <w:right w:type="dxa" w:w="120"/>
            </w:tcMar>
          </w:tcPr>
          <w:p>
            <w:pPr>
              <w:spacing w:after="40" w:line="264"/>
            </w:pPr>
            <w:r>
              <w:rPr>
                <w:color w:val="1F2E2B"/>
                <w:sz w:val="20"/>
                <w:szCs w:val="20"/>
              </w:rPr>
              <w:t xml:space="preserve">Initiates every referral with diagnosis, orders, and care instructions.</w:t>
            </w:r>
          </w:p>
          <w:p>
            <w:pPr>
              <w:spacing w:after="40" w:line="264"/>
            </w:pPr>
            <w:r>
              <w:rPr>
                <w:color w:val="1F2E2B"/>
                <w:sz w:val="20"/>
                <w:szCs w:val="20"/>
              </w:rPr>
              <w:t xml:space="preserve">Revises and resubmits cases that were sent back.</w:t>
            </w:r>
          </w:p>
          <w:p>
            <w:pPr>
              <w:spacing w:after="40" w:line="264"/>
            </w:pPr>
            <w:r>
              <w:rPr>
                <w:color w:val="1F2E2B"/>
                <w:sz w:val="20"/>
                <w:szCs w:val="20"/>
              </w:rPr>
              <w:t xml:space="preserve">May initiate escalation to wound care.</w:t>
            </w:r>
          </w:p>
        </w:tc>
        <w:tc>
          <w:tcPr>
            <w:tcW w:type="dxa" w:w="3260"/>
            <w:tcMar>
              <w:top w:type="dxa" w:w="80"/>
              <w:left w:type="dxa" w:w="120"/>
              <w:bottom w:type="dxa" w:w="80"/>
              <w:right w:type="dxa" w:w="120"/>
            </w:tcMar>
          </w:tcPr>
          <w:p>
            <w:pPr>
              <w:spacing w:after="40" w:line="264"/>
            </w:pPr>
            <w:r>
              <w:rPr>
                <w:color w:val="1F2E2B"/>
                <w:sz w:val="20"/>
                <w:szCs w:val="20"/>
              </w:rPr>
              <w:t xml:space="preserve">Only role that can open a case.</w:t>
            </w:r>
          </w:p>
          <w:p>
            <w:pPr>
              <w:spacing w:after="40" w:line="264"/>
            </w:pPr>
            <w:r>
              <w:rPr>
                <w:color w:val="1F2E2B"/>
                <w:sz w:val="20"/>
                <w:szCs w:val="20"/>
              </w:rPr>
              <w:t xml:space="preserve">Only role that can revise a sent-back case.</w:t>
            </w:r>
          </w:p>
        </w:tc>
      </w:tr>
      <w:tr>
        <w:tc>
          <w:tcPr>
            <w:tcW w:type="dxa" w:w="2200"/>
            <w:tcMar>
              <w:top w:type="dxa" w:w="80"/>
              <w:left w:type="dxa" w:w="120"/>
              <w:bottom w:type="dxa" w:w="80"/>
              <w:right w:type="dxa" w:w="120"/>
            </w:tcMar>
          </w:tcPr>
          <w:p>
            <w:pPr>
              <w:spacing w:after="0" w:line="264"/>
            </w:pPr>
            <w:r>
              <w:rPr>
                <w:b w:val="false"/>
                <w:bCs w:val="false"/>
                <w:color w:val="1F2E2B"/>
                <w:sz w:val="20"/>
                <w:szCs w:val="20"/>
              </w:rPr>
              <w:t xml:space="preserve">Head Nurse</w:t>
            </w:r>
          </w:p>
        </w:tc>
        <w:tc>
          <w:tcPr>
            <w:tcW w:type="dxa" w:w="4200"/>
            <w:tcMar>
              <w:top w:type="dxa" w:w="80"/>
              <w:left w:type="dxa" w:w="120"/>
              <w:bottom w:type="dxa" w:w="80"/>
              <w:right w:type="dxa" w:w="120"/>
            </w:tcMar>
          </w:tcPr>
          <w:p>
            <w:pPr>
              <w:spacing w:after="40" w:line="264"/>
            </w:pPr>
            <w:r>
              <w:rPr>
                <w:color w:val="1F2E2B"/>
                <w:sz w:val="20"/>
                <w:szCs w:val="20"/>
              </w:rPr>
              <w:t xml:space="preserve">Reviews the doctor's order for completeness and clinical appropriateness.</w:t>
            </w:r>
          </w:p>
          <w:p>
            <w:pPr>
              <w:spacing w:after="40" w:line="264"/>
            </w:pPr>
            <w:r>
              <w:rPr>
                <w:color w:val="1F2E2B"/>
                <w:sz w:val="20"/>
                <w:szCs w:val="20"/>
              </w:rPr>
              <w:t xml:space="preserve">Verifies documentation (e.g., wound photos) is attached.</w:t>
            </w:r>
          </w:p>
          <w:p>
            <w:pPr>
              <w:spacing w:after="40" w:line="264"/>
            </w:pPr>
            <w:r>
              <w:rPr>
                <w:color w:val="1F2E2B"/>
                <w:sz w:val="20"/>
                <w:szCs w:val="20"/>
              </w:rPr>
              <w:t xml:space="preserve">May initiate escalation to wound care.</w:t>
            </w:r>
          </w:p>
        </w:tc>
        <w:tc>
          <w:tcPr>
            <w:tcW w:type="dxa" w:w="3260"/>
            <w:tcMar>
              <w:top w:type="dxa" w:w="80"/>
              <w:left w:type="dxa" w:w="120"/>
              <w:bottom w:type="dxa" w:w="80"/>
              <w:right w:type="dxa" w:w="120"/>
            </w:tcMar>
          </w:tcPr>
          <w:p>
            <w:pPr>
              <w:spacing w:after="40" w:line="264"/>
            </w:pPr>
            <w:r>
              <w:rPr>
                <w:color w:val="1F2E2B"/>
                <w:sz w:val="20"/>
                <w:szCs w:val="20"/>
              </w:rPr>
              <w:t xml:space="preserve">Second sign-off.</w:t>
            </w:r>
          </w:p>
          <w:p>
            <w:pPr>
              <w:spacing w:after="40" w:line="264"/>
            </w:pPr>
            <w:r>
              <w:rPr>
                <w:color w:val="1F2E2B"/>
                <w:sz w:val="20"/>
                <w:szCs w:val="20"/>
              </w:rPr>
              <w:t xml:space="preserve">May send back to the Doctor with a written reason.</w:t>
            </w:r>
          </w:p>
        </w:tc>
      </w:tr>
      <w:tr>
        <w:tc>
          <w:tcPr>
            <w:tcW w:type="dxa" w:w="2200"/>
            <w:tcMar>
              <w:top w:type="dxa" w:w="80"/>
              <w:left w:type="dxa" w:w="120"/>
              <w:bottom w:type="dxa" w:w="80"/>
              <w:right w:type="dxa" w:w="120"/>
            </w:tcMar>
          </w:tcPr>
          <w:p>
            <w:pPr>
              <w:spacing w:after="0" w:line="264"/>
            </w:pPr>
            <w:r>
              <w:rPr>
                <w:b w:val="false"/>
                <w:bCs w:val="false"/>
                <w:color w:val="1F2E2B"/>
                <w:sz w:val="20"/>
                <w:szCs w:val="20"/>
              </w:rPr>
              <w:t xml:space="preserve">Head of Staff</w:t>
            </w:r>
          </w:p>
        </w:tc>
        <w:tc>
          <w:tcPr>
            <w:tcW w:type="dxa" w:w="4200"/>
            <w:tcMar>
              <w:top w:type="dxa" w:w="80"/>
              <w:left w:type="dxa" w:w="120"/>
              <w:bottom w:type="dxa" w:w="80"/>
              <w:right w:type="dxa" w:w="120"/>
            </w:tcMar>
          </w:tcPr>
          <w:p>
            <w:pPr>
              <w:spacing w:after="40" w:line="264"/>
            </w:pPr>
            <w:r>
              <w:rPr>
                <w:color w:val="1F2E2B"/>
                <w:sz w:val="20"/>
                <w:szCs w:val="20"/>
              </w:rPr>
              <w:t xml:space="preserve">Confirms staffing capacity, scheduling feasibility, and administrative readiness.</w:t>
            </w:r>
          </w:p>
          <w:p>
            <w:pPr>
              <w:spacing w:after="40" w:line="264"/>
            </w:pPr>
            <w:r>
              <w:rPr>
                <w:color w:val="1F2E2B"/>
                <w:sz w:val="20"/>
                <w:szCs w:val="20"/>
              </w:rPr>
              <w:t xml:space="preserve">Verifies insurance/authorization information is on file [placeholder — confirm process].</w:t>
            </w:r>
          </w:p>
        </w:tc>
        <w:tc>
          <w:tcPr>
            <w:tcW w:type="dxa" w:w="3260"/>
            <w:tcMar>
              <w:top w:type="dxa" w:w="80"/>
              <w:left w:type="dxa" w:w="120"/>
              <w:bottom w:type="dxa" w:w="80"/>
              <w:right w:type="dxa" w:w="120"/>
            </w:tcMar>
          </w:tcPr>
          <w:p>
            <w:pPr>
              <w:spacing w:after="40" w:line="264"/>
            </w:pPr>
            <w:r>
              <w:rPr>
                <w:color w:val="1F2E2B"/>
                <w:sz w:val="20"/>
                <w:szCs w:val="20"/>
              </w:rPr>
              <w:t xml:space="preserve">Third sign-off.</w:t>
            </w:r>
          </w:p>
          <w:p>
            <w:pPr>
              <w:spacing w:after="40" w:line="264"/>
            </w:pPr>
            <w:r>
              <w:rPr>
                <w:color w:val="1F2E2B"/>
                <w:sz w:val="20"/>
                <w:szCs w:val="20"/>
              </w:rPr>
              <w:t xml:space="preserve">May send back with a written reason.</w:t>
            </w:r>
          </w:p>
        </w:tc>
      </w:tr>
      <w:tr>
        <w:tc>
          <w:tcPr>
            <w:tcW w:type="dxa" w:w="2200"/>
            <w:tcMar>
              <w:top w:type="dxa" w:w="80"/>
              <w:left w:type="dxa" w:w="120"/>
              <w:bottom w:type="dxa" w:w="80"/>
              <w:right w:type="dxa" w:w="120"/>
            </w:tcMar>
          </w:tcPr>
          <w:p>
            <w:pPr>
              <w:spacing w:after="0" w:line="264"/>
            </w:pPr>
            <w:r>
              <w:rPr>
                <w:b w:val="false"/>
                <w:bCs w:val="false"/>
                <w:color w:val="1F2E2B"/>
                <w:sz w:val="20"/>
                <w:szCs w:val="20"/>
              </w:rPr>
              <w:t xml:space="preserve">Assigned Nurse</w:t>
            </w:r>
          </w:p>
        </w:tc>
        <w:tc>
          <w:tcPr>
            <w:tcW w:type="dxa" w:w="4200"/>
            <w:tcMar>
              <w:top w:type="dxa" w:w="80"/>
              <w:left w:type="dxa" w:w="120"/>
              <w:bottom w:type="dxa" w:w="80"/>
              <w:right w:type="dxa" w:w="120"/>
            </w:tcMar>
          </w:tcPr>
          <w:p>
            <w:pPr>
              <w:spacing w:after="40" w:line="264"/>
            </w:pPr>
            <w:r>
              <w:rPr>
                <w:color w:val="1F2E2B"/>
                <w:sz w:val="20"/>
                <w:szCs w:val="20"/>
              </w:rPr>
              <w:t xml:space="preserve">Performs the initial patient visit/check-in.</w:t>
            </w:r>
          </w:p>
          <w:p>
            <w:pPr>
              <w:spacing w:after="40" w:line="264"/>
            </w:pPr>
            <w:r>
              <w:rPr>
                <w:color w:val="1F2E2B"/>
                <w:sz w:val="20"/>
                <w:szCs w:val="20"/>
              </w:rPr>
              <w:t xml:space="preserve">Confirms the patient's condition matches the referral information.</w:t>
            </w:r>
          </w:p>
        </w:tc>
        <w:tc>
          <w:tcPr>
            <w:tcW w:type="dxa" w:w="3260"/>
            <w:tcMar>
              <w:top w:type="dxa" w:w="80"/>
              <w:left w:type="dxa" w:w="120"/>
              <w:bottom w:type="dxa" w:w="80"/>
              <w:right w:type="dxa" w:w="120"/>
            </w:tcMar>
          </w:tcPr>
          <w:p>
            <w:pPr>
              <w:spacing w:after="40" w:line="264"/>
            </w:pPr>
            <w:r>
              <w:rPr>
                <w:color w:val="1F2E2B"/>
                <w:sz w:val="20"/>
                <w:szCs w:val="20"/>
              </w:rPr>
              <w:t xml:space="preserve">Final sign-off. The case becomes Active upon this approval.</w:t>
            </w:r>
          </w:p>
        </w:tc>
      </w:tr>
    </w:tbl>
    <w:p>
      <w:pPr>
        <w:spacing w:after="160"/>
      </w:pPr>
    </w:p>
    <w:p>
      <w:pPr>
        <w:spacing w:after="140" w:line="288"/>
      </w:pPr>
      <w:r>
        <w:rPr>
          <w:i/>
          <w:iCs/>
          <w:color w:val="5B6B64"/>
          <w:sz w:val="22"/>
          <w:szCs w:val="22"/>
        </w:rPr>
        <w:t xml:space="preserve">Backup approvers: [Each role must designate at least one backup approver for absences. Define here.]</w:t>
      </w:r>
    </w:p>
    <w:p>
      <w:pPr>
        <w:pStyle w:val="Heading1"/>
        <w:spacing w:after="160" w:before="360"/>
      </w:pPr>
      <w:r>
        <w:rPr>
          <w:color w:val="2D5F5D"/>
        </w:rPr>
        <w:t xml:space="preserve">5. Procedure — Standard Home Health Referral</w:t>
      </w:r>
    </w:p>
    <w:p>
      <w:pPr>
        <w:pStyle w:val="Heading2"/>
        <w:spacing w:after="120" w:before="280"/>
      </w:pPr>
      <w:r>
        <w:rPr>
          <w:color w:val="1F2E2B"/>
        </w:rPr>
        <w:t xml:space="preserve">5.1 Case creation</w:t>
      </w:r>
    </w:p>
    <w:p>
      <w:pPr>
        <w:pStyle w:val="ListParagraph"/>
        <w:numPr>
          <w:ilvl w:val="0"/>
          <w:numId w:val="3"/>
        </w:numPr>
        <w:spacing w:after="100" w:line="276"/>
      </w:pPr>
      <w:r>
        <w:rPr>
          <w:color w:val="1F2E2B"/>
          <w:sz w:val="22"/>
          <w:szCs w:val="22"/>
        </w:rPr>
        <w:t xml:space="preserve">The Doctor opens a new case containing, at minimum: patient name, diagnosis / reason for referral, and an order note with care instructions and visit frequency.</w:t>
      </w:r>
    </w:p>
    <w:p>
      <w:pPr>
        <w:pStyle w:val="ListParagraph"/>
        <w:numPr>
          <w:ilvl w:val="0"/>
          <w:numId w:val="3"/>
        </w:numPr>
        <w:spacing w:after="100" w:line="276"/>
      </w:pPr>
      <w:r>
        <w:rPr>
          <w:color w:val="1F2E2B"/>
          <w:sz w:val="22"/>
          <w:szCs w:val="22"/>
        </w:rPr>
        <w:t xml:space="preserve">Supporting documentation is attached at creation where applicable (e.g., wound photographs for any wound-related referral, discharge summary for post-surgical cases). </w:t>
      </w:r>
      <w:r>
        <w:rPr>
          <w:b/>
          <w:bCs/>
          <w:color w:val="1F2E2B"/>
          <w:sz w:val="22"/>
          <w:szCs w:val="22"/>
        </w:rPr>
        <w:t xml:space="preserve">A wound-related referral without photos must be sent back by the Head Nurse.</w:t>
      </w:r>
    </w:p>
    <w:p>
      <w:pPr>
        <w:pStyle w:val="ListParagraph"/>
        <w:numPr>
          <w:ilvl w:val="0"/>
          <w:numId w:val="3"/>
        </w:numPr>
        <w:spacing w:after="100" w:line="276"/>
      </w:pPr>
      <w:r>
        <w:rPr>
          <w:color w:val="1F2E2B"/>
          <w:sz w:val="22"/>
          <w:szCs w:val="22"/>
        </w:rPr>
        <w:t xml:space="preserve">Submission by the Doctor counts as the first sign-off in the chain.</w:t>
      </w:r>
    </w:p>
    <w:p>
      <w:pPr>
        <w:pStyle w:val="Heading2"/>
        <w:spacing w:after="120" w:before="280"/>
      </w:pPr>
      <w:r>
        <w:rPr>
          <w:color w:val="1F2E2B"/>
        </w:rPr>
        <w:t xml:space="preserve">5.2 Sequential approval</w:t>
      </w:r>
    </w:p>
    <w:p>
      <w:pPr>
        <w:spacing w:after="140" w:line="288"/>
      </w:pPr>
      <w:r>
        <w:rPr>
          <w:color w:val="1F2E2B"/>
          <w:sz w:val="22"/>
          <w:szCs w:val="22"/>
        </w:rPr>
        <w:t xml:space="preserve">Approvals must occur in order. A stage cannot be acted on until every stage before it is approved. The order is:</w:t>
      </w:r>
    </w:p>
    <w:p>
      <w:pPr>
        <w:spacing w:after="140" w:line="288"/>
      </w:pPr>
      <w:r>
        <w:rPr>
          <w:b/>
          <w:bCs/>
          <w:color w:val="2D5F5D"/>
          <w:sz w:val="22"/>
          <w:szCs w:val="22"/>
        </w:rPr>
        <w:t xml:space="preserve">Doctor → Head Nurse → Head of Staff → Assigned Nurse</w:t>
      </w:r>
    </w:p>
    <w:p>
      <w:pPr>
        <w:pStyle w:val="ListParagraph"/>
        <w:numPr>
          <w:ilvl w:val="0"/>
          <w:numId w:val="3"/>
        </w:numPr>
        <w:spacing w:after="100" w:line="276"/>
      </w:pPr>
      <w:r>
        <w:rPr>
          <w:color w:val="1F2E2B"/>
          <w:sz w:val="22"/>
          <w:szCs w:val="22"/>
        </w:rPr>
        <w:t xml:space="preserve">The system notifies the next approver the moment the preceding stage is signed off.</w:t>
      </w:r>
    </w:p>
    <w:p>
      <w:pPr>
        <w:pStyle w:val="ListParagraph"/>
        <w:numPr>
          <w:ilvl w:val="0"/>
          <w:numId w:val="3"/>
        </w:numPr>
        <w:spacing w:after="100" w:line="276"/>
      </w:pPr>
      <w:r>
        <w:rPr>
          <w:color w:val="1F2E2B"/>
          <w:sz w:val="22"/>
          <w:szCs w:val="22"/>
        </w:rPr>
        <w:t xml:space="preserve">Each approver reviews the same, single case record. Information is never re-entered or transcribed between stages.</w:t>
      </w:r>
    </w:p>
    <w:p>
      <w:pPr>
        <w:pStyle w:val="ListParagraph"/>
        <w:numPr>
          <w:ilvl w:val="0"/>
          <w:numId w:val="3"/>
        </w:numPr>
        <w:spacing w:after="100" w:line="276"/>
      </w:pPr>
      <w:r>
        <w:rPr>
          <w:color w:val="1F2E2B"/>
          <w:sz w:val="22"/>
          <w:szCs w:val="22"/>
        </w:rPr>
        <w:t xml:space="preserve">Each approver either approves (note optional) or sends the case back (written reason required).</w:t>
      </w:r>
    </w:p>
    <w:p>
      <w:pPr>
        <w:pStyle w:val="ListParagraph"/>
        <w:numPr>
          <w:ilvl w:val="0"/>
          <w:numId w:val="3"/>
        </w:numPr>
        <w:spacing w:after="100" w:line="276"/>
      </w:pPr>
      <w:r>
        <w:rPr>
          <w:color w:val="1F2E2B"/>
          <w:sz w:val="22"/>
          <w:szCs w:val="22"/>
        </w:rPr>
        <w:t xml:space="preserve">Upon the Assigned Nurse's sign-off, the case status becomes Active and scheduled care begins.</w:t>
      </w:r>
    </w:p>
    <w:p>
      <w:pPr>
        <w:pStyle w:val="Heading2"/>
        <w:spacing w:after="120" w:before="280"/>
      </w:pPr>
      <w:r>
        <w:rPr>
          <w:color w:val="1F2E2B"/>
        </w:rPr>
        <w:t xml:space="preserve">5.3 Send-backs and resubmission</w:t>
      </w:r>
    </w:p>
    <w:p>
      <w:pPr>
        <w:pStyle w:val="ListParagraph"/>
        <w:numPr>
          <w:ilvl w:val="0"/>
          <w:numId w:val="3"/>
        </w:numPr>
        <w:spacing w:after="100" w:line="276"/>
      </w:pPr>
      <w:r>
        <w:rPr>
          <w:color w:val="1F2E2B"/>
          <w:sz w:val="22"/>
          <w:szCs w:val="22"/>
        </w:rPr>
        <w:t xml:space="preserve">A send-back stops the chain immediately. The case status becomes Needs Revision.</w:t>
      </w:r>
    </w:p>
    <w:p>
      <w:pPr>
        <w:pStyle w:val="ListParagraph"/>
        <w:numPr>
          <w:ilvl w:val="0"/>
          <w:numId w:val="3"/>
        </w:numPr>
        <w:spacing w:after="100" w:line="276"/>
      </w:pPr>
      <w:r>
        <w:rPr>
          <w:color w:val="1F2E2B"/>
          <w:sz w:val="22"/>
          <w:szCs w:val="22"/>
        </w:rPr>
        <w:t xml:space="preserve">The send-back reason must state specifically what is missing or incorrect.</w:t>
      </w:r>
    </w:p>
    <w:p>
      <w:pPr>
        <w:pStyle w:val="ListParagraph"/>
        <w:numPr>
          <w:ilvl w:val="0"/>
          <w:numId w:val="3"/>
        </w:numPr>
        <w:spacing w:after="100" w:line="276"/>
      </w:pPr>
      <w:r>
        <w:rPr>
          <w:color w:val="1F2E2B"/>
          <w:sz w:val="22"/>
          <w:szCs w:val="22"/>
        </w:rPr>
        <w:t xml:space="preserve">The Doctor revises the case and resubmits. Resubmission restarts the chain at the stage that issued the send-back; earlier approvals remain valid unless the revision changed clinical content, in which case the full chain restarts. [Confirm this rule with leadership.]</w:t>
      </w:r>
    </w:p>
    <w:p>
      <w:pPr>
        <w:pStyle w:val="ListParagraph"/>
        <w:numPr>
          <w:ilvl w:val="0"/>
          <w:numId w:val="3"/>
        </w:numPr>
        <w:spacing w:after="100" w:line="276"/>
      </w:pPr>
      <w:r>
        <w:rPr>
          <w:color w:val="1F2E2B"/>
          <w:sz w:val="22"/>
          <w:szCs w:val="22"/>
        </w:rPr>
        <w:t xml:space="preserve">All send-backs and resubmissions remain permanently visible in the case history.</w:t>
      </w:r>
    </w:p>
    <w:p>
      <w:pPr>
        <w:pStyle w:val="Heading2"/>
        <w:spacing w:after="120" w:before="280"/>
      </w:pPr>
      <w:r>
        <w:rPr>
          <w:color w:val="1F2E2B"/>
        </w:rPr>
        <w:t xml:space="preserve">5.4 Timeframes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60"/>
      </w:tblGrid>
      <w:tr>
        <w:trPr>
          <w:tblHeader/>
        </w:trPr>
        <w:tc>
          <w:tcPr>
            <w:tcW w:type="dxa" w:w="3000"/>
            <w:shd w:fill="E4EDEB" w:val="clear"/>
            <w:tcMar>
              <w:top w:type="dxa" w:w="80"/>
              <w:left w:type="dxa" w:w="120"/>
              <w:bottom w:type="dxa" w:w="80"/>
              <w:right w:type="dxa" w:w="120"/>
            </w:tcMar>
          </w:tcPr>
          <w:p>
            <w:pPr>
              <w:spacing w:after="0" w:line="264"/>
            </w:pPr>
            <w:r>
              <w:rPr>
                <w:b/>
                <w:bCs/>
                <w:color w:val="1F2E2B"/>
                <w:sz w:val="20"/>
                <w:szCs w:val="20"/>
              </w:rPr>
              <w:t xml:space="preserve">Stage</w:t>
            </w:r>
          </w:p>
        </w:tc>
        <w:tc>
          <w:tcPr>
            <w:tcW w:type="dxa" w:w="3300"/>
            <w:shd w:fill="E4EDEB" w:val="clear"/>
            <w:tcMar>
              <w:top w:type="dxa" w:w="80"/>
              <w:left w:type="dxa" w:w="120"/>
              <w:bottom w:type="dxa" w:w="80"/>
              <w:right w:type="dxa" w:w="120"/>
            </w:tcMar>
          </w:tcPr>
          <w:p>
            <w:pPr>
              <w:spacing w:after="0" w:line="264"/>
            </w:pPr>
            <w:r>
              <w:rPr>
                <w:b/>
                <w:bCs/>
                <w:color w:val="1F2E2B"/>
                <w:sz w:val="20"/>
                <w:szCs w:val="20"/>
              </w:rPr>
              <w:t xml:space="preserve">Target turnaround</w:t>
            </w:r>
          </w:p>
        </w:tc>
        <w:tc>
          <w:tcPr>
            <w:tcW w:type="dxa" w:w="3360"/>
            <w:shd w:fill="E4EDEB" w:val="clear"/>
            <w:tcMar>
              <w:top w:type="dxa" w:w="80"/>
              <w:left w:type="dxa" w:w="120"/>
              <w:bottom w:type="dxa" w:w="80"/>
              <w:right w:type="dxa" w:w="120"/>
            </w:tcMar>
          </w:tcPr>
          <w:p>
            <w:pPr>
              <w:spacing w:after="0" w:line="264"/>
            </w:pPr>
            <w:r>
              <w:rPr>
                <w:b/>
                <w:bCs/>
                <w:color w:val="1F2E2B"/>
                <w:sz w:val="20"/>
                <w:szCs w:val="20"/>
              </w:rPr>
              <w:t xml:space="preserve">Stalled-case trigger</w:t>
            </w:r>
          </w:p>
        </w:tc>
      </w:tr>
      <w:tr>
        <w:tc>
          <w:tcPr>
            <w:tcW w:type="dxa" w:w="3000"/>
            <w:tcMar>
              <w:top w:type="dxa" w:w="80"/>
              <w:left w:type="dxa" w:w="120"/>
              <w:bottom w:type="dxa" w:w="80"/>
              <w:right w:type="dxa" w:w="120"/>
            </w:tcMar>
          </w:tcPr>
          <w:p>
            <w:pPr>
              <w:spacing w:after="0" w:line="264"/>
            </w:pPr>
            <w:r>
              <w:rPr>
                <w:b w:val="false"/>
                <w:bCs w:val="false"/>
                <w:color w:val="1F2E2B"/>
                <w:sz w:val="20"/>
                <w:szCs w:val="20"/>
              </w:rPr>
              <w:t xml:space="preserve">Head Nurse review</w:t>
            </w:r>
          </w:p>
        </w:tc>
        <w:tc>
          <w:tcPr>
            <w:tcW w:type="dxa" w:w="3300"/>
            <w:tcMar>
              <w:top w:type="dxa" w:w="80"/>
              <w:left w:type="dxa" w:w="120"/>
              <w:bottom w:type="dxa" w:w="80"/>
              <w:right w:type="dxa" w:w="120"/>
            </w:tcMar>
          </w:tcPr>
          <w:p>
            <w:pPr>
              <w:spacing w:after="0" w:line="264"/>
            </w:pPr>
            <w:r>
              <w:rPr>
                <w:b w:val="false"/>
                <w:bCs w:val="false"/>
                <w:color w:val="1F2E2B"/>
                <w:sz w:val="20"/>
                <w:szCs w:val="20"/>
              </w:rPr>
              <w:t xml:space="preserve">[4 business hours]</w:t>
            </w:r>
          </w:p>
        </w:tc>
        <w:tc>
          <w:tcPr>
            <w:tcW w:type="dxa" w:w="3360"/>
            <w:tcMar>
              <w:top w:type="dxa" w:w="80"/>
              <w:left w:type="dxa" w:w="120"/>
              <w:bottom w:type="dxa" w:w="80"/>
              <w:right w:type="dxa" w:w="120"/>
            </w:tcMar>
          </w:tcPr>
          <w:p>
            <w:pPr>
              <w:spacing w:after="0" w:line="264"/>
            </w:pPr>
            <w:r>
              <w:rPr>
                <w:b w:val="false"/>
                <w:bCs w:val="false"/>
                <w:color w:val="1F2E2B"/>
                <w:sz w:val="20"/>
                <w:szCs w:val="20"/>
              </w:rPr>
              <w:t xml:space="preserve">Flag at [8 business hours]</w:t>
            </w:r>
          </w:p>
        </w:tc>
      </w:tr>
      <w:tr>
        <w:tc>
          <w:tcPr>
            <w:tcW w:type="dxa" w:w="3000"/>
            <w:tcMar>
              <w:top w:type="dxa" w:w="80"/>
              <w:left w:type="dxa" w:w="120"/>
              <w:bottom w:type="dxa" w:w="80"/>
              <w:right w:type="dxa" w:w="120"/>
            </w:tcMar>
          </w:tcPr>
          <w:p>
            <w:pPr>
              <w:spacing w:after="0" w:line="264"/>
            </w:pPr>
            <w:r>
              <w:rPr>
                <w:b w:val="false"/>
                <w:bCs w:val="false"/>
                <w:color w:val="1F2E2B"/>
                <w:sz w:val="20"/>
                <w:szCs w:val="20"/>
              </w:rPr>
              <w:t xml:space="preserve">Head of Staff approval</w:t>
            </w:r>
          </w:p>
        </w:tc>
        <w:tc>
          <w:tcPr>
            <w:tcW w:type="dxa" w:w="3300"/>
            <w:tcMar>
              <w:top w:type="dxa" w:w="80"/>
              <w:left w:type="dxa" w:w="120"/>
              <w:bottom w:type="dxa" w:w="80"/>
              <w:right w:type="dxa" w:w="120"/>
            </w:tcMar>
          </w:tcPr>
          <w:p>
            <w:pPr>
              <w:spacing w:after="0" w:line="264"/>
            </w:pPr>
            <w:r>
              <w:rPr>
                <w:b w:val="false"/>
                <w:bCs w:val="false"/>
                <w:color w:val="1F2E2B"/>
                <w:sz w:val="20"/>
                <w:szCs w:val="20"/>
              </w:rPr>
              <w:t xml:space="preserve">[4 business hours]</w:t>
            </w:r>
          </w:p>
        </w:tc>
        <w:tc>
          <w:tcPr>
            <w:tcW w:type="dxa" w:w="3360"/>
            <w:tcMar>
              <w:top w:type="dxa" w:w="80"/>
              <w:left w:type="dxa" w:w="120"/>
              <w:bottom w:type="dxa" w:w="80"/>
              <w:right w:type="dxa" w:w="120"/>
            </w:tcMar>
          </w:tcPr>
          <w:p>
            <w:pPr>
              <w:spacing w:after="0" w:line="264"/>
            </w:pPr>
            <w:r>
              <w:rPr>
                <w:b w:val="false"/>
                <w:bCs w:val="false"/>
                <w:color w:val="1F2E2B"/>
                <w:sz w:val="20"/>
                <w:szCs w:val="20"/>
              </w:rPr>
              <w:t xml:space="preserve">Flag at [8 business hours]</w:t>
            </w:r>
          </w:p>
        </w:tc>
      </w:tr>
      <w:tr>
        <w:tc>
          <w:tcPr>
            <w:tcW w:type="dxa" w:w="3000"/>
            <w:tcMar>
              <w:top w:type="dxa" w:w="80"/>
              <w:left w:type="dxa" w:w="120"/>
              <w:bottom w:type="dxa" w:w="80"/>
              <w:right w:type="dxa" w:w="120"/>
            </w:tcMar>
          </w:tcPr>
          <w:p>
            <w:pPr>
              <w:spacing w:after="0" w:line="264"/>
            </w:pPr>
            <w:r>
              <w:rPr>
                <w:b w:val="false"/>
                <w:bCs w:val="false"/>
                <w:color w:val="1F2E2B"/>
                <w:sz w:val="20"/>
                <w:szCs w:val="20"/>
              </w:rPr>
              <w:t xml:space="preserve">Assigned Nurse check-in</w:t>
            </w:r>
          </w:p>
        </w:tc>
        <w:tc>
          <w:tcPr>
            <w:tcW w:type="dxa" w:w="3300"/>
            <w:tcMar>
              <w:top w:type="dxa" w:w="80"/>
              <w:left w:type="dxa" w:w="120"/>
              <w:bottom w:type="dxa" w:w="80"/>
              <w:right w:type="dxa" w:w="120"/>
            </w:tcMar>
          </w:tcPr>
          <w:p>
            <w:pPr>
              <w:spacing w:after="0" w:line="264"/>
            </w:pPr>
            <w:r>
              <w:rPr>
                <w:b w:val="false"/>
                <w:bCs w:val="false"/>
                <w:color w:val="1F2E2B"/>
                <w:sz w:val="20"/>
                <w:szCs w:val="20"/>
              </w:rPr>
              <w:t xml:space="preserve">[24–48 hours from approval]</w:t>
            </w:r>
          </w:p>
        </w:tc>
        <w:tc>
          <w:tcPr>
            <w:tcW w:type="dxa" w:w="3360"/>
            <w:tcMar>
              <w:top w:type="dxa" w:w="80"/>
              <w:left w:type="dxa" w:w="120"/>
              <w:bottom w:type="dxa" w:w="80"/>
              <w:right w:type="dxa" w:w="120"/>
            </w:tcMar>
          </w:tcPr>
          <w:p>
            <w:pPr>
              <w:spacing w:after="0" w:line="264"/>
            </w:pPr>
            <w:r>
              <w:rPr>
                <w:b w:val="false"/>
                <w:bCs w:val="false"/>
                <w:color w:val="1F2E2B"/>
                <w:sz w:val="20"/>
                <w:szCs w:val="20"/>
              </w:rPr>
              <w:t xml:space="preserve">Flag at [72 hours]</w:t>
            </w:r>
          </w:p>
        </w:tc>
      </w:tr>
      <w:tr>
        <w:tc>
          <w:tcPr>
            <w:tcW w:type="dxa" w:w="3000"/>
            <w:tcMar>
              <w:top w:type="dxa" w:w="80"/>
              <w:left w:type="dxa" w:w="120"/>
              <w:bottom w:type="dxa" w:w="80"/>
              <w:right w:type="dxa" w:w="120"/>
            </w:tcMar>
          </w:tcPr>
          <w:p>
            <w:pPr>
              <w:spacing w:after="0" w:line="264"/>
            </w:pPr>
            <w:r>
              <w:rPr>
                <w:b w:val="false"/>
                <w:bCs w:val="false"/>
                <w:color w:val="1F2E2B"/>
                <w:sz w:val="20"/>
                <w:szCs w:val="20"/>
              </w:rPr>
              <w:t xml:space="preserve">Doctor resubmission after send-back</w:t>
            </w:r>
          </w:p>
        </w:tc>
        <w:tc>
          <w:tcPr>
            <w:tcW w:type="dxa" w:w="3300"/>
            <w:tcMar>
              <w:top w:type="dxa" w:w="80"/>
              <w:left w:type="dxa" w:w="120"/>
              <w:bottom w:type="dxa" w:w="80"/>
              <w:right w:type="dxa" w:w="120"/>
            </w:tcMar>
          </w:tcPr>
          <w:p>
            <w:pPr>
              <w:spacing w:after="0" w:line="264"/>
            </w:pPr>
            <w:r>
              <w:rPr>
                <w:b w:val="false"/>
                <w:bCs w:val="false"/>
                <w:color w:val="1F2E2B"/>
                <w:sz w:val="20"/>
                <w:szCs w:val="20"/>
              </w:rPr>
              <w:t xml:space="preserve">[1 business day]</w:t>
            </w:r>
          </w:p>
        </w:tc>
        <w:tc>
          <w:tcPr>
            <w:tcW w:type="dxa" w:w="3360"/>
            <w:tcMar>
              <w:top w:type="dxa" w:w="80"/>
              <w:left w:type="dxa" w:w="120"/>
              <w:bottom w:type="dxa" w:w="80"/>
              <w:right w:type="dxa" w:w="120"/>
            </w:tcMar>
          </w:tcPr>
          <w:p>
            <w:pPr>
              <w:spacing w:after="0" w:line="264"/>
            </w:pPr>
            <w:r>
              <w:rPr>
                <w:b w:val="false"/>
                <w:bCs w:val="false"/>
                <w:color w:val="1F2E2B"/>
                <w:sz w:val="20"/>
                <w:szCs w:val="20"/>
              </w:rPr>
              <w:t xml:space="preserve">Flag at [2 business days]</w:t>
            </w:r>
          </w:p>
        </w:tc>
      </w:tr>
    </w:tbl>
    <w:p>
      <w:pPr>
        <w:spacing w:after="160"/>
      </w:pPr>
    </w:p>
    <w:p>
      <w:pPr>
        <w:spacing w:after="140" w:line="288"/>
      </w:pPr>
      <w:r>
        <w:rPr>
          <w:i/>
          <w:iCs/>
          <w:color w:val="5B6B64"/>
          <w:sz w:val="22"/>
          <w:szCs w:val="22"/>
        </w:rPr>
        <w:t xml:space="preserve">When a stalled-case trigger fires, the system alerts [the Head of Staff] and the case is reviewed at the next daily huddle. Targets above are placeholders to be validated against actual operations.</w:t>
      </w:r>
    </w:p>
    <w:p>
      <w:r>
        <w:br w:type="page"/>
      </w:r>
    </w:p>
    <w:p>
      <w:pPr>
        <w:pStyle w:val="Heading1"/>
        <w:spacing w:after="160" w:before="360"/>
      </w:pPr>
      <w:r>
        <w:rPr>
          <w:color w:val="2D5F5D"/>
        </w:rPr>
        <w:t xml:space="preserve">6. Procedure — Escalation to Stem Cell Wound Care</w:t>
      </w:r>
    </w:p>
    <w:p>
      <w:pPr>
        <w:pStyle w:val="Heading2"/>
        <w:spacing w:after="120" w:before="280"/>
      </w:pPr>
      <w:r>
        <w:rPr>
          <w:color w:val="1F2E2B"/>
        </w:rPr>
        <w:t xml:space="preserve">6.1 When to escalate</w:t>
      </w:r>
    </w:p>
    <w:p>
      <w:pPr>
        <w:spacing w:after="140" w:line="288"/>
      </w:pPr>
      <w:r>
        <w:rPr>
          <w:color w:val="1F2E2B"/>
          <w:sz w:val="22"/>
          <w:szCs w:val="22"/>
        </w:rPr>
        <w:t xml:space="preserve">A case is eligible for escalation when standard home health wound care is not achieving expected healing progress. Placeholder clinical criteria (to be defined by the Medical Director):</w:t>
      </w:r>
    </w:p>
    <w:p>
      <w:pPr>
        <w:pStyle w:val="ListParagraph"/>
        <w:numPr>
          <w:ilvl w:val="0"/>
          <w:numId w:val="2"/>
        </w:numPr>
        <w:spacing w:after="80" w:line="276"/>
      </w:pPr>
      <w:r>
        <w:rPr>
          <w:color w:val="1F2E2B"/>
          <w:sz w:val="22"/>
          <w:szCs w:val="22"/>
        </w:rPr>
        <w:t xml:space="preserve">[No measurable improvement after X weeks of standard wound care]</w:t>
      </w:r>
    </w:p>
    <w:p>
      <w:pPr>
        <w:pStyle w:val="ListParagraph"/>
        <w:numPr>
          <w:ilvl w:val="0"/>
          <w:numId w:val="2"/>
        </w:numPr>
        <w:spacing w:after="80" w:line="276"/>
      </w:pPr>
      <w:r>
        <w:rPr>
          <w:color w:val="1F2E2B"/>
          <w:sz w:val="22"/>
          <w:szCs w:val="22"/>
        </w:rPr>
        <w:t xml:space="preserve">[Wound classified at or above stage X]</w:t>
      </w:r>
    </w:p>
    <w:p>
      <w:pPr>
        <w:pStyle w:val="ListParagraph"/>
        <w:numPr>
          <w:ilvl w:val="0"/>
          <w:numId w:val="2"/>
        </w:numPr>
        <w:spacing w:after="80" w:line="276"/>
      </w:pPr>
      <w:r>
        <w:rPr>
          <w:color w:val="1F2E2B"/>
          <w:sz w:val="22"/>
          <w:szCs w:val="22"/>
        </w:rPr>
        <w:t xml:space="preserve">[Signs of infection or deterioration documented on X consecutive visits]</w:t>
      </w:r>
    </w:p>
    <w:p>
      <w:pPr>
        <w:pStyle w:val="Heading2"/>
        <w:spacing w:after="120" w:before="280"/>
      </w:pPr>
      <w:r>
        <w:rPr>
          <w:color w:val="1F2E2B"/>
        </w:rPr>
        <w:t xml:space="preserve">6.2 Who may escalate</w:t>
      </w:r>
    </w:p>
    <w:p>
      <w:pPr>
        <w:spacing w:after="140" w:line="288"/>
      </w:pPr>
      <w:r>
        <w:rPr>
          <w:color w:val="1F2E2B"/>
          <w:sz w:val="22"/>
          <w:szCs w:val="22"/>
        </w:rPr>
        <w:t xml:space="preserve">Only the Doctor or the Head Nurse may initiate an escalation, and only after the home health approval chain is fully approved.</w:t>
      </w:r>
    </w:p>
    <w:p>
      <w:pPr>
        <w:pStyle w:val="Heading2"/>
        <w:spacing w:after="120" w:before="280"/>
      </w:pPr>
      <w:r>
        <w:rPr>
          <w:color w:val="1F2E2B"/>
        </w:rPr>
        <w:t xml:space="preserve">6.3 Escalation process</w:t>
      </w:r>
    </w:p>
    <w:p>
      <w:pPr>
        <w:pStyle w:val="ListParagraph"/>
        <w:numPr>
          <w:ilvl w:val="0"/>
          <w:numId w:val="3"/>
        </w:numPr>
        <w:spacing w:after="100" w:line="276"/>
      </w:pPr>
      <w:r>
        <w:rPr>
          <w:color w:val="1F2E2B"/>
          <w:sz w:val="22"/>
          <w:szCs w:val="22"/>
        </w:rPr>
        <w:t xml:space="preserve">The initiator triggers escalation on the existing case. The case is not duplicated — the full home health history travels with it.</w:t>
      </w:r>
    </w:p>
    <w:p>
      <w:pPr>
        <w:pStyle w:val="ListParagraph"/>
        <w:numPr>
          <w:ilvl w:val="0"/>
          <w:numId w:val="3"/>
        </w:numPr>
        <w:spacing w:after="100" w:line="276"/>
      </w:pPr>
      <w:r>
        <w:rPr>
          <w:color w:val="1F2E2B"/>
          <w:sz w:val="22"/>
          <w:szCs w:val="22"/>
        </w:rPr>
        <w:t xml:space="preserve">Escalation opens a new approval chain for the Wound Care business line, in the same order: Doctor → Head Nurse → Head of Staff → Assigned Nurse.</w:t>
      </w:r>
    </w:p>
    <w:p>
      <w:pPr>
        <w:pStyle w:val="ListParagraph"/>
        <w:numPr>
          <w:ilvl w:val="0"/>
          <w:numId w:val="3"/>
        </w:numPr>
        <w:spacing w:after="100" w:line="276"/>
      </w:pPr>
      <w:r>
        <w:rPr>
          <w:color w:val="1F2E2B"/>
          <w:sz w:val="22"/>
          <w:szCs w:val="22"/>
        </w:rPr>
        <w:t xml:space="preserve">The wound care chain requires its own fresh sign-offs at every stage. No approval carries over from the home health chain. [Confirm with leadership.]</w:t>
      </w:r>
    </w:p>
    <w:p>
      <w:pPr>
        <w:pStyle w:val="ListParagraph"/>
        <w:numPr>
          <w:ilvl w:val="0"/>
          <w:numId w:val="3"/>
        </w:numPr>
        <w:spacing w:after="100" w:line="276"/>
      </w:pPr>
      <w:r>
        <w:rPr>
          <w:color w:val="1F2E2B"/>
          <w:sz w:val="22"/>
          <w:szCs w:val="22"/>
        </w:rPr>
        <w:t xml:space="preserve">Home health services continue or pause during wound care review per the Doctor's order on the escalation note. [Define default.]</w:t>
      </w:r>
    </w:p>
    <w:p>
      <w:pPr>
        <w:pStyle w:val="Heading1"/>
        <w:spacing w:after="160" w:before="360"/>
      </w:pPr>
      <w:r>
        <w:rPr>
          <w:color w:val="2D5F5D"/>
        </w:rPr>
        <w:t xml:space="preserve">7. Case Record and Data Integrity</w:t>
      </w:r>
    </w:p>
    <w:p>
      <w:pPr>
        <w:pStyle w:val="ListParagraph"/>
        <w:numPr>
          <w:ilvl w:val="0"/>
          <w:numId w:val="2"/>
        </w:numPr>
        <w:spacing w:after="80" w:line="276"/>
      </w:pPr>
      <w:r>
        <w:rPr>
          <w:color w:val="1F2E2B"/>
          <w:sz w:val="22"/>
          <w:szCs w:val="22"/>
        </w:rPr>
        <w:t xml:space="preserve">One record per case. All roles view and act on the same record; no side copies, printouts used as working documents, or re-keyed data.</w:t>
      </w:r>
    </w:p>
    <w:p>
      <w:pPr>
        <w:pStyle w:val="ListParagraph"/>
        <w:numPr>
          <w:ilvl w:val="0"/>
          <w:numId w:val="2"/>
        </w:numPr>
        <w:spacing w:after="80" w:line="276"/>
      </w:pPr>
      <w:r>
        <w:rPr>
          <w:b/>
          <w:bCs/>
          <w:color w:val="1F2E2B"/>
          <w:sz w:val="22"/>
          <w:szCs w:val="22"/>
        </w:rPr>
        <w:t xml:space="preserve">Append-only history. </w:t>
      </w:r>
      <w:r>
        <w:rPr>
          <w:color w:val="1F2E2B"/>
          <w:sz w:val="22"/>
          <w:szCs w:val="22"/>
        </w:rPr>
        <w:t xml:space="preserve">Sign-offs, send-backs, and notes are never edited or deleted. Corrections are made by adding a new entry.</w:t>
      </w:r>
    </w:p>
    <w:p>
      <w:pPr>
        <w:pStyle w:val="ListParagraph"/>
        <w:numPr>
          <w:ilvl w:val="0"/>
          <w:numId w:val="2"/>
        </w:numPr>
        <w:spacing w:after="80" w:line="276"/>
      </w:pPr>
      <w:r>
        <w:rPr>
          <w:color w:val="1F2E2B"/>
          <w:sz w:val="22"/>
          <w:szCs w:val="22"/>
        </w:rPr>
        <w:t xml:space="preserve">Every entry is attributed (role + individual) and timestamped automatically.</w:t>
      </w:r>
    </w:p>
    <w:p>
      <w:pPr>
        <w:pStyle w:val="ListParagraph"/>
        <w:numPr>
          <w:ilvl w:val="0"/>
          <w:numId w:val="2"/>
        </w:numPr>
        <w:spacing w:after="80" w:line="276"/>
      </w:pPr>
      <w:r>
        <w:rPr>
          <w:color w:val="1F2E2B"/>
          <w:sz w:val="22"/>
          <w:szCs w:val="22"/>
        </w:rPr>
        <w:t xml:space="preserve">Required fields per case: Case ID, patient name, diagnosis/reason, business line(s), current stage, full approval history. [Add insurance/authorization fields as required.]</w:t>
      </w:r>
    </w:p>
    <w:p>
      <w:pPr>
        <w:pStyle w:val="ListParagraph"/>
        <w:numPr>
          <w:ilvl w:val="0"/>
          <w:numId w:val="2"/>
        </w:numPr>
        <w:spacing w:after="80" w:line="276"/>
      </w:pPr>
      <w:r>
        <w:rPr>
          <w:color w:val="1F2E2B"/>
          <w:sz w:val="22"/>
          <w:szCs w:val="22"/>
        </w:rPr>
        <w:t xml:space="preserve">Attachments (photos, discharge summaries, lab results) are uploaded to the case record, not sent by email or text.</w:t>
      </w:r>
    </w:p>
    <w:p>
      <w:pPr>
        <w:pStyle w:val="Heading1"/>
        <w:spacing w:after="160" w:before="360"/>
      </w:pPr>
      <w:r>
        <w:rPr>
          <w:color w:val="2D5F5D"/>
        </w:rPr>
        <w:t xml:space="preserve">8. Notifications</w:t>
      </w:r>
    </w:p>
    <w:p>
      <w:pPr>
        <w:pStyle w:val="ListParagraph"/>
        <w:numPr>
          <w:ilvl w:val="0"/>
          <w:numId w:val="2"/>
        </w:numPr>
        <w:spacing w:after="80" w:line="276"/>
      </w:pPr>
      <w:r>
        <w:rPr>
          <w:color w:val="1F2E2B"/>
          <w:sz w:val="22"/>
          <w:szCs w:val="22"/>
        </w:rPr>
        <w:t xml:space="preserve">Turn notification: the next approver is notified immediately when a stage becomes theirs. Channel: [in-app + email/SMS — choose].</w:t>
      </w:r>
    </w:p>
    <w:p>
      <w:pPr>
        <w:pStyle w:val="ListParagraph"/>
        <w:numPr>
          <w:ilvl w:val="0"/>
          <w:numId w:val="2"/>
        </w:numPr>
        <w:spacing w:after="80" w:line="276"/>
      </w:pPr>
      <w:r>
        <w:rPr>
          <w:color w:val="1F2E2B"/>
          <w:sz w:val="22"/>
          <w:szCs w:val="22"/>
        </w:rPr>
        <w:t xml:space="preserve">Send-back notification: the Doctor is notified immediately upon any send-back, with the reason included.</w:t>
      </w:r>
    </w:p>
    <w:p>
      <w:pPr>
        <w:pStyle w:val="ListParagraph"/>
        <w:numPr>
          <w:ilvl w:val="0"/>
          <w:numId w:val="2"/>
        </w:numPr>
        <w:spacing w:after="80" w:line="276"/>
      </w:pPr>
      <w:r>
        <w:rPr>
          <w:color w:val="1F2E2B"/>
          <w:sz w:val="22"/>
          <w:szCs w:val="22"/>
        </w:rPr>
        <w:t xml:space="preserve">Stalled-case alert: sent to [Head of Staff] per the timeframes in Section 5.4.</w:t>
      </w:r>
    </w:p>
    <w:p>
      <w:pPr>
        <w:pStyle w:val="ListParagraph"/>
        <w:numPr>
          <w:ilvl w:val="0"/>
          <w:numId w:val="2"/>
        </w:numPr>
        <w:spacing w:after="80" w:line="276"/>
      </w:pPr>
      <w:r>
        <w:rPr>
          <w:color w:val="1F2E2B"/>
          <w:sz w:val="22"/>
          <w:szCs w:val="22"/>
        </w:rPr>
        <w:t xml:space="preserve">Activation notice: [define who is informed when a case becomes Active — e.g., scheduling, billing].</w:t>
      </w:r>
    </w:p>
    <w:p>
      <w:pPr>
        <w:pStyle w:val="Heading1"/>
        <w:spacing w:after="160" w:before="360"/>
      </w:pPr>
      <w:r>
        <w:rPr>
          <w:color w:val="2D5F5D"/>
        </w:rPr>
        <w:t xml:space="preserve">9. Exceptions and Urgent Cases</w:t>
      </w:r>
    </w:p>
    <w:p>
      <w:pPr>
        <w:spacing w:after="140" w:line="288"/>
      </w:pPr>
      <w:r>
        <w:rPr>
          <w:i/>
          <w:iCs/>
          <w:color w:val="5B6B64"/>
          <w:sz w:val="22"/>
          <w:szCs w:val="22"/>
        </w:rPr>
        <w:t xml:space="preserve">[Placeholder — leadership must define:]</w:t>
      </w:r>
    </w:p>
    <w:p>
      <w:pPr>
        <w:pStyle w:val="ListParagraph"/>
        <w:numPr>
          <w:ilvl w:val="0"/>
          <w:numId w:val="2"/>
        </w:numPr>
        <w:spacing w:after="80" w:line="276"/>
      </w:pPr>
      <w:r>
        <w:rPr>
          <w:color w:val="1F2E2B"/>
          <w:sz w:val="22"/>
          <w:szCs w:val="22"/>
        </w:rPr>
        <w:t xml:space="preserve">Whether an urgent pathway exists that compresses or reorders the chain, and who may invoke it.</w:t>
      </w:r>
    </w:p>
    <w:p>
      <w:pPr>
        <w:pStyle w:val="ListParagraph"/>
        <w:numPr>
          <w:ilvl w:val="0"/>
          <w:numId w:val="2"/>
        </w:numPr>
        <w:spacing w:after="80" w:line="276"/>
      </w:pPr>
      <w:r>
        <w:rPr>
          <w:color w:val="1F2E2B"/>
          <w:sz w:val="22"/>
          <w:szCs w:val="22"/>
        </w:rPr>
        <w:t xml:space="preserve">What happens when an approver is unavailable and no backup is designated.</w:t>
      </w:r>
    </w:p>
    <w:p>
      <w:pPr>
        <w:pStyle w:val="ListParagraph"/>
        <w:numPr>
          <w:ilvl w:val="0"/>
          <w:numId w:val="2"/>
        </w:numPr>
        <w:spacing w:after="80" w:line="276"/>
      </w:pPr>
      <w:r>
        <w:rPr>
          <w:color w:val="1F2E2B"/>
          <w:sz w:val="22"/>
          <w:szCs w:val="22"/>
        </w:rPr>
        <w:t xml:space="preserve">Who may cancel or withdraw a case, and how cancellation is recorded.</w:t>
      </w:r>
    </w:p>
    <w:p>
      <w:pPr>
        <w:pStyle w:val="Heading1"/>
        <w:spacing w:after="160" w:before="360"/>
      </w:pPr>
      <w:r>
        <w:rPr>
          <w:color w:val="2D5F5D"/>
        </w:rPr>
        <w:t xml:space="preserve">10. Compliance and Confidentiality</w:t>
      </w:r>
    </w:p>
    <w:p>
      <w:pPr>
        <w:pStyle w:val="ListParagraph"/>
        <w:numPr>
          <w:ilvl w:val="0"/>
          <w:numId w:val="2"/>
        </w:numPr>
        <w:spacing w:after="80" w:line="276"/>
      </w:pPr>
      <w:r>
        <w:rPr>
          <w:color w:val="1F2E2B"/>
          <w:sz w:val="22"/>
          <w:szCs w:val="22"/>
        </w:rPr>
        <w:t xml:space="preserve">All case information is Protected Health Information (PHI). Access is limited to staff with a role in the case.</w:t>
      </w:r>
    </w:p>
    <w:p>
      <w:pPr>
        <w:pStyle w:val="ListParagraph"/>
        <w:numPr>
          <w:ilvl w:val="0"/>
          <w:numId w:val="2"/>
        </w:numPr>
        <w:spacing w:after="80" w:line="276"/>
      </w:pPr>
      <w:r>
        <w:rPr>
          <w:color w:val="1F2E2B"/>
          <w:sz w:val="22"/>
          <w:szCs w:val="22"/>
        </w:rPr>
        <w:t xml:space="preserve">Before production use of any software implementing this SOP, HIPAA safeguards must be in place: encryption in transit and at rest, role-based access control, audit logging, and a Business Associate Agreement with any hosting vendor.</w:t>
      </w:r>
    </w:p>
    <w:p>
      <w:pPr>
        <w:pStyle w:val="ListParagraph"/>
        <w:numPr>
          <w:ilvl w:val="0"/>
          <w:numId w:val="2"/>
        </w:numPr>
        <w:spacing w:after="80" w:line="276"/>
      </w:pPr>
      <w:r>
        <w:rPr>
          <w:color w:val="1F2E2B"/>
          <w:sz w:val="22"/>
          <w:szCs w:val="22"/>
        </w:rPr>
        <w:t xml:space="preserve">This SOP does not constitute legal or clinical advice. It must be reviewed by legal counsel and the Medical Director before adoption.</w:t>
      </w:r>
    </w:p>
    <w:p>
      <w:pPr>
        <w:pStyle w:val="Heading1"/>
        <w:spacing w:after="160" w:before="360"/>
      </w:pPr>
      <w:r>
        <w:rPr>
          <w:color w:val="2D5F5D"/>
        </w:rPr>
        <w:t xml:space="preserve">11. Relationship to the Signoff Software</w:t>
      </w:r>
    </w:p>
    <w:p>
      <w:pPr>
        <w:spacing w:after="140" w:line="288"/>
      </w:pPr>
      <w:r>
        <w:rPr>
          <w:color w:val="1F2E2B"/>
          <w:sz w:val="22"/>
          <w:szCs w:val="22"/>
        </w:rPr>
        <w:t xml:space="preserve">The Signoff application is the system of record for this SOP. Each numbered rule above maps to a software behavior:</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600"/>
        <w:gridCol w:w="5060"/>
      </w:tblGrid>
      <w:tr>
        <w:trPr>
          <w:tblHeader/>
        </w:trPr>
        <w:tc>
          <w:tcPr>
            <w:tcW w:type="dxa" w:w="4600"/>
            <w:shd w:fill="E4EDEB" w:val="clear"/>
            <w:tcMar>
              <w:top w:type="dxa" w:w="80"/>
              <w:left w:type="dxa" w:w="120"/>
              <w:bottom w:type="dxa" w:w="80"/>
              <w:right w:type="dxa" w:w="120"/>
            </w:tcMar>
          </w:tcPr>
          <w:p>
            <w:pPr>
              <w:spacing w:after="0" w:line="264"/>
            </w:pPr>
            <w:r>
              <w:rPr>
                <w:b/>
                <w:bCs/>
                <w:color w:val="1F2E2B"/>
                <w:sz w:val="20"/>
                <w:szCs w:val="20"/>
              </w:rPr>
              <w:t xml:space="preserve">SOP rule</w:t>
            </w:r>
          </w:p>
        </w:tc>
        <w:tc>
          <w:tcPr>
            <w:tcW w:type="dxa" w:w="5060"/>
            <w:shd w:fill="E4EDEB" w:val="clear"/>
            <w:tcMar>
              <w:top w:type="dxa" w:w="80"/>
              <w:left w:type="dxa" w:w="120"/>
              <w:bottom w:type="dxa" w:w="80"/>
              <w:right w:type="dxa" w:w="120"/>
            </w:tcMar>
          </w:tcPr>
          <w:p>
            <w:pPr>
              <w:spacing w:after="0" w:line="264"/>
            </w:pPr>
            <w:r>
              <w:rPr>
                <w:b/>
                <w:bCs/>
                <w:color w:val="1F2E2B"/>
                <w:sz w:val="20"/>
                <w:szCs w:val="20"/>
              </w:rPr>
              <w:t xml:space="preserve">Software enforcement</w:t>
            </w:r>
          </w:p>
        </w:tc>
      </w:tr>
      <w:tr>
        <w:tc>
          <w:tcPr>
            <w:tcW w:type="dxa" w:w="4600"/>
            <w:tcMar>
              <w:top w:type="dxa" w:w="80"/>
              <w:left w:type="dxa" w:w="120"/>
              <w:bottom w:type="dxa" w:w="80"/>
              <w:right w:type="dxa" w:w="120"/>
            </w:tcMar>
          </w:tcPr>
          <w:p>
            <w:pPr>
              <w:spacing w:after="0" w:line="264"/>
            </w:pPr>
            <w:r>
              <w:rPr>
                <w:b w:val="false"/>
                <w:bCs w:val="false"/>
                <w:color w:val="1F2E2B"/>
                <w:sz w:val="20"/>
                <w:szCs w:val="20"/>
              </w:rPr>
              <w:t xml:space="preserve">Sequential approval order (5.2)</w:t>
            </w:r>
          </w:p>
        </w:tc>
        <w:tc>
          <w:tcPr>
            <w:tcW w:type="dxa" w:w="5060"/>
            <w:tcMar>
              <w:top w:type="dxa" w:w="80"/>
              <w:left w:type="dxa" w:w="120"/>
              <w:bottom w:type="dxa" w:w="80"/>
              <w:right w:type="dxa" w:w="120"/>
            </w:tcMar>
          </w:tcPr>
          <w:p>
            <w:pPr>
              <w:spacing w:after="0" w:line="264"/>
            </w:pPr>
            <w:r>
              <w:rPr>
                <w:b w:val="false"/>
                <w:bCs w:val="false"/>
                <w:color w:val="1F2E2B"/>
                <w:sz w:val="20"/>
                <w:szCs w:val="20"/>
              </w:rPr>
              <w:t xml:space="preserve">Later stages are locked until earlier stages are approved.</w:t>
            </w:r>
          </w:p>
        </w:tc>
      </w:tr>
      <w:tr>
        <w:tc>
          <w:tcPr>
            <w:tcW w:type="dxa" w:w="4600"/>
            <w:tcMar>
              <w:top w:type="dxa" w:w="80"/>
              <w:left w:type="dxa" w:w="120"/>
              <w:bottom w:type="dxa" w:w="80"/>
              <w:right w:type="dxa" w:w="120"/>
            </w:tcMar>
          </w:tcPr>
          <w:p>
            <w:pPr>
              <w:spacing w:after="0" w:line="264"/>
            </w:pPr>
            <w:r>
              <w:rPr>
                <w:b w:val="false"/>
                <w:bCs w:val="false"/>
                <w:color w:val="1F2E2B"/>
                <w:sz w:val="20"/>
                <w:szCs w:val="20"/>
              </w:rPr>
              <w:t xml:space="preserve">Send-back requires a reason (5.3)</w:t>
            </w:r>
          </w:p>
        </w:tc>
        <w:tc>
          <w:tcPr>
            <w:tcW w:type="dxa" w:w="5060"/>
            <w:tcMar>
              <w:top w:type="dxa" w:w="80"/>
              <w:left w:type="dxa" w:w="120"/>
              <w:bottom w:type="dxa" w:w="80"/>
              <w:right w:type="dxa" w:w="120"/>
            </w:tcMar>
          </w:tcPr>
          <w:p>
            <w:pPr>
              <w:spacing w:after="0" w:line="264"/>
            </w:pPr>
            <w:r>
              <w:rPr>
                <w:b w:val="false"/>
                <w:bCs w:val="false"/>
                <w:color w:val="1F2E2B"/>
                <w:sz w:val="20"/>
                <w:szCs w:val="20"/>
              </w:rPr>
              <w:t xml:space="preserve">The Send Back action cannot be submitted with an empty note.</w:t>
            </w:r>
          </w:p>
        </w:tc>
      </w:tr>
      <w:tr>
        <w:tc>
          <w:tcPr>
            <w:tcW w:type="dxa" w:w="4600"/>
            <w:tcMar>
              <w:top w:type="dxa" w:w="80"/>
              <w:left w:type="dxa" w:w="120"/>
              <w:bottom w:type="dxa" w:w="80"/>
              <w:right w:type="dxa" w:w="120"/>
            </w:tcMar>
          </w:tcPr>
          <w:p>
            <w:pPr>
              <w:spacing w:after="0" w:line="264"/>
            </w:pPr>
            <w:r>
              <w:rPr>
                <w:b w:val="false"/>
                <w:bCs w:val="false"/>
                <w:color w:val="1F2E2B"/>
                <w:sz w:val="20"/>
                <w:szCs w:val="20"/>
              </w:rPr>
              <w:t xml:space="preserve">Append-only history (7)</w:t>
            </w:r>
          </w:p>
        </w:tc>
        <w:tc>
          <w:tcPr>
            <w:tcW w:type="dxa" w:w="5060"/>
            <w:tcMar>
              <w:top w:type="dxa" w:w="80"/>
              <w:left w:type="dxa" w:w="120"/>
              <w:bottom w:type="dxa" w:w="80"/>
              <w:right w:type="dxa" w:w="120"/>
            </w:tcMar>
          </w:tcPr>
          <w:p>
            <w:pPr>
              <w:spacing w:after="0" w:line="264"/>
            </w:pPr>
            <w:r>
              <w:rPr>
                <w:b w:val="false"/>
                <w:bCs w:val="false"/>
                <w:color w:val="1F2E2B"/>
                <w:sz w:val="20"/>
                <w:szCs w:val="20"/>
              </w:rPr>
              <w:t xml:space="preserve">Sign-offs are immutable; corrections create new entries.</w:t>
            </w:r>
          </w:p>
        </w:tc>
      </w:tr>
      <w:tr>
        <w:tc>
          <w:tcPr>
            <w:tcW w:type="dxa" w:w="4600"/>
            <w:tcMar>
              <w:top w:type="dxa" w:w="80"/>
              <w:left w:type="dxa" w:w="120"/>
              <w:bottom w:type="dxa" w:w="80"/>
              <w:right w:type="dxa" w:w="120"/>
            </w:tcMar>
          </w:tcPr>
          <w:p>
            <w:pPr>
              <w:spacing w:after="0" w:line="264"/>
            </w:pPr>
            <w:r>
              <w:rPr>
                <w:b w:val="false"/>
                <w:bCs w:val="false"/>
                <w:color w:val="1F2E2B"/>
                <w:sz w:val="20"/>
                <w:szCs w:val="20"/>
              </w:rPr>
              <w:t xml:space="preserve">Turn notifications (8)</w:t>
            </w:r>
          </w:p>
        </w:tc>
        <w:tc>
          <w:tcPr>
            <w:tcW w:type="dxa" w:w="5060"/>
            <w:tcMar>
              <w:top w:type="dxa" w:w="80"/>
              <w:left w:type="dxa" w:w="120"/>
              <w:bottom w:type="dxa" w:w="80"/>
              <w:right w:type="dxa" w:w="120"/>
            </w:tcMar>
          </w:tcPr>
          <w:p>
            <w:pPr>
              <w:spacing w:after="0" w:line="264"/>
            </w:pPr>
            <w:r>
              <w:rPr>
                <w:b w:val="false"/>
                <w:bCs w:val="false"/>
                <w:color w:val="1F2E2B"/>
                <w:sz w:val="20"/>
                <w:szCs w:val="20"/>
              </w:rPr>
              <w:t xml:space="preserve">Automatic alerts on stage transition.</w:t>
            </w:r>
          </w:p>
        </w:tc>
      </w:tr>
      <w:tr>
        <w:tc>
          <w:tcPr>
            <w:tcW w:type="dxa" w:w="4600"/>
            <w:tcMar>
              <w:top w:type="dxa" w:w="80"/>
              <w:left w:type="dxa" w:w="120"/>
              <w:bottom w:type="dxa" w:w="80"/>
              <w:right w:type="dxa" w:w="120"/>
            </w:tcMar>
          </w:tcPr>
          <w:p>
            <w:pPr>
              <w:spacing w:after="0" w:line="264"/>
            </w:pPr>
            <w:r>
              <w:rPr>
                <w:b w:val="false"/>
                <w:bCs w:val="false"/>
                <w:color w:val="1F2E2B"/>
                <w:sz w:val="20"/>
                <w:szCs w:val="20"/>
              </w:rPr>
              <w:t xml:space="preserve">Stalled-case triggers (5.4)</w:t>
            </w:r>
          </w:p>
        </w:tc>
        <w:tc>
          <w:tcPr>
            <w:tcW w:type="dxa" w:w="5060"/>
            <w:tcMar>
              <w:top w:type="dxa" w:w="80"/>
              <w:left w:type="dxa" w:w="120"/>
              <w:bottom w:type="dxa" w:w="80"/>
              <w:right w:type="dxa" w:w="120"/>
            </w:tcMar>
          </w:tcPr>
          <w:p>
            <w:pPr>
              <w:spacing w:after="0" w:line="264"/>
            </w:pPr>
            <w:r>
              <w:rPr>
                <w:b w:val="false"/>
                <w:bCs w:val="false"/>
                <w:color w:val="1F2E2B"/>
                <w:sz w:val="20"/>
                <w:szCs w:val="20"/>
              </w:rPr>
              <w:t xml:space="preserve">Timers per stage with automatic flags [planned].</w:t>
            </w:r>
          </w:p>
        </w:tc>
      </w:tr>
      <w:tr>
        <w:tc>
          <w:tcPr>
            <w:tcW w:type="dxa" w:w="4600"/>
            <w:tcMar>
              <w:top w:type="dxa" w:w="80"/>
              <w:left w:type="dxa" w:w="120"/>
              <w:bottom w:type="dxa" w:w="80"/>
              <w:right w:type="dxa" w:w="120"/>
            </w:tcMar>
          </w:tcPr>
          <w:p>
            <w:pPr>
              <w:spacing w:after="0" w:line="264"/>
            </w:pPr>
            <w:r>
              <w:rPr>
                <w:b w:val="false"/>
                <w:bCs w:val="false"/>
                <w:color w:val="1F2E2B"/>
                <w:sz w:val="20"/>
                <w:szCs w:val="20"/>
              </w:rPr>
              <w:t xml:space="preserve">Escalation rules (6)</w:t>
            </w:r>
          </w:p>
        </w:tc>
        <w:tc>
          <w:tcPr>
            <w:tcW w:type="dxa" w:w="5060"/>
            <w:tcMar>
              <w:top w:type="dxa" w:w="80"/>
              <w:left w:type="dxa" w:w="120"/>
              <w:bottom w:type="dxa" w:w="80"/>
              <w:right w:type="dxa" w:w="120"/>
            </w:tcMar>
          </w:tcPr>
          <w:p>
            <w:pPr>
              <w:spacing w:after="0" w:line="264"/>
            </w:pPr>
            <w:r>
              <w:rPr>
                <w:b w:val="false"/>
                <w:bCs w:val="false"/>
                <w:color w:val="1F2E2B"/>
                <w:sz w:val="20"/>
                <w:szCs w:val="20"/>
              </w:rPr>
              <w:t xml:space="preserve">Escalation available only on fully-approved home health chains, only to Doctor / Head Nurse.</w:t>
            </w:r>
          </w:p>
        </w:tc>
      </w:tr>
    </w:tbl>
    <w:p>
      <w:pPr>
        <w:spacing w:after="160"/>
      </w:pPr>
    </w:p>
    <w:p>
      <w:pPr>
        <w:spacing w:after="140" w:line="288"/>
      </w:pPr>
      <w:r>
        <w:rPr>
          <w:color w:val="1F2E2B"/>
          <w:sz w:val="22"/>
          <w:szCs w:val="22"/>
        </w:rPr>
        <w:t xml:space="preserve">Any change to this SOP requires a matching change to the software configuration, and vice versa. Version numbers of the SOP and the software workflow configuration should be kept in sync.</w:t>
      </w:r>
    </w:p>
    <w:p>
      <w:pPr>
        <w:pStyle w:val="Heading1"/>
        <w:spacing w:after="160" w:before="360"/>
      </w:pPr>
      <w:r>
        <w:rPr>
          <w:color w:val="2D5F5D"/>
        </w:rPr>
        <w:t xml:space="preserve">12. Revision History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3060"/>
      </w:tblGrid>
      <w:tr>
        <w:trPr>
          <w:tblHeader/>
        </w:trPr>
        <w:tc>
          <w:tcPr>
            <w:tcW w:type="dxa" w:w="1400"/>
            <w:shd w:fill="E4EDEB" w:val="clear"/>
            <w:tcMar>
              <w:top w:type="dxa" w:w="80"/>
              <w:left w:type="dxa" w:w="120"/>
              <w:bottom w:type="dxa" w:w="80"/>
              <w:right w:type="dxa" w:w="120"/>
            </w:tcMar>
          </w:tcPr>
          <w:p>
            <w:pPr>
              <w:spacing w:after="0" w:line="264"/>
            </w:pPr>
            <w:r>
              <w:rPr>
                <w:b/>
                <w:bCs/>
                <w:color w:val="1F2E2B"/>
                <w:sz w:val="20"/>
                <w:szCs w:val="20"/>
              </w:rPr>
              <w:t xml:space="preserve">Version</w:t>
            </w:r>
          </w:p>
        </w:tc>
        <w:tc>
          <w:tcPr>
            <w:tcW w:type="dxa" w:w="1800"/>
            <w:shd w:fill="E4EDEB" w:val="clear"/>
            <w:tcMar>
              <w:top w:type="dxa" w:w="80"/>
              <w:left w:type="dxa" w:w="120"/>
              <w:bottom w:type="dxa" w:w="80"/>
              <w:right w:type="dxa" w:w="120"/>
            </w:tcMar>
          </w:tcPr>
          <w:p>
            <w:pPr>
              <w:spacing w:after="0" w:line="264"/>
            </w:pPr>
            <w:r>
              <w:rPr>
                <w:b/>
                <w:bCs/>
                <w:color w:val="1F2E2B"/>
                <w:sz w:val="20"/>
                <w:szCs w:val="20"/>
              </w:rPr>
              <w:t xml:space="preserve">Date</w:t>
            </w:r>
          </w:p>
        </w:tc>
        <w:tc>
          <w:tcPr>
            <w:tcW w:type="dxa" w:w="3400"/>
            <w:shd w:fill="E4EDEB" w:val="clear"/>
            <w:tcMar>
              <w:top w:type="dxa" w:w="80"/>
              <w:left w:type="dxa" w:w="120"/>
              <w:bottom w:type="dxa" w:w="80"/>
              <w:right w:type="dxa" w:w="120"/>
            </w:tcMar>
          </w:tcPr>
          <w:p>
            <w:pPr>
              <w:spacing w:after="0" w:line="264"/>
            </w:pPr>
            <w:r>
              <w:rPr>
                <w:b/>
                <w:bCs/>
                <w:color w:val="1F2E2B"/>
                <w:sz w:val="20"/>
                <w:szCs w:val="20"/>
              </w:rPr>
              <w:t xml:space="preserve">Change</w:t>
            </w:r>
          </w:p>
        </w:tc>
        <w:tc>
          <w:tcPr>
            <w:tcW w:type="dxa" w:w="3060"/>
            <w:shd w:fill="E4EDEB" w:val="clear"/>
            <w:tcMar>
              <w:top w:type="dxa" w:w="80"/>
              <w:left w:type="dxa" w:w="120"/>
              <w:bottom w:type="dxa" w:w="80"/>
              <w:right w:type="dxa" w:w="120"/>
            </w:tcMar>
          </w:tcPr>
          <w:p>
            <w:pPr>
              <w:spacing w:after="0" w:line="264"/>
            </w:pPr>
            <w:r>
              <w:rPr>
                <w:b/>
                <w:bCs/>
                <w:color w:val="1F2E2B"/>
                <w:sz w:val="20"/>
                <w:szCs w:val="20"/>
              </w:rPr>
              <w:t xml:space="preserve">Author</w:t>
            </w:r>
          </w:p>
        </w:tc>
      </w:tr>
      <w:tr>
        <w:tc>
          <w:tcPr>
            <w:tcW w:type="dxa" w:w="1400"/>
            <w:tcMar>
              <w:top w:type="dxa" w:w="80"/>
              <w:left w:type="dxa" w:w="120"/>
              <w:bottom w:type="dxa" w:w="80"/>
              <w:right w:type="dxa" w:w="120"/>
            </w:tcMar>
          </w:tcPr>
          <w:p>
            <w:pPr>
              <w:spacing w:after="0" w:line="264"/>
            </w:pPr>
            <w:r>
              <w:rPr>
                <w:b w:val="false"/>
                <w:bCs w:val="false"/>
                <w:color w:val="1F2E2B"/>
                <w:sz w:val="20"/>
                <w:szCs w:val="20"/>
              </w:rPr>
              <w:t xml:space="preserve">0.1</w:t>
            </w:r>
          </w:p>
        </w:tc>
        <w:tc>
          <w:tcPr>
            <w:tcW w:type="dxa" w:w="1800"/>
            <w:tcMar>
              <w:top w:type="dxa" w:w="80"/>
              <w:left w:type="dxa" w:w="120"/>
              <w:bottom w:type="dxa" w:w="80"/>
              <w:right w:type="dxa" w:w="120"/>
            </w:tcMar>
          </w:tcPr>
          <w:p>
            <w:pPr>
              <w:spacing w:after="0" w:line="264"/>
            </w:pPr>
            <w:r>
              <w:rPr>
                <w:b w:val="false"/>
                <w:bCs w:val="false"/>
                <w:color w:val="1F2E2B"/>
                <w:sz w:val="20"/>
                <w:szCs w:val="20"/>
              </w:rPr>
              <w:t xml:space="preserve">[Date]</w:t>
            </w:r>
          </w:p>
        </w:tc>
        <w:tc>
          <w:tcPr>
            <w:tcW w:type="dxa" w:w="3400"/>
            <w:tcMar>
              <w:top w:type="dxa" w:w="80"/>
              <w:left w:type="dxa" w:w="120"/>
              <w:bottom w:type="dxa" w:w="80"/>
              <w:right w:type="dxa" w:w="120"/>
            </w:tcMar>
          </w:tcPr>
          <w:p>
            <w:pPr>
              <w:spacing w:after="0" w:line="264"/>
            </w:pPr>
            <w:r>
              <w:rPr>
                <w:b w:val="false"/>
                <w:bCs w:val="false"/>
                <w:color w:val="1F2E2B"/>
                <w:sz w:val="20"/>
                <w:szCs w:val="20"/>
              </w:rPr>
              <w:t xml:space="preserve">Initial working draft created as blueprint for workflow software.</w:t>
            </w:r>
          </w:p>
        </w:tc>
        <w:tc>
          <w:tcPr>
            <w:tcW w:type="dxa" w:w="3060"/>
            <w:tcMar>
              <w:top w:type="dxa" w:w="80"/>
              <w:left w:type="dxa" w:w="120"/>
              <w:bottom w:type="dxa" w:w="80"/>
              <w:right w:type="dxa" w:w="120"/>
            </w:tcMar>
          </w:tcPr>
          <w:p>
            <w:pPr>
              <w:spacing w:after="0" w:line="264"/>
            </w:pPr>
            <w:r>
              <w:rPr>
                <w:b w:val="false"/>
                <w:bCs w:val="false"/>
                <w:color w:val="1F2E2B"/>
                <w:sz w:val="20"/>
                <w:szCs w:val="20"/>
              </w:rPr>
              <w:t xml:space="preserve">[Name]</w:t>
            </w:r>
          </w:p>
        </w:tc>
      </w:tr>
      <w:tr>
        <w:tc>
          <w:tcPr>
            <w:tcW w:type="dxa" w:w="1400"/>
            <w:tcMar>
              <w:top w:type="dxa" w:w="80"/>
              <w:left w:type="dxa" w:w="120"/>
              <w:bottom w:type="dxa" w:w="80"/>
              <w:right w:type="dxa" w:w="120"/>
            </w:tcMar>
          </w:tcPr>
          <w:p>
            <w:pPr>
              <w:spacing w:after="0" w:line="264"/>
            </w:pPr>
            <w:r>
              <w:rPr>
                <w:b w:val="false"/>
                <w:bCs w:val="false"/>
                <w:color w:val="1F2E2B"/>
                <w:sz w:val="20"/>
                <w:szCs w:val="20"/>
              </w:rPr>
              <w:t xml:space="preserve"/>
            </w:r>
          </w:p>
        </w:tc>
        <w:tc>
          <w:tcPr>
            <w:tcW w:type="dxa" w:w="1800"/>
            <w:tcMar>
              <w:top w:type="dxa" w:w="80"/>
              <w:left w:type="dxa" w:w="120"/>
              <w:bottom w:type="dxa" w:w="80"/>
              <w:right w:type="dxa" w:w="120"/>
            </w:tcMar>
          </w:tcPr>
          <w:p>
            <w:pPr>
              <w:spacing w:after="0" w:line="264"/>
            </w:pPr>
            <w:r>
              <w:rPr>
                <w:b w:val="false"/>
                <w:bCs w:val="false"/>
                <w:color w:val="1F2E2B"/>
                <w:sz w:val="20"/>
                <w:szCs w:val="20"/>
              </w:rPr>
              <w:t xml:space="preserve"/>
            </w:r>
          </w:p>
        </w:tc>
        <w:tc>
          <w:tcPr>
            <w:tcW w:type="dxa" w:w="3400"/>
            <w:tcMar>
              <w:top w:type="dxa" w:w="80"/>
              <w:left w:type="dxa" w:w="120"/>
              <w:bottom w:type="dxa" w:w="80"/>
              <w:right w:type="dxa" w:w="120"/>
            </w:tcMar>
          </w:tcPr>
          <w:p>
            <w:pPr>
              <w:spacing w:after="0" w:line="264"/>
            </w:pPr>
            <w:r>
              <w:rPr>
                <w:b w:val="false"/>
                <w:bCs w:val="false"/>
                <w:color w:val="1F2E2B"/>
                <w:sz w:val="20"/>
                <w:szCs w:val="20"/>
              </w:rPr>
              <w:t xml:space="preserve"/>
            </w:r>
          </w:p>
        </w:tc>
        <w:tc>
          <w:tcPr>
            <w:tcW w:type="dxa" w:w="3060"/>
            <w:tcMar>
              <w:top w:type="dxa" w:w="80"/>
              <w:left w:type="dxa" w:w="120"/>
              <w:bottom w:type="dxa" w:w="80"/>
              <w:right w:type="dxa" w:w="120"/>
            </w:tcMar>
          </w:tcPr>
          <w:p>
            <w:pPr>
              <w:spacing w:after="0" w:line="264"/>
            </w:pPr>
            <w:r>
              <w:rPr>
                <w:b w:val="false"/>
                <w:bCs w:val="false"/>
                <w:color w:val="1F2E2B"/>
                <w:sz w:val="20"/>
                <w:szCs w:val="20"/>
              </w:rPr>
              <w:t xml:space="preserve"/>
            </w:r>
          </w:p>
        </w:tc>
      </w:tr>
      <w:tr>
        <w:tc>
          <w:tcPr>
            <w:tcW w:type="dxa" w:w="1400"/>
            <w:tcMar>
              <w:top w:type="dxa" w:w="80"/>
              <w:left w:type="dxa" w:w="120"/>
              <w:bottom w:type="dxa" w:w="80"/>
              <w:right w:type="dxa" w:w="120"/>
            </w:tcMar>
          </w:tcPr>
          <w:p>
            <w:pPr>
              <w:spacing w:after="0" w:line="264"/>
            </w:pPr>
            <w:r>
              <w:rPr>
                <w:b w:val="false"/>
                <w:bCs w:val="false"/>
                <w:color w:val="1F2E2B"/>
                <w:sz w:val="20"/>
                <w:szCs w:val="20"/>
              </w:rPr>
              <w:t xml:space="preserve"/>
            </w:r>
          </w:p>
        </w:tc>
        <w:tc>
          <w:tcPr>
            <w:tcW w:type="dxa" w:w="1800"/>
            <w:tcMar>
              <w:top w:type="dxa" w:w="80"/>
              <w:left w:type="dxa" w:w="120"/>
              <w:bottom w:type="dxa" w:w="80"/>
              <w:right w:type="dxa" w:w="120"/>
            </w:tcMar>
          </w:tcPr>
          <w:p>
            <w:pPr>
              <w:spacing w:after="0" w:line="264"/>
            </w:pPr>
            <w:r>
              <w:rPr>
                <w:b w:val="false"/>
                <w:bCs w:val="false"/>
                <w:color w:val="1F2E2B"/>
                <w:sz w:val="20"/>
                <w:szCs w:val="20"/>
              </w:rPr>
              <w:t xml:space="preserve"/>
            </w:r>
          </w:p>
        </w:tc>
        <w:tc>
          <w:tcPr>
            <w:tcW w:type="dxa" w:w="3400"/>
            <w:tcMar>
              <w:top w:type="dxa" w:w="80"/>
              <w:left w:type="dxa" w:w="120"/>
              <w:bottom w:type="dxa" w:w="80"/>
              <w:right w:type="dxa" w:w="120"/>
            </w:tcMar>
          </w:tcPr>
          <w:p>
            <w:pPr>
              <w:spacing w:after="0" w:line="264"/>
            </w:pPr>
            <w:r>
              <w:rPr>
                <w:b w:val="false"/>
                <w:bCs w:val="false"/>
                <w:color w:val="1F2E2B"/>
                <w:sz w:val="20"/>
                <w:szCs w:val="20"/>
              </w:rPr>
              <w:t xml:space="preserve"/>
            </w:r>
          </w:p>
        </w:tc>
        <w:tc>
          <w:tcPr>
            <w:tcW w:type="dxa" w:w="3060"/>
            <w:tcMar>
              <w:top w:type="dxa" w:w="80"/>
              <w:left w:type="dxa" w:w="120"/>
              <w:bottom w:type="dxa" w:w="80"/>
              <w:right w:type="dxa" w:w="120"/>
            </w:tcMar>
          </w:tcPr>
          <w:p>
            <w:pPr>
              <w:spacing w:after="0" w:line="264"/>
            </w:pPr>
            <w:r>
              <w:rPr>
                <w:b w:val="false"/>
                <w:bCs w:val="false"/>
                <w:color w:val="1F2E2B"/>
                <w:sz w:val="20"/>
                <w:szCs w:val="20"/>
              </w:rPr>
              <w:t xml:space="preserve"/>
            </w:r>
          </w:p>
        </w:tc>
      </w:tr>
    </w:tbl>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4"/>
        <w:sz w:val="16"/>
        <w:szCs w:val="16"/>
      </w:rPr>
      <w:t xml:space="preserve">[Company Name] — Standard Operating Procedure — CONFIDENTIAL DRAFT — Page </w:t>
    </w:r>
    <w:r>
      <w:rPr>
        <w:color w:val="5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E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sz w:val="30"/>
      <w:szCs w:val="30"/>
    </w:rPr>
  </w:style>
  <w:style w:type="paragraph" w:styleId="Heading2">
    <w:name w:val="Heading 2"/>
    <w:basedOn w:val="Normal"/>
    <w:next w:val="Normal"/>
    <w:qFormat/>
    <w:pPr>
      <w:spacing w:after="120" w:before="280"/>
    </w:pPr>
    <w:rPr>
      <w:rFonts w:ascii="Calibri" w:cs="Calibri" w:eastAsia="Calibri" w:hAnsi="Calibri"/>
      <w:b/>
      <w:bCs/>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2026-07-15T19:23:25.534Z</dcterms:created>
  <dcterms:modified xsi:type="dcterms:W3CDTF">2026-07-15T19:23:25.548Z</dcterms:modified>
</cp:coreProperties>
</file>

<file path=docProps/custom.xml><?xml version="1.0" encoding="utf-8"?>
<Properties xmlns="http://schemas.openxmlformats.org/officeDocument/2006/custom-properties" xmlns:vt="http://schemas.openxmlformats.org/officeDocument/2006/docPropsVTypes"/>
</file>